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490DE" w14:textId="4F0A22D9" w:rsidR="00366A58" w:rsidRPr="00B73DB8" w:rsidRDefault="00472CC2" w:rsidP="00472CC2">
      <w:pPr>
        <w:jc w:val="center"/>
        <w:rPr>
          <w:b/>
          <w:bCs/>
          <w:sz w:val="28"/>
          <w:szCs w:val="28"/>
          <w:lang w:val="en-US"/>
        </w:rPr>
      </w:pPr>
      <w:r w:rsidRPr="00B73DB8">
        <w:rPr>
          <w:b/>
          <w:bCs/>
          <w:sz w:val="28"/>
          <w:szCs w:val="28"/>
          <w:lang w:val="en-US"/>
        </w:rPr>
        <w:t>Update of the</w:t>
      </w:r>
      <w:r w:rsidR="00CD6633" w:rsidRPr="00B73DB8">
        <w:rPr>
          <w:b/>
          <w:bCs/>
          <w:sz w:val="28"/>
          <w:szCs w:val="28"/>
          <w:lang w:val="en-US"/>
        </w:rPr>
        <w:t xml:space="preserve"> </w:t>
      </w:r>
      <w:r w:rsidR="000F5348" w:rsidRPr="00B73DB8">
        <w:rPr>
          <w:b/>
          <w:bCs/>
          <w:sz w:val="28"/>
          <w:szCs w:val="28"/>
          <w:lang w:val="en-US"/>
        </w:rPr>
        <w:t xml:space="preserve">Financial Calendar </w:t>
      </w:r>
      <w:r w:rsidR="00CD6633" w:rsidRPr="00B73DB8">
        <w:rPr>
          <w:b/>
          <w:bCs/>
          <w:sz w:val="28"/>
          <w:szCs w:val="28"/>
          <w:lang w:val="en-US"/>
        </w:rPr>
        <w:t>202</w:t>
      </w:r>
      <w:r w:rsidR="007C6795">
        <w:rPr>
          <w:b/>
          <w:bCs/>
          <w:sz w:val="28"/>
          <w:szCs w:val="28"/>
          <w:lang w:val="en-US"/>
        </w:rPr>
        <w:t>6</w:t>
      </w:r>
    </w:p>
    <w:p w14:paraId="59703801" w14:textId="77777777" w:rsidR="00472CC2" w:rsidRPr="00EE4B8C" w:rsidRDefault="00472CC2" w:rsidP="00472CC2">
      <w:pPr>
        <w:jc w:val="center"/>
        <w:rPr>
          <w:b/>
          <w:bCs/>
          <w:lang w:val="en-US"/>
        </w:rPr>
      </w:pPr>
    </w:p>
    <w:p w14:paraId="0F86D0A9" w14:textId="775AEBBB" w:rsidR="00472CC2" w:rsidRPr="00CB31E1" w:rsidRDefault="00472CC2" w:rsidP="00472CC2">
      <w:pPr>
        <w:jc w:val="right"/>
        <w:rPr>
          <w:b/>
          <w:bCs/>
          <w:u w:val="single"/>
          <w:lang w:val="en-US"/>
        </w:rPr>
      </w:pPr>
      <w:r w:rsidRPr="00CB31E1">
        <w:rPr>
          <w:b/>
          <w:bCs/>
          <w:u w:val="single"/>
          <w:lang w:val="en-US"/>
        </w:rPr>
        <w:t xml:space="preserve">Thessaloniki, </w:t>
      </w:r>
      <w:r w:rsidR="007C6795" w:rsidRPr="00CB31E1">
        <w:rPr>
          <w:b/>
          <w:bCs/>
          <w:u w:val="single"/>
          <w:lang w:val="en-US"/>
        </w:rPr>
        <w:t>1</w:t>
      </w:r>
      <w:r w:rsidRPr="00CB31E1">
        <w:rPr>
          <w:b/>
          <w:bCs/>
          <w:u w:val="single"/>
          <w:lang w:val="en-US"/>
        </w:rPr>
        <w:t xml:space="preserve">5 </w:t>
      </w:r>
      <w:r w:rsidR="007C6795" w:rsidRPr="00CB31E1">
        <w:rPr>
          <w:b/>
          <w:bCs/>
          <w:u w:val="single"/>
          <w:lang w:val="en-US"/>
        </w:rPr>
        <w:t xml:space="preserve">April </w:t>
      </w:r>
      <w:r w:rsidRPr="00CB31E1">
        <w:rPr>
          <w:b/>
          <w:bCs/>
          <w:u w:val="single"/>
          <w:lang w:val="en-US"/>
        </w:rPr>
        <w:t>202</w:t>
      </w:r>
      <w:r w:rsidR="007C6795" w:rsidRPr="00CB31E1">
        <w:rPr>
          <w:b/>
          <w:bCs/>
          <w:u w:val="single"/>
          <w:lang w:val="en-US"/>
        </w:rPr>
        <w:t>6</w:t>
      </w:r>
    </w:p>
    <w:p w14:paraId="20C8B17B" w14:textId="77777777" w:rsidR="00771DAC" w:rsidRPr="00EE4B8C" w:rsidRDefault="00771DAC" w:rsidP="00472CC2">
      <w:pPr>
        <w:jc w:val="right"/>
        <w:rPr>
          <w:b/>
          <w:bCs/>
          <w:lang w:val="en-US"/>
        </w:rPr>
      </w:pPr>
    </w:p>
    <w:p w14:paraId="41FFA4A6" w14:textId="3A80929C" w:rsidR="00472CC2" w:rsidRPr="00EE4B8C" w:rsidRDefault="00472CC2" w:rsidP="002716D9">
      <w:pPr>
        <w:jc w:val="both"/>
        <w:rPr>
          <w:lang w:val="en-US"/>
        </w:rPr>
      </w:pPr>
      <w:r w:rsidRPr="00EE4B8C">
        <w:rPr>
          <w:lang w:val="en-US"/>
        </w:rPr>
        <w:t>ALUMIL ALUMINIUM INDUSTRY S.A. (the “</w:t>
      </w:r>
      <w:r w:rsidRPr="00EE4B8C">
        <w:rPr>
          <w:b/>
          <w:bCs/>
          <w:lang w:val="en-US"/>
        </w:rPr>
        <w:t>Company</w:t>
      </w:r>
      <w:r w:rsidRPr="00EE4B8C">
        <w:rPr>
          <w:lang w:val="en-US"/>
        </w:rPr>
        <w:t xml:space="preserve">”), following its announcement dated </w:t>
      </w:r>
      <w:r w:rsidR="007C6795">
        <w:rPr>
          <w:lang w:val="en-US"/>
        </w:rPr>
        <w:t>26</w:t>
      </w:r>
      <w:r w:rsidR="005A1280" w:rsidRPr="00EE4B8C">
        <w:rPr>
          <w:lang w:val="en-US"/>
        </w:rPr>
        <w:t xml:space="preserve"> </w:t>
      </w:r>
      <w:r w:rsidRPr="00EE4B8C">
        <w:rPr>
          <w:lang w:val="en-US"/>
        </w:rPr>
        <w:t xml:space="preserve"> </w:t>
      </w:r>
      <w:r w:rsidR="007C6795">
        <w:rPr>
          <w:lang w:val="en-US"/>
        </w:rPr>
        <w:t xml:space="preserve">January </w:t>
      </w:r>
      <w:r w:rsidRPr="00EE4B8C">
        <w:rPr>
          <w:lang w:val="en-US"/>
        </w:rPr>
        <w:t>202</w:t>
      </w:r>
      <w:r w:rsidR="007C6795">
        <w:rPr>
          <w:lang w:val="en-US"/>
        </w:rPr>
        <w:t>6</w:t>
      </w:r>
      <w:r w:rsidRPr="00EE4B8C">
        <w:rPr>
          <w:lang w:val="en-US"/>
        </w:rPr>
        <w:t xml:space="preserve"> regarding the Financial Calendar for the year 202</w:t>
      </w:r>
      <w:r w:rsidR="007C6795">
        <w:rPr>
          <w:lang w:val="en-US"/>
        </w:rPr>
        <w:t>6</w:t>
      </w:r>
      <w:r w:rsidR="001F29D3" w:rsidRPr="00EE4B8C">
        <w:rPr>
          <w:lang w:val="en-US"/>
        </w:rPr>
        <w:t>,</w:t>
      </w:r>
      <w:r w:rsidRPr="00EE4B8C">
        <w:rPr>
          <w:lang w:val="en-US"/>
        </w:rPr>
        <w:t xml:space="preserve"> and </w:t>
      </w:r>
      <w:r w:rsidR="002716D9" w:rsidRPr="00EE4B8C">
        <w:rPr>
          <w:lang w:val="en-US"/>
        </w:rPr>
        <w:t>in the context of providing correct, valid and timely information to investors, and in accordance with the decision 25</w:t>
      </w:r>
      <w:r w:rsidR="00CB31E1">
        <w:rPr>
          <w:lang w:val="en-US"/>
        </w:rPr>
        <w:t xml:space="preserve"> </w:t>
      </w:r>
      <w:r w:rsidR="002716D9" w:rsidRPr="00EE4B8C">
        <w:rPr>
          <w:lang w:val="en-US"/>
        </w:rPr>
        <w:t>of the Regulatory Committee of the Athens Stock Exchange</w:t>
      </w:r>
      <w:r w:rsidRPr="00EE4B8C">
        <w:rPr>
          <w:lang w:val="en-US"/>
        </w:rPr>
        <w:t>, announces an update to its Financial Calendar for the year 202</w:t>
      </w:r>
      <w:r w:rsidR="007C6795">
        <w:rPr>
          <w:lang w:val="en-US"/>
        </w:rPr>
        <w:t>6</w:t>
      </w:r>
      <w:r w:rsidRPr="00EE4B8C">
        <w:rPr>
          <w:lang w:val="en-US"/>
        </w:rPr>
        <w:t>, as follows:</w:t>
      </w:r>
    </w:p>
    <w:p w14:paraId="30314C9D" w14:textId="77777777" w:rsidR="00771DAC" w:rsidRPr="00EE4B8C" w:rsidRDefault="00771DAC" w:rsidP="001D6C6C">
      <w:pPr>
        <w:jc w:val="both"/>
        <w:rPr>
          <w:lang w:val="en-US"/>
        </w:rPr>
      </w:pPr>
    </w:p>
    <w:p w14:paraId="4B9024E7" w14:textId="77777777" w:rsidR="00771DAC" w:rsidRPr="00EE4B8C" w:rsidRDefault="00771DAC" w:rsidP="001D6C6C">
      <w:pPr>
        <w:jc w:val="both"/>
        <w:rPr>
          <w:lang w:val="en-US"/>
        </w:rPr>
      </w:pPr>
    </w:p>
    <w:tbl>
      <w:tblPr>
        <w:tblStyle w:val="TableGrid"/>
        <w:tblpPr w:leftFromText="180" w:rightFromText="180" w:vertAnchor="text" w:horzAnchor="margin" w:tblpY="148"/>
        <w:tblW w:w="8365" w:type="dxa"/>
        <w:tblLook w:val="04A0" w:firstRow="1" w:lastRow="0" w:firstColumn="1" w:lastColumn="0" w:noHBand="0" w:noVBand="1"/>
      </w:tblPr>
      <w:tblGrid>
        <w:gridCol w:w="5038"/>
        <w:gridCol w:w="3327"/>
      </w:tblGrid>
      <w:tr w:rsidR="00771DAC" w:rsidRPr="00EE4B8C" w14:paraId="3064D940" w14:textId="77777777" w:rsidTr="00771DAC">
        <w:trPr>
          <w:trHeight w:val="401"/>
        </w:trPr>
        <w:tc>
          <w:tcPr>
            <w:tcW w:w="5038" w:type="dxa"/>
            <w:vAlign w:val="center"/>
          </w:tcPr>
          <w:p w14:paraId="37DC09AB" w14:textId="2F06659D" w:rsidR="00771DAC" w:rsidRPr="00EE4B8C" w:rsidRDefault="00771DAC" w:rsidP="00771DAC">
            <w:pPr>
              <w:jc w:val="center"/>
              <w:rPr>
                <w:b/>
                <w:bCs/>
                <w:lang w:val="en-US"/>
              </w:rPr>
            </w:pPr>
            <w:r w:rsidRPr="00EE4B8C">
              <w:rPr>
                <w:b/>
                <w:bCs/>
                <w:lang w:val="en-US"/>
              </w:rPr>
              <w:t>Publication of the Annual Financial Statements for Fiscal Year 202</w:t>
            </w:r>
            <w:r w:rsidR="007C6795">
              <w:rPr>
                <w:b/>
                <w:bCs/>
                <w:lang w:val="en-US"/>
              </w:rPr>
              <w:t>5</w:t>
            </w:r>
          </w:p>
        </w:tc>
        <w:tc>
          <w:tcPr>
            <w:tcW w:w="3327" w:type="dxa"/>
            <w:vAlign w:val="center"/>
          </w:tcPr>
          <w:p w14:paraId="0F6BA9FC" w14:textId="59447117" w:rsidR="00771DAC" w:rsidRPr="007C6795" w:rsidRDefault="007C6795" w:rsidP="00771DAC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Tuesday</w:t>
            </w:r>
            <w:r w:rsidR="00771DAC" w:rsidRPr="00EE4B8C">
              <w:rPr>
                <w:b/>
                <w:bCs/>
              </w:rPr>
              <w:t xml:space="preserve">, 28 </w:t>
            </w:r>
            <w:proofErr w:type="spellStart"/>
            <w:r w:rsidR="00771DAC" w:rsidRPr="00EE4B8C">
              <w:rPr>
                <w:b/>
                <w:bCs/>
              </w:rPr>
              <w:t>April</w:t>
            </w:r>
            <w:proofErr w:type="spellEnd"/>
            <w:r w:rsidR="00771DAC" w:rsidRPr="00EE4B8C">
              <w:rPr>
                <w:b/>
                <w:bCs/>
              </w:rPr>
              <w:t xml:space="preserve"> 202</w:t>
            </w:r>
            <w:r>
              <w:rPr>
                <w:b/>
                <w:bCs/>
                <w:lang w:val="en-US"/>
              </w:rPr>
              <w:t>6</w:t>
            </w:r>
          </w:p>
        </w:tc>
      </w:tr>
      <w:tr w:rsidR="007C6795" w:rsidRPr="007C6795" w14:paraId="7DB10FD8" w14:textId="77777777" w:rsidTr="00771DAC">
        <w:trPr>
          <w:trHeight w:val="401"/>
        </w:trPr>
        <w:tc>
          <w:tcPr>
            <w:tcW w:w="5038" w:type="dxa"/>
            <w:vAlign w:val="center"/>
          </w:tcPr>
          <w:p w14:paraId="5CD00958" w14:textId="7CAF54F2" w:rsidR="007C6795" w:rsidRPr="00EE4B8C" w:rsidRDefault="007C6795" w:rsidP="00771DAC">
            <w:pPr>
              <w:jc w:val="center"/>
              <w:rPr>
                <w:b/>
                <w:bCs/>
                <w:lang w:val="en-US"/>
              </w:rPr>
            </w:pPr>
            <w:r w:rsidRPr="00EE4B8C">
              <w:rPr>
                <w:b/>
                <w:bCs/>
                <w:lang w:val="en-US"/>
              </w:rPr>
              <w:t>Annual Briefing of Analysts and Institutional Investors on the Financial Results for Fiscal Year 202</w:t>
            </w:r>
            <w:r>
              <w:rPr>
                <w:b/>
                <w:bCs/>
                <w:lang w:val="en-US"/>
              </w:rPr>
              <w:t>5</w:t>
            </w:r>
            <w:r w:rsidRPr="00EE4B8C">
              <w:rPr>
                <w:b/>
                <w:bCs/>
                <w:lang w:val="en-US"/>
              </w:rPr>
              <w:t xml:space="preserve"> via teleconference</w:t>
            </w:r>
          </w:p>
        </w:tc>
        <w:tc>
          <w:tcPr>
            <w:tcW w:w="3327" w:type="dxa"/>
            <w:vAlign w:val="center"/>
          </w:tcPr>
          <w:p w14:paraId="34034D16" w14:textId="01CCF519" w:rsidR="007C6795" w:rsidRDefault="00CB31E1" w:rsidP="00771DA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Thursday</w:t>
            </w:r>
            <w:r w:rsidR="007C6795">
              <w:rPr>
                <w:b/>
                <w:bCs/>
                <w:lang w:val="en-US"/>
              </w:rPr>
              <w:t>, 14 May 2026</w:t>
            </w:r>
          </w:p>
        </w:tc>
      </w:tr>
      <w:tr w:rsidR="00771DAC" w:rsidRPr="00EE4B8C" w14:paraId="3AF4A037" w14:textId="77777777" w:rsidTr="00771DAC">
        <w:trPr>
          <w:trHeight w:val="401"/>
        </w:trPr>
        <w:tc>
          <w:tcPr>
            <w:tcW w:w="5038" w:type="dxa"/>
            <w:vAlign w:val="center"/>
          </w:tcPr>
          <w:p w14:paraId="27EF48A3" w14:textId="77777777" w:rsidR="00771DAC" w:rsidRPr="00EE4B8C" w:rsidRDefault="00771DAC" w:rsidP="00771DAC">
            <w:pPr>
              <w:jc w:val="center"/>
              <w:rPr>
                <w:b/>
                <w:bCs/>
                <w:lang w:val="en-US"/>
              </w:rPr>
            </w:pPr>
            <w:r w:rsidRPr="00EE4B8C">
              <w:rPr>
                <w:b/>
                <w:bCs/>
                <w:lang w:val="en-US"/>
              </w:rPr>
              <w:t>Annual General Meeting of Shareholders (AGM)</w:t>
            </w:r>
          </w:p>
        </w:tc>
        <w:tc>
          <w:tcPr>
            <w:tcW w:w="3327" w:type="dxa"/>
            <w:vAlign w:val="center"/>
          </w:tcPr>
          <w:p w14:paraId="21C26DA2" w14:textId="004DEBB4" w:rsidR="00771DAC" w:rsidRPr="007C6795" w:rsidRDefault="00771DAC" w:rsidP="00771DAC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proofErr w:type="spellStart"/>
            <w:r w:rsidRPr="00EE4B8C">
              <w:rPr>
                <w:b/>
                <w:bCs/>
              </w:rPr>
              <w:t>Monday</w:t>
            </w:r>
            <w:proofErr w:type="spellEnd"/>
            <w:r w:rsidRPr="00EE4B8C">
              <w:rPr>
                <w:b/>
                <w:bCs/>
              </w:rPr>
              <w:t xml:space="preserve">, </w:t>
            </w:r>
            <w:r w:rsidR="007C6795">
              <w:rPr>
                <w:b/>
                <w:bCs/>
                <w:lang w:val="en-US"/>
              </w:rPr>
              <w:t>6</w:t>
            </w:r>
            <w:r w:rsidRPr="00EE4B8C">
              <w:rPr>
                <w:b/>
                <w:bCs/>
              </w:rPr>
              <w:t xml:space="preserve"> </w:t>
            </w:r>
            <w:proofErr w:type="spellStart"/>
            <w:r w:rsidRPr="00EE4B8C">
              <w:rPr>
                <w:b/>
                <w:bCs/>
              </w:rPr>
              <w:t>July</w:t>
            </w:r>
            <w:proofErr w:type="spellEnd"/>
            <w:r w:rsidRPr="00EE4B8C">
              <w:rPr>
                <w:b/>
                <w:bCs/>
              </w:rPr>
              <w:t xml:space="preserve"> 202</w:t>
            </w:r>
            <w:r w:rsidR="007C6795">
              <w:rPr>
                <w:b/>
                <w:bCs/>
                <w:lang w:val="en-US"/>
              </w:rPr>
              <w:t>6</w:t>
            </w:r>
          </w:p>
        </w:tc>
      </w:tr>
      <w:tr w:rsidR="00771DAC" w:rsidRPr="00EE4B8C" w14:paraId="258F9F1E" w14:textId="77777777" w:rsidTr="00771DAC">
        <w:trPr>
          <w:trHeight w:val="401"/>
        </w:trPr>
        <w:tc>
          <w:tcPr>
            <w:tcW w:w="5038" w:type="dxa"/>
            <w:vAlign w:val="center"/>
          </w:tcPr>
          <w:p w14:paraId="55B338F1" w14:textId="51F2AD46" w:rsidR="00771DAC" w:rsidRPr="00EE4B8C" w:rsidRDefault="00771DAC" w:rsidP="00771DAC">
            <w:pPr>
              <w:jc w:val="center"/>
              <w:rPr>
                <w:b/>
                <w:bCs/>
                <w:lang w:val="en-US"/>
              </w:rPr>
            </w:pPr>
            <w:r w:rsidRPr="00EE4B8C">
              <w:rPr>
                <w:b/>
                <w:bCs/>
                <w:lang w:val="en-US"/>
              </w:rPr>
              <w:t xml:space="preserve">Publication of </w:t>
            </w:r>
            <w:proofErr w:type="gramStart"/>
            <w:r w:rsidRPr="00EE4B8C">
              <w:rPr>
                <w:b/>
                <w:bCs/>
                <w:lang w:val="en-US"/>
              </w:rPr>
              <w:t>the Financial</w:t>
            </w:r>
            <w:proofErr w:type="gramEnd"/>
            <w:r w:rsidRPr="00EE4B8C">
              <w:rPr>
                <w:b/>
                <w:bCs/>
                <w:lang w:val="en-US"/>
              </w:rPr>
              <w:t xml:space="preserve"> Results for H1 202</w:t>
            </w:r>
            <w:r w:rsidR="007C6795">
              <w:rPr>
                <w:b/>
                <w:bCs/>
                <w:lang w:val="en-US"/>
              </w:rPr>
              <w:t>6</w:t>
            </w:r>
          </w:p>
        </w:tc>
        <w:tc>
          <w:tcPr>
            <w:tcW w:w="3327" w:type="dxa"/>
            <w:vAlign w:val="center"/>
          </w:tcPr>
          <w:p w14:paraId="579C6305" w14:textId="3177151B" w:rsidR="00771DAC" w:rsidRPr="007C6795" w:rsidRDefault="007C6795" w:rsidP="00771DAC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Wednesday</w:t>
            </w:r>
            <w:r w:rsidR="00771DAC" w:rsidRPr="00EE4B8C">
              <w:rPr>
                <w:b/>
                <w:bCs/>
              </w:rPr>
              <w:t xml:space="preserve">, </w:t>
            </w:r>
            <w:r>
              <w:rPr>
                <w:b/>
                <w:bCs/>
                <w:lang w:val="en-US"/>
              </w:rPr>
              <w:t>16</w:t>
            </w:r>
            <w:r w:rsidR="00771DAC" w:rsidRPr="00EE4B8C">
              <w:rPr>
                <w:b/>
                <w:bCs/>
              </w:rPr>
              <w:t xml:space="preserve"> </w:t>
            </w:r>
            <w:proofErr w:type="spellStart"/>
            <w:r w:rsidR="00771DAC" w:rsidRPr="00EE4B8C">
              <w:rPr>
                <w:b/>
                <w:bCs/>
              </w:rPr>
              <w:t>September</w:t>
            </w:r>
            <w:proofErr w:type="spellEnd"/>
            <w:r w:rsidR="00771DAC" w:rsidRPr="00EE4B8C">
              <w:rPr>
                <w:b/>
                <w:bCs/>
              </w:rPr>
              <w:t xml:space="preserve"> 202</w:t>
            </w:r>
            <w:r>
              <w:rPr>
                <w:b/>
                <w:bCs/>
                <w:lang w:val="en-US"/>
              </w:rPr>
              <w:t>6</w:t>
            </w:r>
          </w:p>
        </w:tc>
      </w:tr>
    </w:tbl>
    <w:p w14:paraId="5435A7CA" w14:textId="77777777" w:rsidR="00771DAC" w:rsidRPr="00EE4B8C" w:rsidRDefault="00771DAC" w:rsidP="001D6C6C">
      <w:pPr>
        <w:jc w:val="both"/>
        <w:rPr>
          <w:lang w:val="en-US"/>
        </w:rPr>
      </w:pPr>
    </w:p>
    <w:p w14:paraId="67E4FDDE" w14:textId="77777777" w:rsidR="001D6C6C" w:rsidRPr="00EE4B8C" w:rsidRDefault="001D6C6C" w:rsidP="001D6C6C">
      <w:pPr>
        <w:jc w:val="both"/>
        <w:rPr>
          <w:lang w:val="en-US"/>
        </w:rPr>
      </w:pPr>
    </w:p>
    <w:p w14:paraId="78DD3E5C" w14:textId="373300FF" w:rsidR="00CD6633" w:rsidRPr="00EE4B8C" w:rsidRDefault="00771DAC" w:rsidP="00771DAC">
      <w:pPr>
        <w:jc w:val="both"/>
        <w:rPr>
          <w:rFonts w:asciiTheme="minorHAnsi" w:hAnsiTheme="minorHAnsi" w:cstheme="minorHAnsi"/>
          <w:lang w:val="en-US"/>
        </w:rPr>
      </w:pPr>
      <w:r w:rsidRPr="00EE4B8C">
        <w:rPr>
          <w:rFonts w:asciiTheme="minorHAnsi" w:hAnsiTheme="minorHAnsi" w:cstheme="minorHAnsi"/>
          <w:lang w:val="en-US"/>
        </w:rPr>
        <w:t>The Company reserves the right to amend the above date</w:t>
      </w:r>
      <w:r w:rsidR="00C847F0" w:rsidRPr="00EE4B8C">
        <w:rPr>
          <w:rFonts w:asciiTheme="minorHAnsi" w:hAnsiTheme="minorHAnsi" w:cstheme="minorHAnsi"/>
          <w:lang w:val="en-US"/>
        </w:rPr>
        <w:t>s</w:t>
      </w:r>
      <w:r w:rsidRPr="00EE4B8C">
        <w:rPr>
          <w:rFonts w:asciiTheme="minorHAnsi" w:hAnsiTheme="minorHAnsi" w:cstheme="minorHAnsi"/>
          <w:lang w:val="en-US"/>
        </w:rPr>
        <w:t xml:space="preserve">, provided that </w:t>
      </w:r>
      <w:r w:rsidR="001745F7" w:rsidRPr="00EE4B8C">
        <w:rPr>
          <w:rFonts w:asciiTheme="minorHAnsi" w:hAnsiTheme="minorHAnsi" w:cstheme="minorHAnsi"/>
          <w:lang w:val="en-US"/>
        </w:rPr>
        <w:t>the investors are</w:t>
      </w:r>
      <w:r w:rsidRPr="00EE4B8C">
        <w:rPr>
          <w:rFonts w:asciiTheme="minorHAnsi" w:hAnsiTheme="minorHAnsi" w:cstheme="minorHAnsi"/>
          <w:lang w:val="en-US"/>
        </w:rPr>
        <w:t xml:space="preserve"> timely informed, in accordance with the provisions of the Athens Stock Exchange</w:t>
      </w:r>
      <w:r w:rsidR="00E1656C" w:rsidRPr="00EE4B8C">
        <w:rPr>
          <w:rFonts w:asciiTheme="minorHAnsi" w:hAnsiTheme="minorHAnsi" w:cstheme="minorHAnsi"/>
          <w:lang w:val="en-US"/>
        </w:rPr>
        <w:t xml:space="preserve"> Rulebook</w:t>
      </w:r>
      <w:r w:rsidRPr="00EE4B8C">
        <w:rPr>
          <w:rFonts w:asciiTheme="minorHAnsi" w:hAnsiTheme="minorHAnsi" w:cstheme="minorHAnsi"/>
          <w:lang w:val="en-US"/>
        </w:rPr>
        <w:t>.</w:t>
      </w:r>
    </w:p>
    <w:p w14:paraId="4ABFB4C9" w14:textId="77777777" w:rsidR="00381612" w:rsidRPr="00EE4B8C" w:rsidRDefault="00381612" w:rsidP="00CD6633">
      <w:pPr>
        <w:jc w:val="both"/>
        <w:rPr>
          <w:rFonts w:asciiTheme="minorHAnsi" w:hAnsiTheme="minorHAnsi" w:cstheme="minorHAnsi"/>
          <w:lang w:val="en-US"/>
        </w:rPr>
      </w:pPr>
    </w:p>
    <w:p w14:paraId="00448962" w14:textId="14236DE6" w:rsidR="0027551B" w:rsidRPr="00771DAC" w:rsidRDefault="0027551B" w:rsidP="00381612">
      <w:pPr>
        <w:jc w:val="both"/>
        <w:rPr>
          <w:rFonts w:asciiTheme="minorHAnsi" w:hAnsiTheme="minorHAnsi" w:cstheme="minorHAnsi"/>
          <w:lang w:val="en-US"/>
        </w:rPr>
      </w:pPr>
    </w:p>
    <w:sectPr w:rsidR="0027551B" w:rsidRPr="00771DAC" w:rsidSect="007209F7">
      <w:headerReference w:type="default" r:id="rId7"/>
      <w:footerReference w:type="default" r:id="rId8"/>
      <w:pgSz w:w="11906" w:h="16838"/>
      <w:pgMar w:top="2268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6DE26" w14:textId="77777777" w:rsidR="00274D79" w:rsidRDefault="00274D79" w:rsidP="00C72F67">
      <w:r>
        <w:separator/>
      </w:r>
    </w:p>
  </w:endnote>
  <w:endnote w:type="continuationSeparator" w:id="0">
    <w:p w14:paraId="28C91541" w14:textId="77777777" w:rsidR="00274D79" w:rsidRDefault="00274D79" w:rsidP="00C7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4223" w14:textId="77777777" w:rsidR="00C72F67" w:rsidRDefault="00A162A2">
    <w:pPr>
      <w:pStyle w:val="Footer"/>
    </w:pPr>
    <w:r>
      <w:rPr>
        <w:noProof/>
        <w:lang w:eastAsia="el-GR"/>
      </w:rPr>
      <w:drawing>
        <wp:inline distT="0" distB="0" distL="0" distR="0" wp14:anchorId="7D261136" wp14:editId="386F4319">
          <wp:extent cx="5278120" cy="586663"/>
          <wp:effectExtent l="0" t="0" r="0" b="4445"/>
          <wp:docPr id="2" name="Εικόνα 2" descr="C:\Users\t.tzivanidou\Desktop\LETTERHEAD_G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.tzivanidou\Desktop\LETTERHEAD_G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586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A4360" w14:textId="77777777" w:rsidR="00274D79" w:rsidRDefault="00274D79" w:rsidP="00C72F67">
      <w:r>
        <w:separator/>
      </w:r>
    </w:p>
  </w:footnote>
  <w:footnote w:type="continuationSeparator" w:id="0">
    <w:p w14:paraId="24806939" w14:textId="77777777" w:rsidR="00274D79" w:rsidRDefault="00274D79" w:rsidP="00C72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E9782" w14:textId="77777777" w:rsidR="00695C97" w:rsidRDefault="00E243E9">
    <w:pPr>
      <w:pStyle w:val="Header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 wp14:anchorId="60B2B216" wp14:editId="4266CF28">
          <wp:simplePos x="0" y="0"/>
          <wp:positionH relativeFrom="column">
            <wp:posOffset>-1154446</wp:posOffset>
          </wp:positionH>
          <wp:positionV relativeFrom="paragraph">
            <wp:posOffset>-461868</wp:posOffset>
          </wp:positionV>
          <wp:extent cx="3148051" cy="2070100"/>
          <wp:effectExtent l="0" t="0" r="0" b="6350"/>
          <wp:wrapNone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UMIL GR ENVELOP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8051" cy="207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17F"/>
    <w:multiLevelType w:val="hybridMultilevel"/>
    <w:tmpl w:val="911EB1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A0828"/>
    <w:multiLevelType w:val="hybridMultilevel"/>
    <w:tmpl w:val="D77EBE8A"/>
    <w:lvl w:ilvl="0" w:tplc="09985F2A">
      <w:start w:val="1"/>
      <w:numFmt w:val="bullet"/>
      <w:lvlText w:val="/"/>
      <w:lvlJc w:val="left"/>
      <w:pPr>
        <w:ind w:left="720" w:hanging="360"/>
      </w:pPr>
      <w:rPr>
        <w:rFonts w:ascii="Calibri" w:hAnsi="Calibri" w:hint="default"/>
        <w:color w:val="FFC000"/>
        <w:spacing w:val="-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409C4"/>
    <w:multiLevelType w:val="hybridMultilevel"/>
    <w:tmpl w:val="C35E7D6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26D15"/>
    <w:multiLevelType w:val="hybridMultilevel"/>
    <w:tmpl w:val="2F8433F8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FFA583A"/>
    <w:multiLevelType w:val="hybridMultilevel"/>
    <w:tmpl w:val="0040CD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53CCA"/>
    <w:multiLevelType w:val="hybridMultilevel"/>
    <w:tmpl w:val="AEC0A604"/>
    <w:lvl w:ilvl="0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7A204F1"/>
    <w:multiLevelType w:val="hybridMultilevel"/>
    <w:tmpl w:val="027C99D6"/>
    <w:lvl w:ilvl="0" w:tplc="96BA07AE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2520" w:hanging="360"/>
      </w:pPr>
    </w:lvl>
    <w:lvl w:ilvl="2" w:tplc="0408001B">
      <w:start w:val="1"/>
      <w:numFmt w:val="lowerRoman"/>
      <w:lvlText w:val="%3."/>
      <w:lvlJc w:val="right"/>
      <w:pPr>
        <w:ind w:left="3240" w:hanging="180"/>
      </w:pPr>
    </w:lvl>
    <w:lvl w:ilvl="3" w:tplc="0408000F">
      <w:start w:val="1"/>
      <w:numFmt w:val="decimal"/>
      <w:lvlText w:val="%4."/>
      <w:lvlJc w:val="left"/>
      <w:pPr>
        <w:ind w:left="3960" w:hanging="360"/>
      </w:pPr>
    </w:lvl>
    <w:lvl w:ilvl="4" w:tplc="04080019">
      <w:start w:val="1"/>
      <w:numFmt w:val="lowerLetter"/>
      <w:lvlText w:val="%5."/>
      <w:lvlJc w:val="left"/>
      <w:pPr>
        <w:ind w:left="4680" w:hanging="360"/>
      </w:pPr>
    </w:lvl>
    <w:lvl w:ilvl="5" w:tplc="0408001B">
      <w:start w:val="1"/>
      <w:numFmt w:val="lowerRoman"/>
      <w:lvlText w:val="%6."/>
      <w:lvlJc w:val="right"/>
      <w:pPr>
        <w:ind w:left="5400" w:hanging="180"/>
      </w:pPr>
    </w:lvl>
    <w:lvl w:ilvl="6" w:tplc="0408000F">
      <w:start w:val="1"/>
      <w:numFmt w:val="decimal"/>
      <w:lvlText w:val="%7."/>
      <w:lvlJc w:val="left"/>
      <w:pPr>
        <w:ind w:left="6120" w:hanging="360"/>
      </w:pPr>
    </w:lvl>
    <w:lvl w:ilvl="7" w:tplc="04080019">
      <w:start w:val="1"/>
      <w:numFmt w:val="lowerLetter"/>
      <w:lvlText w:val="%8."/>
      <w:lvlJc w:val="left"/>
      <w:pPr>
        <w:ind w:left="6840" w:hanging="360"/>
      </w:pPr>
    </w:lvl>
    <w:lvl w:ilvl="8" w:tplc="0408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7B36AE7"/>
    <w:multiLevelType w:val="hybridMultilevel"/>
    <w:tmpl w:val="EC86969C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6217EC8"/>
    <w:multiLevelType w:val="hybridMultilevel"/>
    <w:tmpl w:val="9E28D1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21A23"/>
    <w:multiLevelType w:val="hybridMultilevel"/>
    <w:tmpl w:val="EE2007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915B2"/>
    <w:multiLevelType w:val="hybridMultilevel"/>
    <w:tmpl w:val="A7CE16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ind w:left="1440" w:hanging="360"/>
      </w:p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67F76"/>
    <w:multiLevelType w:val="hybridMultilevel"/>
    <w:tmpl w:val="674A106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4616883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7808772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85430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82779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124299949">
    <w:abstractNumId w:val="5"/>
  </w:num>
  <w:num w:numId="6" w16cid:durableId="1436628790">
    <w:abstractNumId w:val="7"/>
  </w:num>
  <w:num w:numId="7" w16cid:durableId="954100804">
    <w:abstractNumId w:val="2"/>
  </w:num>
  <w:num w:numId="8" w16cid:durableId="2068872116">
    <w:abstractNumId w:val="3"/>
  </w:num>
  <w:num w:numId="9" w16cid:durableId="120535355">
    <w:abstractNumId w:val="6"/>
  </w:num>
  <w:num w:numId="10" w16cid:durableId="1723795702">
    <w:abstractNumId w:val="9"/>
  </w:num>
  <w:num w:numId="11" w16cid:durableId="1484614663">
    <w:abstractNumId w:val="0"/>
  </w:num>
  <w:num w:numId="12" w16cid:durableId="1558587842">
    <w:abstractNumId w:val="11"/>
  </w:num>
  <w:num w:numId="13" w16cid:durableId="1835992848">
    <w:abstractNumId w:val="1"/>
  </w:num>
  <w:num w:numId="14" w16cid:durableId="585841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31"/>
    <w:rsid w:val="0001490D"/>
    <w:rsid w:val="000227D8"/>
    <w:rsid w:val="00045FD3"/>
    <w:rsid w:val="00051532"/>
    <w:rsid w:val="00053716"/>
    <w:rsid w:val="000C41D2"/>
    <w:rsid w:val="000E151C"/>
    <w:rsid w:val="000F5348"/>
    <w:rsid w:val="00101788"/>
    <w:rsid w:val="001406BD"/>
    <w:rsid w:val="00142B27"/>
    <w:rsid w:val="001654D9"/>
    <w:rsid w:val="001745F7"/>
    <w:rsid w:val="00186519"/>
    <w:rsid w:val="001B335F"/>
    <w:rsid w:val="001B6E1C"/>
    <w:rsid w:val="001D450C"/>
    <w:rsid w:val="001D6C6C"/>
    <w:rsid w:val="001E3615"/>
    <w:rsid w:val="001E4C34"/>
    <w:rsid w:val="001F29D3"/>
    <w:rsid w:val="001F7146"/>
    <w:rsid w:val="00225E6B"/>
    <w:rsid w:val="00234905"/>
    <w:rsid w:val="00252813"/>
    <w:rsid w:val="002716D9"/>
    <w:rsid w:val="00273546"/>
    <w:rsid w:val="00274D79"/>
    <w:rsid w:val="0027551B"/>
    <w:rsid w:val="00284EEA"/>
    <w:rsid w:val="002903F7"/>
    <w:rsid w:val="002B6E81"/>
    <w:rsid w:val="002C4C80"/>
    <w:rsid w:val="002D6372"/>
    <w:rsid w:val="0030157F"/>
    <w:rsid w:val="00314A0C"/>
    <w:rsid w:val="00314EEB"/>
    <w:rsid w:val="003155BD"/>
    <w:rsid w:val="00331A7A"/>
    <w:rsid w:val="003354B3"/>
    <w:rsid w:val="00353A32"/>
    <w:rsid w:val="00366A58"/>
    <w:rsid w:val="00374B18"/>
    <w:rsid w:val="00381612"/>
    <w:rsid w:val="0038574D"/>
    <w:rsid w:val="0038686D"/>
    <w:rsid w:val="00390213"/>
    <w:rsid w:val="003A15B4"/>
    <w:rsid w:val="003B4991"/>
    <w:rsid w:val="003B7055"/>
    <w:rsid w:val="003D6D31"/>
    <w:rsid w:val="004148DA"/>
    <w:rsid w:val="00472CC2"/>
    <w:rsid w:val="004C703E"/>
    <w:rsid w:val="004D305C"/>
    <w:rsid w:val="004E19D3"/>
    <w:rsid w:val="004F3C74"/>
    <w:rsid w:val="005002E6"/>
    <w:rsid w:val="00506CE2"/>
    <w:rsid w:val="005114D9"/>
    <w:rsid w:val="00521FA4"/>
    <w:rsid w:val="00535674"/>
    <w:rsid w:val="00537733"/>
    <w:rsid w:val="005406E7"/>
    <w:rsid w:val="00555E63"/>
    <w:rsid w:val="00556D9B"/>
    <w:rsid w:val="00594E33"/>
    <w:rsid w:val="005A1280"/>
    <w:rsid w:val="005C0F42"/>
    <w:rsid w:val="005F1E33"/>
    <w:rsid w:val="00614210"/>
    <w:rsid w:val="006321D2"/>
    <w:rsid w:val="00655747"/>
    <w:rsid w:val="0067044B"/>
    <w:rsid w:val="006729DC"/>
    <w:rsid w:val="006915B2"/>
    <w:rsid w:val="00692B81"/>
    <w:rsid w:val="00695C97"/>
    <w:rsid w:val="006A0F5D"/>
    <w:rsid w:val="006A3B0D"/>
    <w:rsid w:val="006A5EC1"/>
    <w:rsid w:val="006C0C5B"/>
    <w:rsid w:val="00706BAA"/>
    <w:rsid w:val="007209F7"/>
    <w:rsid w:val="007402ED"/>
    <w:rsid w:val="0076379F"/>
    <w:rsid w:val="00771DAC"/>
    <w:rsid w:val="00797D40"/>
    <w:rsid w:val="007A05EA"/>
    <w:rsid w:val="007C6795"/>
    <w:rsid w:val="007F1E54"/>
    <w:rsid w:val="00803174"/>
    <w:rsid w:val="0080466A"/>
    <w:rsid w:val="00821696"/>
    <w:rsid w:val="008332F1"/>
    <w:rsid w:val="00837E08"/>
    <w:rsid w:val="00860E37"/>
    <w:rsid w:val="00864AB7"/>
    <w:rsid w:val="008736DD"/>
    <w:rsid w:val="00880667"/>
    <w:rsid w:val="00887AFB"/>
    <w:rsid w:val="008B5DD9"/>
    <w:rsid w:val="008C559B"/>
    <w:rsid w:val="008E5621"/>
    <w:rsid w:val="00907235"/>
    <w:rsid w:val="0092575C"/>
    <w:rsid w:val="009A4B82"/>
    <w:rsid w:val="009A62FA"/>
    <w:rsid w:val="009B015E"/>
    <w:rsid w:val="00A162A2"/>
    <w:rsid w:val="00A25E7C"/>
    <w:rsid w:val="00A72159"/>
    <w:rsid w:val="00A76384"/>
    <w:rsid w:val="00A76E7D"/>
    <w:rsid w:val="00AC28AA"/>
    <w:rsid w:val="00B0332D"/>
    <w:rsid w:val="00B32AA4"/>
    <w:rsid w:val="00B50D47"/>
    <w:rsid w:val="00B617E9"/>
    <w:rsid w:val="00B73DB8"/>
    <w:rsid w:val="00B87F2F"/>
    <w:rsid w:val="00B90002"/>
    <w:rsid w:val="00BA7793"/>
    <w:rsid w:val="00BC5288"/>
    <w:rsid w:val="00BD39DC"/>
    <w:rsid w:val="00BE54D0"/>
    <w:rsid w:val="00C37F29"/>
    <w:rsid w:val="00C505E1"/>
    <w:rsid w:val="00C65174"/>
    <w:rsid w:val="00C66C40"/>
    <w:rsid w:val="00C72F67"/>
    <w:rsid w:val="00C847F0"/>
    <w:rsid w:val="00C84FBF"/>
    <w:rsid w:val="00CB31E1"/>
    <w:rsid w:val="00CB4B2D"/>
    <w:rsid w:val="00CC4C97"/>
    <w:rsid w:val="00CD6633"/>
    <w:rsid w:val="00CD7C71"/>
    <w:rsid w:val="00CF17A4"/>
    <w:rsid w:val="00D04BF8"/>
    <w:rsid w:val="00D16F53"/>
    <w:rsid w:val="00D20A28"/>
    <w:rsid w:val="00D36BBE"/>
    <w:rsid w:val="00D407E4"/>
    <w:rsid w:val="00D4466E"/>
    <w:rsid w:val="00D47903"/>
    <w:rsid w:val="00D85410"/>
    <w:rsid w:val="00DA7F57"/>
    <w:rsid w:val="00DB2D7C"/>
    <w:rsid w:val="00DC34AB"/>
    <w:rsid w:val="00DD1F57"/>
    <w:rsid w:val="00DE49C9"/>
    <w:rsid w:val="00E01B3C"/>
    <w:rsid w:val="00E1656C"/>
    <w:rsid w:val="00E243E9"/>
    <w:rsid w:val="00E62E62"/>
    <w:rsid w:val="00E67108"/>
    <w:rsid w:val="00ED367A"/>
    <w:rsid w:val="00EE147B"/>
    <w:rsid w:val="00EE4B8C"/>
    <w:rsid w:val="00F2296F"/>
    <w:rsid w:val="00F33698"/>
    <w:rsid w:val="00F33D25"/>
    <w:rsid w:val="00F45BF8"/>
    <w:rsid w:val="00F571ED"/>
    <w:rsid w:val="00F727CF"/>
    <w:rsid w:val="00F84A5A"/>
    <w:rsid w:val="00FE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6F0A"/>
  <w15:chartTrackingRefBased/>
  <w15:docId w15:val="{4F35B2D9-B4DB-4065-BFAB-A627B8CF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74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F6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F67"/>
  </w:style>
  <w:style w:type="paragraph" w:styleId="Footer">
    <w:name w:val="footer"/>
    <w:basedOn w:val="Normal"/>
    <w:link w:val="FooterChar"/>
    <w:uiPriority w:val="99"/>
    <w:unhideWhenUsed/>
    <w:rsid w:val="00C72F6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F67"/>
  </w:style>
  <w:style w:type="paragraph" w:styleId="BalloonText">
    <w:name w:val="Balloon Text"/>
    <w:basedOn w:val="Normal"/>
    <w:link w:val="BalloonTextChar"/>
    <w:uiPriority w:val="99"/>
    <w:semiHidden/>
    <w:unhideWhenUsed/>
    <w:rsid w:val="00DE49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9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574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55747"/>
    <w:pPr>
      <w:ind w:left="720"/>
    </w:pPr>
  </w:style>
  <w:style w:type="table" w:styleId="TableGrid">
    <w:name w:val="Table Grid"/>
    <w:basedOn w:val="TableNormal"/>
    <w:uiPriority w:val="39"/>
    <w:rsid w:val="00CD6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D663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85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900</Characters>
  <Application>Microsoft Office Word</Application>
  <DocSecurity>0</DocSecurity>
  <Lines>31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Chrisa Theioka</dc:creator>
  <cp:keywords/>
  <dc:description/>
  <cp:lastModifiedBy>Chrisa Theioka</cp:lastModifiedBy>
  <cp:revision>2</cp:revision>
  <cp:lastPrinted>2016-03-10T15:13:00Z</cp:lastPrinted>
  <dcterms:created xsi:type="dcterms:W3CDTF">2026-04-15T08:23:00Z</dcterms:created>
  <dcterms:modified xsi:type="dcterms:W3CDTF">2026-04-15T08:23:00Z</dcterms:modified>
</cp:coreProperties>
</file>