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23" w:hanging="0"/>
        <w:jc w:val="both"/>
        <w:rPr/>
      </w:pPr>
      <w:r>
        <w:rPr>
          <w:b/>
          <w:spacing w:val="-3"/>
          <w:sz w:val="24"/>
          <w:szCs w:val="24"/>
        </w:rPr>
        <w:t xml:space="preserve">CPI AΝΩΝΥΜΟΣ ΕΤΑΙΡΕΙΑ ΗΛΕΚΤΡΟΝΙΚΩΝ ΥΠΟΛΟΓΙΣΤΩΝ ΚΑΙ ΠΕΡΙΦΕΡΕΙΑΚΩΝ </w:t>
      </w:r>
    </w:p>
    <w:p>
      <w:pPr>
        <w:pStyle w:val="Normal"/>
        <w:ind w:right="-23" w:hanging="0"/>
        <w:jc w:val="both"/>
        <w:rPr/>
      </w:pPr>
      <w:r>
        <w:rPr>
          <w:b/>
          <w:spacing w:val="-3"/>
          <w:sz w:val="24"/>
          <w:szCs w:val="24"/>
        </w:rPr>
        <w:t>ΓΕΜΗ: 001788301000 (ΑΡ.Μ.Α.Ε. 32624/06/Β/95/1)</w:t>
      </w:r>
      <w:r>
        <w:fldChar w:fldCharType="begin"/>
      </w:r>
      <w:r>
        <w:rPr>
          <w:sz w:val="24"/>
          <w:spacing w:val="-3"/>
          <w:b/>
          <w:szCs w:val="24"/>
        </w:rPr>
        <w:instrText>PRIVATE</w:instrText>
      </w:r>
      <w:r>
        <w:rPr>
          <w:b/>
          <w:spacing w:val="-3"/>
          <w:sz w:val="24"/>
          <w:szCs w:val="24"/>
        </w:rPr>
      </w:r>
      <w:r>
        <w:rPr>
          <w:sz w:val="24"/>
          <w:spacing w:val="-3"/>
          <w:b/>
          <w:szCs w:val="24"/>
        </w:rPr>
        <w:fldChar w:fldCharType="separate"/>
      </w:r>
      <w:r>
        <w:rPr>
          <w:b/>
          <w:spacing w:val="-3"/>
          <w:sz w:val="24"/>
          <w:szCs w:val="24"/>
        </w:rPr>
      </w:r>
      <w:r>
        <w:rPr>
          <w:b/>
          <w:spacing w:val="-3"/>
          <w:sz w:val="24"/>
          <w:szCs w:val="24"/>
        </w:rPr>
      </w:r>
      <w:r>
        <w:rPr>
          <w:sz w:val="24"/>
          <w:spacing w:val="-3"/>
          <w:b/>
          <w:szCs w:val="24"/>
        </w:rPr>
        <w:fldChar w:fldCharType="end"/>
      </w:r>
    </w:p>
    <w:p>
      <w:pPr>
        <w:pStyle w:val="Normal"/>
        <w:jc w:val="both"/>
        <w:rPr>
          <w:sz w:val="24"/>
          <w:szCs w:val="24"/>
          <w:u w:val="single"/>
        </w:rPr>
      </w:pPr>
      <w:r>
        <w:rPr>
          <w:sz w:val="24"/>
          <w:szCs w:val="24"/>
          <w:u w:val="single"/>
        </w:rPr>
      </w:r>
    </w:p>
    <w:p>
      <w:pPr>
        <w:pStyle w:val="Normal"/>
        <w:jc w:val="both"/>
        <w:rPr>
          <w:sz w:val="24"/>
          <w:szCs w:val="24"/>
        </w:rPr>
      </w:pPr>
      <w:r>
        <w:rPr>
          <w:b/>
          <w:sz w:val="24"/>
          <w:szCs w:val="24"/>
          <w:u w:val="single"/>
        </w:rPr>
        <w:t>ΑΠΟΦΑΣΕΙΣ  ΕΤΗΣΙΑΣ ΤΑΚΤΙΚΗΣ ΓΕΝΙΚΗΣ ΣΥΝΕΛΕΥΣΗΣ ΤΗΣ 5</w:t>
      </w:r>
      <w:r>
        <w:rPr>
          <w:b/>
          <w:sz w:val="24"/>
          <w:szCs w:val="24"/>
          <w:u w:val="single"/>
          <w:vertAlign w:val="superscript"/>
        </w:rPr>
        <w:t>ης</w:t>
      </w:r>
      <w:r>
        <w:rPr>
          <w:b/>
          <w:sz w:val="24"/>
          <w:szCs w:val="24"/>
          <w:u w:val="single"/>
        </w:rPr>
        <w:t xml:space="preserve">  ΜΑΡΤΙΟΥ 2026</w:t>
      </w:r>
    </w:p>
    <w:p>
      <w:pPr>
        <w:pStyle w:val="Normal"/>
        <w:jc w:val="both"/>
        <w:rPr>
          <w:b/>
          <w:b/>
        </w:rPr>
      </w:pPr>
      <w:r>
        <w:rPr>
          <w:b/>
        </w:rPr>
      </w:r>
    </w:p>
    <w:p>
      <w:pPr>
        <w:pStyle w:val="Normal"/>
        <w:jc w:val="both"/>
        <w:rPr>
          <w:sz w:val="24"/>
          <w:szCs w:val="24"/>
        </w:rPr>
      </w:pPr>
      <w:r>
        <w:rPr>
          <w:sz w:val="24"/>
          <w:szCs w:val="24"/>
        </w:rPr>
        <w:t xml:space="preserve">Μετά την συνεδρίαση της Ετήσιας Τακτικής Γενικής Συνέλευσης της </w:t>
      </w:r>
      <w:r>
        <w:rPr>
          <w:b/>
          <w:bCs/>
          <w:sz w:val="24"/>
          <w:szCs w:val="24"/>
        </w:rPr>
        <w:t>05.03.2026</w:t>
      </w:r>
      <w:r>
        <w:rPr>
          <w:sz w:val="24"/>
          <w:szCs w:val="24"/>
        </w:rPr>
        <w:t xml:space="preserve"> στην οποία παρέστησαν μέτοχοι/εκπρόσωποι μετόχων</w:t>
      </w:r>
      <w:r>
        <w:rPr>
          <w:color w:val="000000"/>
          <w:sz w:val="24"/>
          <w:szCs w:val="24"/>
        </w:rPr>
        <w:t xml:space="preserve"> που εκπροσωπούσαν το </w:t>
      </w:r>
      <w:r>
        <w:rPr>
          <w:b/>
          <w:bCs/>
          <w:color w:val="000000"/>
          <w:sz w:val="24"/>
          <w:szCs w:val="24"/>
          <w:shd w:fill="auto" w:val="clear"/>
        </w:rPr>
        <w:t>51,</w:t>
      </w:r>
      <w:r>
        <w:rPr>
          <w:b/>
          <w:bCs/>
          <w:color w:val="000000"/>
          <w:sz w:val="24"/>
          <w:szCs w:val="24"/>
          <w:shd w:fill="auto" w:val="clear"/>
        </w:rPr>
        <w:t>741</w:t>
      </w:r>
      <w:r>
        <w:rPr>
          <w:b/>
          <w:bCs/>
          <w:color w:val="000000"/>
          <w:sz w:val="24"/>
          <w:szCs w:val="24"/>
          <w:shd w:fill="auto" w:val="clear"/>
        </w:rPr>
        <w:t>%</w:t>
      </w:r>
      <w:r>
        <w:rPr>
          <w:color w:val="000000"/>
          <w:sz w:val="24"/>
          <w:szCs w:val="24"/>
          <w:shd w:fill="auto" w:val="clear"/>
        </w:rPr>
        <w:t xml:space="preserve"> </w:t>
      </w:r>
      <w:r>
        <w:rPr>
          <w:color w:val="000000"/>
          <w:sz w:val="24"/>
          <w:szCs w:val="24"/>
        </w:rPr>
        <w:t>του μετοχικού κεφαλαίου της Εταιρείας, παρατίθενται οι παρακάτω αποφάσεις επί τ</w:t>
      </w:r>
      <w:r>
        <w:rPr>
          <w:sz w:val="24"/>
          <w:szCs w:val="24"/>
        </w:rPr>
        <w:t>ων θεμάτων της ημερήσιας διάταξης :</w:t>
      </w:r>
    </w:p>
    <w:p>
      <w:pPr>
        <w:pStyle w:val="Normal"/>
        <w:jc w:val="both"/>
        <w:rPr>
          <w:sz w:val="24"/>
          <w:szCs w:val="24"/>
        </w:rPr>
      </w:pPr>
      <w:r>
        <w:rPr>
          <w:sz w:val="24"/>
          <w:szCs w:val="24"/>
        </w:rPr>
      </w:r>
    </w:p>
    <w:p>
      <w:pPr>
        <w:pStyle w:val="TextBody"/>
        <w:widowControl w:val="false"/>
        <w:rPr>
          <w:rFonts w:ascii="Arial" w:hAnsi="Arial"/>
          <w:sz w:val="24"/>
        </w:rPr>
      </w:pPr>
      <w:bookmarkStart w:id="0" w:name="_GoBack"/>
      <w:bookmarkEnd w:id="0"/>
      <w:r>
        <w:rPr>
          <w:rFonts w:cs="Arial" w:ascii="Arial" w:hAnsi="Arial"/>
          <w:b/>
          <w:sz w:val="24"/>
        </w:rPr>
        <w:t>Θέμα 1ο:</w:t>
      </w:r>
      <w:r>
        <w:rPr>
          <w:rFonts w:cs="Arial" w:ascii="Arial" w:hAnsi="Arial"/>
          <w:b/>
          <w:bCs/>
          <w:sz w:val="24"/>
        </w:rPr>
        <w:t xml:space="preserve"> </w:t>
      </w:r>
      <w:r>
        <w:rPr>
          <w:rFonts w:cs="Arial" w:ascii="Arial" w:hAnsi="Arial"/>
          <w:b/>
          <w:sz w:val="24"/>
        </w:rPr>
        <w:t>Υποβολή  και έγκριση των Ετήσιων Οικονομικών Καταστάσεων της Εταιρείας (σε ενοποιημένη και μη βάση) της εταιρικής χρήσης από 1.7.2024 – 30.06.2025, καθώς και των σχετικών Εκθέσεων του Διοικητικού Συμβουλίου και των Ορκωτών Ελεγκτών</w:t>
      </w:r>
    </w:p>
    <w:p>
      <w:pPr>
        <w:pStyle w:val="Normal"/>
        <w:jc w:val="both"/>
        <w:rPr>
          <w:sz w:val="24"/>
          <w:szCs w:val="24"/>
        </w:rPr>
      </w:pPr>
      <w:r>
        <w:rPr>
          <w:sz w:val="24"/>
          <w:szCs w:val="24"/>
        </w:rPr>
      </w:r>
    </w:p>
    <w:p>
      <w:pPr>
        <w:pStyle w:val="Normal"/>
        <w:jc w:val="both"/>
        <w:rPr>
          <w:sz w:val="24"/>
          <w:szCs w:val="24"/>
        </w:rPr>
      </w:pPr>
      <w:r>
        <w:rPr>
          <w:sz w:val="24"/>
          <w:szCs w:val="24"/>
        </w:rPr>
        <w:t xml:space="preserve">Εγκρίθηκαν οι οικονομικές καταστάσεις της χρήσης 1/7/2024-30/06/2025, (απλή – ενοποιημένη) η έκθεση του Διοικητικού Συμβουλίου και του  </w:t>
      </w:r>
      <w:r>
        <w:rPr>
          <w:spacing w:val="-3"/>
          <w:sz w:val="24"/>
          <w:szCs w:val="24"/>
        </w:rPr>
        <w:t>Ορκωτού Ελεγκτή - Λογιστή.</w:t>
      </w:r>
    </w:p>
    <w:p>
      <w:pPr>
        <w:pStyle w:val="Normal"/>
        <w:jc w:val="both"/>
        <w:rPr>
          <w:sz w:val="24"/>
          <w:szCs w:val="24"/>
        </w:rPr>
      </w:pPr>
      <w:r>
        <w:rPr>
          <w:sz w:val="24"/>
          <w:szCs w:val="24"/>
        </w:rPr>
      </w:r>
    </w:p>
    <w:p>
      <w:pPr>
        <w:pStyle w:val="TextBody"/>
        <w:widowControl w:val="false"/>
        <w:rPr>
          <w:rFonts w:ascii="Arial" w:hAnsi="Arial"/>
          <w:sz w:val="24"/>
        </w:rPr>
      </w:pPr>
      <w:r>
        <w:rPr>
          <w:rFonts w:cs="Arial" w:ascii="Arial" w:hAnsi="Arial"/>
          <w:b/>
          <w:spacing w:val="-3"/>
          <w:sz w:val="24"/>
        </w:rPr>
        <w:t>Θέμα 2ο:</w:t>
      </w:r>
      <w:r>
        <w:rPr>
          <w:rFonts w:ascii="Arial" w:hAnsi="Arial"/>
          <w:b/>
          <w:spacing w:val="-3"/>
          <w:sz w:val="24"/>
        </w:rPr>
        <w:t xml:space="preserve"> </w:t>
      </w:r>
      <w:r>
        <w:rPr>
          <w:rFonts w:cs="Arial" w:ascii="Arial" w:hAnsi="Arial"/>
          <w:b/>
          <w:sz w:val="24"/>
        </w:rPr>
        <w:t xml:space="preserve">Έγκριση της συνολικής διαχείρισης της Εταιρίας, που άσκησε το Διοικητικό Συμβούλιο κατά τη χρήση 1/7/2024-30/06/2025, σύμφωνα με τα προβλεπόμενα στο άρθρο 108 του Νόμου 4548/2018 όπως ισχύει και απαλλαγή των Ορκωτών Ελεγκτών από κάθε ευθύνη αποζημίωσης για τη χρήση 1/7/2024-30/06/2025, σύμφωνα με το άρθρο 117, παρ. 1 περίπτ. γ’ του Ν. 4548/2018. </w:t>
      </w:r>
    </w:p>
    <w:p>
      <w:pPr>
        <w:pStyle w:val="Normal"/>
        <w:tabs>
          <w:tab w:val="clear" w:pos="720"/>
          <w:tab w:val="left" w:pos="360" w:leader="none"/>
        </w:tabs>
        <w:jc w:val="both"/>
        <w:rPr>
          <w:sz w:val="24"/>
          <w:szCs w:val="24"/>
        </w:rPr>
      </w:pPr>
      <w:r>
        <w:rPr>
          <w:sz w:val="24"/>
          <w:szCs w:val="24"/>
        </w:rPr>
      </w:r>
    </w:p>
    <w:p>
      <w:pPr>
        <w:pStyle w:val="Normal"/>
        <w:jc w:val="both"/>
        <w:rPr>
          <w:sz w:val="24"/>
          <w:szCs w:val="24"/>
        </w:rPr>
      </w:pPr>
      <w:r>
        <w:rPr>
          <w:sz w:val="24"/>
          <w:szCs w:val="24"/>
        </w:rPr>
        <w:t>Εγκρίθηκε η συνολική διαχείριση της εταιρείας για τη χρήση 1/7/2024-30/06/2025 και απαλλάχθηκε ο Ορκωτός Λογιστής από κάθε ευθύνη για τις οικονομικές καταστάσεις και τα πεπραγμένα της χρήσης 1/7/2024-30/06/2025.</w:t>
      </w:r>
    </w:p>
    <w:p>
      <w:pPr>
        <w:pStyle w:val="Normal"/>
        <w:jc w:val="both"/>
        <w:rPr>
          <w:sz w:val="24"/>
          <w:szCs w:val="24"/>
        </w:rPr>
      </w:pPr>
      <w:r>
        <w:rPr>
          <w:sz w:val="24"/>
          <w:szCs w:val="24"/>
        </w:rPr>
      </w:r>
    </w:p>
    <w:p>
      <w:pPr>
        <w:pStyle w:val="TextBody"/>
        <w:widowControl w:val="false"/>
        <w:rPr>
          <w:rFonts w:ascii="Arial" w:hAnsi="Arial"/>
          <w:sz w:val="24"/>
        </w:rPr>
      </w:pPr>
      <w:r>
        <w:rPr>
          <w:rFonts w:cs="Arial" w:ascii="Arial" w:hAnsi="Arial"/>
          <w:b/>
          <w:spacing w:val="-3"/>
          <w:sz w:val="24"/>
        </w:rPr>
        <w:t>Θέμα 3ο: Ενημέρωση για την παραίτηση μέλους ΔΣ, λήψη απόφασης της Γενικής Συνέλευσης περί της οριστικής αντικατάστασής του.</w:t>
      </w:r>
    </w:p>
    <w:p>
      <w:pPr>
        <w:pStyle w:val="TextBody"/>
        <w:widowControl w:val="false"/>
        <w:rPr>
          <w:rFonts w:ascii="Arial" w:hAnsi="Arial"/>
          <w:sz w:val="24"/>
        </w:rPr>
      </w:pPr>
      <w:r>
        <w:rPr>
          <w:rFonts w:ascii="Arial" w:hAnsi="Arial"/>
          <w:sz w:val="24"/>
        </w:rPr>
      </w:r>
    </w:p>
    <w:p>
      <w:pPr>
        <w:pStyle w:val="TextBody"/>
        <w:widowControl w:val="false"/>
        <w:rPr/>
      </w:pPr>
      <w:r>
        <w:rPr>
          <w:rFonts w:cs="Arial" w:ascii="Arial" w:hAnsi="Arial"/>
          <w:spacing w:val="-3"/>
          <w:sz w:val="24"/>
        </w:rPr>
        <w:t xml:space="preserve">Η Γενική Συνέλευση </w:t>
      </w:r>
      <w:r>
        <w:rPr>
          <w:rStyle w:val="None"/>
          <w:rFonts w:cs="Arial" w:ascii="Arial" w:hAnsi="Arial"/>
          <w:spacing w:val="-3"/>
          <w:sz w:val="24"/>
          <w:lang w:val="el-GR"/>
        </w:rPr>
        <w:t>αποφάσισε την εκλογή της κας. Παρασκευής Ντοβίνου του Ιωάννη, κατοίκου Αθηνών, οδός Λεβαδείας, αριθμ 57, ΤΚ 16561, με ΑΔΤ Χ093763 του ΤΑ Γλυφάδας και ΑΦΜ 051166835, ως εκτελεστικού μέλους ΔΣ της εταιρείας CPI A.E σύμφωνα με τον νόμο και το καταστατικό για θητεία έως του υπολοίπου της θητείας του παρόντος ΔΣ ήτοι έως τις 04/03/2031.</w:t>
      </w:r>
    </w:p>
    <w:p>
      <w:pPr>
        <w:pStyle w:val="Normal"/>
        <w:jc w:val="both"/>
        <w:rPr>
          <w:sz w:val="24"/>
          <w:szCs w:val="24"/>
        </w:rPr>
      </w:pPr>
      <w:r>
        <w:rPr>
          <w:sz w:val="24"/>
          <w:szCs w:val="24"/>
        </w:rPr>
      </w:r>
    </w:p>
    <w:p>
      <w:pPr>
        <w:pStyle w:val="Normal"/>
        <w:jc w:val="both"/>
        <w:rPr/>
      </w:pPr>
      <w:r>
        <w:rPr>
          <w:b/>
          <w:bCs/>
          <w:sz w:val="24"/>
          <w:szCs w:val="24"/>
        </w:rPr>
        <w:t xml:space="preserve">Θέμα 4ο: </w:t>
      </w:r>
      <w:r>
        <w:rPr>
          <w:rStyle w:val="Hyperlink3"/>
          <w:b/>
          <w:bCs/>
          <w:sz w:val="24"/>
          <w:szCs w:val="24"/>
        </w:rPr>
        <w:t>Έκθεση πεπραγμένων Επιτροπής Ελέγχου.</w:t>
      </w:r>
    </w:p>
    <w:p>
      <w:pPr>
        <w:pStyle w:val="Normal"/>
        <w:jc w:val="both"/>
        <w:rPr>
          <w:rStyle w:val="Hyperlink3"/>
          <w:b/>
          <w:b/>
          <w:bCs/>
          <w:sz w:val="24"/>
          <w:szCs w:val="24"/>
        </w:rPr>
      </w:pPr>
      <w:r>
        <w:rPr>
          <w:b/>
          <w:bCs/>
          <w:sz w:val="24"/>
          <w:szCs w:val="24"/>
        </w:rPr>
      </w:r>
    </w:p>
    <w:p>
      <w:pPr>
        <w:pStyle w:val="Normal"/>
        <w:widowControl w:val="false"/>
        <w:jc w:val="both"/>
        <w:rPr/>
      </w:pPr>
      <w:r>
        <w:rPr>
          <w:rStyle w:val="Hyperlink3"/>
          <w:spacing w:val="-3"/>
          <w:sz w:val="24"/>
          <w:szCs w:val="24"/>
        </w:rPr>
        <w:t>Αναγνώσθηκε από τον Πρόεδρο της Επιτροπής Ελέγχου της εταιρείας η Έκθεση Πεπραγμένων της Επιτροπής Ελέγχου.</w:t>
      </w:r>
    </w:p>
    <w:p>
      <w:pPr>
        <w:pStyle w:val="1"/>
        <w:widowControl w:val="false"/>
        <w:rPr>
          <w:rFonts w:ascii="Arial" w:hAnsi="Arial"/>
          <w:sz w:val="24"/>
          <w:szCs w:val="24"/>
          <w:lang w:val="el-GR"/>
        </w:rPr>
      </w:pPr>
      <w:r>
        <w:rPr>
          <w:rFonts w:ascii="Arial" w:hAnsi="Arial"/>
          <w:sz w:val="24"/>
          <w:szCs w:val="24"/>
          <w:lang w:val="el-GR"/>
        </w:rPr>
      </w:r>
    </w:p>
    <w:p>
      <w:pPr>
        <w:pStyle w:val="1"/>
        <w:widowControl w:val="false"/>
        <w:rPr>
          <w:rFonts w:ascii="Arial" w:hAnsi="Arial"/>
          <w:sz w:val="24"/>
          <w:szCs w:val="24"/>
          <w:lang w:val="el-GR"/>
        </w:rPr>
      </w:pPr>
      <w:r>
        <w:rPr>
          <w:rStyle w:val="None"/>
          <w:rFonts w:cs="Arial" w:ascii="Arial" w:hAnsi="Arial"/>
          <w:b/>
          <w:bCs/>
          <w:spacing w:val="-3"/>
          <w:sz w:val="24"/>
          <w:szCs w:val="24"/>
          <w:lang w:val="el-GR"/>
        </w:rPr>
        <w:t>Θέμα 5ο: Αναφορά/έκθεση προς την ΓΣ των ανεξαρτήτων μη εκτελεστικών μελών του Διοικητικού Συμβουλίου.</w:t>
      </w:r>
    </w:p>
    <w:p>
      <w:pPr>
        <w:pStyle w:val="1"/>
        <w:widowControl w:val="false"/>
        <w:rPr>
          <w:rFonts w:ascii="Arial" w:hAnsi="Arial"/>
          <w:sz w:val="24"/>
          <w:szCs w:val="24"/>
          <w:lang w:val="el-GR"/>
        </w:rPr>
      </w:pPr>
      <w:r>
        <w:rPr>
          <w:rFonts w:ascii="Arial" w:hAnsi="Arial"/>
          <w:sz w:val="24"/>
          <w:szCs w:val="24"/>
          <w:lang w:val="el-GR"/>
        </w:rPr>
      </w:r>
    </w:p>
    <w:p>
      <w:pPr>
        <w:pStyle w:val="1"/>
        <w:widowControl w:val="false"/>
        <w:rPr>
          <w:lang w:val="el-GR"/>
        </w:rPr>
      </w:pPr>
      <w:r>
        <w:rPr>
          <w:rStyle w:val="None"/>
          <w:rFonts w:cs="Arial" w:ascii="Arial" w:hAnsi="Arial"/>
          <w:spacing w:val="-3"/>
          <w:sz w:val="24"/>
          <w:szCs w:val="24"/>
          <w:lang w:val="el-GR"/>
        </w:rPr>
        <w:t>Παρουσιάσθηκε η Αναφορά/έκθεση προς την ΓΣ των ανεξαρτήτων μη εκτελεστικών μελών του Διοικητικού Συμβουλίου.</w:t>
      </w:r>
    </w:p>
    <w:p>
      <w:pPr>
        <w:pStyle w:val="TextBody"/>
        <w:widowControl w:val="false"/>
        <w:rPr>
          <w:rFonts w:ascii="Arial" w:hAnsi="Arial"/>
          <w:sz w:val="24"/>
        </w:rPr>
      </w:pPr>
      <w:r>
        <w:rPr>
          <w:rFonts w:ascii="Arial" w:hAnsi="Arial"/>
          <w:sz w:val="24"/>
        </w:rPr>
      </w:r>
    </w:p>
    <w:p>
      <w:pPr>
        <w:pStyle w:val="Normal"/>
        <w:tabs>
          <w:tab w:val="clear" w:pos="720"/>
          <w:tab w:val="left" w:pos="20" w:leader="none"/>
          <w:tab w:val="left" w:pos="709" w:leader="none"/>
        </w:tabs>
        <w:jc w:val="both"/>
        <w:rPr>
          <w:sz w:val="24"/>
          <w:szCs w:val="24"/>
        </w:rPr>
      </w:pPr>
      <w:r>
        <w:rPr>
          <w:b/>
          <w:sz w:val="24"/>
          <w:szCs w:val="24"/>
        </w:rPr>
        <w:t>Θέμα 6ο:</w:t>
      </w:r>
      <w:r>
        <w:rPr>
          <w:b/>
          <w:sz w:val="24"/>
          <w:szCs w:val="24"/>
          <w:vertAlign w:val="superscript"/>
        </w:rPr>
        <w:t xml:space="preserve"> </w:t>
      </w:r>
      <w:r>
        <w:rPr>
          <w:b/>
          <w:spacing w:val="3"/>
          <w:kern w:val="2"/>
          <w:sz w:val="24"/>
          <w:szCs w:val="24"/>
        </w:rPr>
        <w:t>Εκλογή δύο Ορκωτών Ελεγκτών, δηλαδή ενός τακτικού και ενός αναπληρωματικού για τη χρήση 1.7.2025-30.06.2026 και καθορισμός της αμοιβής αυτών.</w:t>
      </w:r>
    </w:p>
    <w:p>
      <w:pPr>
        <w:pStyle w:val="Normal"/>
        <w:tabs>
          <w:tab w:val="clear" w:pos="720"/>
          <w:tab w:val="left" w:pos="20" w:leader="none"/>
          <w:tab w:val="left" w:pos="709" w:leader="none"/>
        </w:tabs>
        <w:jc w:val="both"/>
        <w:rPr>
          <w:spacing w:val="3"/>
          <w:kern w:val="2"/>
          <w:sz w:val="24"/>
          <w:szCs w:val="24"/>
        </w:rPr>
      </w:pPr>
      <w:r>
        <w:rPr>
          <w:spacing w:val="3"/>
          <w:kern w:val="2"/>
          <w:sz w:val="24"/>
          <w:szCs w:val="24"/>
        </w:rPr>
      </w:r>
    </w:p>
    <w:p>
      <w:pPr>
        <w:pStyle w:val="Normal"/>
        <w:widowControl w:val="false"/>
        <w:tabs>
          <w:tab w:val="clear" w:pos="720"/>
          <w:tab w:val="left" w:pos="20" w:leader="none"/>
          <w:tab w:val="left" w:pos="709" w:leader="none"/>
        </w:tabs>
        <w:jc w:val="both"/>
        <w:rPr/>
      </w:pPr>
      <w:r>
        <w:rPr>
          <w:spacing w:val="3"/>
          <w:kern w:val="2"/>
          <w:sz w:val="24"/>
          <w:szCs w:val="24"/>
        </w:rPr>
        <w:t>Πραγματοποιήθηκε από την Γενική Συννέλευση εκλογή Ορκωτών Ελεγκτών</w:t>
      </w:r>
      <w:r>
        <w:rPr>
          <w:rStyle w:val="None"/>
          <w:b/>
          <w:bCs/>
        </w:rPr>
        <w:t xml:space="preserve"> </w:t>
      </w:r>
      <w:r>
        <w:rPr>
          <w:rStyle w:val="None"/>
          <w:bCs/>
        </w:rPr>
        <w:t>ήτοι</w:t>
      </w:r>
      <w:r>
        <w:rPr>
          <w:rStyle w:val="None"/>
          <w:b/>
          <w:bCs/>
        </w:rPr>
        <w:t xml:space="preserve"> </w:t>
      </w:r>
      <w:r>
        <w:rPr>
          <w:rStyle w:val="None"/>
        </w:rPr>
        <w:t xml:space="preserve"> της  ελεγκτικής εταιρείας με την επωνυμία «MAZARS ΟΡΚΩΤΟΙ ΕΛΕΓΚΤΕΣ ΛΟΓΙΣΤΕΣ ΕΠΙΧΕΙΡΗΜΑΤΙΚΟΙ ΣΥΜΒΟΥΛΟΙ ΑΕ» με Α.Μ. ΕΛΤΕ 017 και ειδικότερα ως τακτικού ελεγκτή του κ. ΜΑΚΡΗ ΚΩΝΣΤΑΝΤΙΝΟΥ του Γεωργίου, με AM ΕΛΤΕ 1483 και  Α.Φ.Μ. 073501616,  και ως αναπληρωτή ελεγκτή του κ. ΝΙΚΟΛΑΟΥ ΚΑΣΟΥΡΙΔΗ του Χρήστου, με AM ΕΛΤΕ 1361 και  Α.Φ.Μ. 079262206 </w:t>
      </w:r>
      <w:r>
        <w:rPr>
          <w:spacing w:val="3"/>
          <w:kern w:val="2"/>
          <w:sz w:val="24"/>
          <w:szCs w:val="24"/>
        </w:rPr>
        <w:t>για τη χρήση 1/7/2024-30/06/2025 και αποφασίσθηκε το ποσό της αμοιβής τους.</w:t>
      </w:r>
    </w:p>
    <w:p>
      <w:pPr>
        <w:pStyle w:val="TextBody"/>
        <w:widowControl w:val="false"/>
        <w:rPr>
          <w:rFonts w:ascii="Arial" w:hAnsi="Arial"/>
          <w:sz w:val="24"/>
        </w:rPr>
      </w:pPr>
      <w:r>
        <w:rPr>
          <w:rFonts w:ascii="Arial" w:hAnsi="Arial"/>
          <w:sz w:val="24"/>
        </w:rPr>
      </w:r>
    </w:p>
    <w:p>
      <w:pPr>
        <w:pStyle w:val="TextBody"/>
        <w:widowControl w:val="false"/>
        <w:rPr>
          <w:rFonts w:ascii="Arial" w:hAnsi="Arial"/>
          <w:sz w:val="24"/>
        </w:rPr>
      </w:pPr>
      <w:r>
        <w:rPr>
          <w:rFonts w:cs="Arial" w:ascii="Arial" w:hAnsi="Arial"/>
          <w:b/>
          <w:spacing w:val="-3"/>
          <w:sz w:val="24"/>
        </w:rPr>
        <w:t>Θέμα 7ο: Υποβολή προς συζήτηση στη Γενική Συνέλευση της Έκθεσης Αποδοχών των μελών του Δ.Σ. για την οικονομική χρήση 1/7/2024-30/06/2025, σύμφωνα με το άρθρο 112 του ν. 4548/2018.</w:t>
      </w:r>
    </w:p>
    <w:p>
      <w:pPr>
        <w:pStyle w:val="Normal"/>
        <w:jc w:val="both"/>
        <w:rPr>
          <w:b/>
          <w:b/>
          <w:spacing w:val="-3"/>
          <w:sz w:val="24"/>
          <w:szCs w:val="24"/>
        </w:rPr>
      </w:pPr>
      <w:r>
        <w:rPr>
          <w:b/>
          <w:spacing w:val="-3"/>
          <w:sz w:val="24"/>
          <w:szCs w:val="24"/>
        </w:rPr>
      </w:r>
    </w:p>
    <w:p>
      <w:pPr>
        <w:pStyle w:val="Normal"/>
        <w:tabs>
          <w:tab w:val="clear" w:pos="720"/>
          <w:tab w:val="left" w:pos="20" w:leader="none"/>
          <w:tab w:val="left" w:pos="709" w:leader="none"/>
        </w:tabs>
        <w:jc w:val="both"/>
        <w:rPr>
          <w:sz w:val="24"/>
          <w:szCs w:val="24"/>
        </w:rPr>
      </w:pPr>
      <w:r>
        <w:rPr>
          <w:spacing w:val="3"/>
          <w:kern w:val="2"/>
          <w:sz w:val="24"/>
          <w:szCs w:val="24"/>
        </w:rPr>
        <w:t>Υποβλήθηκε και εγκρίθηκε η Έκθεση Αποδοχών του Δ.Σ. για την οικονομική χρήση 1/7/2024-30/06/2025, σύμφωνα με τις προβλέψεις του άρθρου 112  ν. 4548/2018.</w:t>
      </w:r>
    </w:p>
    <w:p>
      <w:pPr>
        <w:pStyle w:val="Normal"/>
        <w:jc w:val="both"/>
        <w:rPr>
          <w:b/>
          <w:b/>
          <w:spacing w:val="-3"/>
          <w:sz w:val="24"/>
          <w:szCs w:val="24"/>
        </w:rPr>
      </w:pPr>
      <w:r>
        <w:rPr>
          <w:b/>
          <w:spacing w:val="-3"/>
          <w:sz w:val="24"/>
          <w:szCs w:val="24"/>
        </w:rPr>
      </w:r>
    </w:p>
    <w:p>
      <w:pPr>
        <w:pStyle w:val="Normal"/>
        <w:tabs>
          <w:tab w:val="clear" w:pos="720"/>
          <w:tab w:val="left" w:pos="20" w:leader="none"/>
          <w:tab w:val="left" w:pos="709" w:leader="none"/>
        </w:tabs>
        <w:jc w:val="both"/>
        <w:rPr>
          <w:sz w:val="24"/>
          <w:szCs w:val="24"/>
        </w:rPr>
      </w:pPr>
      <w:r>
        <w:rPr>
          <w:b/>
          <w:sz w:val="24"/>
          <w:szCs w:val="24"/>
        </w:rPr>
        <w:t>Θέμα 8ο: Έγκριση αμοιβών των μελών του Διοικητικού Συμβουλίου για τη χρήση 1.7.2024-30.06.2025 και προέγκριση αυτών για τη χρήση 1.7.2025-30.06.2026.</w:t>
      </w:r>
    </w:p>
    <w:p>
      <w:pPr>
        <w:pStyle w:val="Normal"/>
        <w:tabs>
          <w:tab w:val="clear" w:pos="720"/>
          <w:tab w:val="left" w:pos="20" w:leader="none"/>
          <w:tab w:val="left" w:pos="709" w:leader="none"/>
        </w:tabs>
        <w:jc w:val="both"/>
        <w:rPr>
          <w:sz w:val="24"/>
          <w:szCs w:val="24"/>
        </w:rPr>
      </w:pPr>
      <w:r>
        <w:rPr>
          <w:sz w:val="24"/>
          <w:szCs w:val="24"/>
        </w:rPr>
      </w:r>
    </w:p>
    <w:p>
      <w:pPr>
        <w:pStyle w:val="11"/>
        <w:jc w:val="both"/>
        <w:rPr>
          <w:rStyle w:val="None"/>
          <w:rFonts w:ascii="Arial" w:hAnsi="Arial"/>
          <w:b/>
          <w:b/>
          <w:bCs/>
          <w:lang w:val="el-GR"/>
        </w:rPr>
      </w:pPr>
      <w:r>
        <w:rPr>
          <w:rStyle w:val="None"/>
          <w:rFonts w:ascii="Arial" w:hAnsi="Arial"/>
          <w:lang w:val="el-GR"/>
        </w:rPr>
        <w:t xml:space="preserve">Κατά την παρελθούσα χρήση </w:t>
      </w:r>
      <w:r>
        <w:rPr>
          <w:rStyle w:val="None"/>
          <w:rFonts w:ascii="Arial" w:hAnsi="Arial"/>
          <w:b/>
          <w:bCs/>
          <w:lang w:val="el-GR"/>
        </w:rPr>
        <w:t>(1.7.2024-30.06.2025),</w:t>
      </w:r>
      <w:r>
        <w:rPr>
          <w:rStyle w:val="None"/>
          <w:rFonts w:ascii="Arial" w:hAnsi="Arial"/>
          <w:lang w:val="el-GR"/>
        </w:rPr>
        <w:t xml:space="preserve"> </w:t>
      </w:r>
      <w:r>
        <w:rPr>
          <w:rStyle w:val="None"/>
          <w:rFonts w:ascii="Arial" w:hAnsi="Arial"/>
          <w:color w:val="000000"/>
          <w:lang w:val="el-GR"/>
        </w:rPr>
        <w:t xml:space="preserve">δεν καταβλήθηκαν αμοιβές μελών του Διοικητικού Συμβουλίου και ακολούθως προεγκρίθηκε από την Γενική Συνέλευση η καταβολή αμοιβών στα μέλη του διοικητικού συμβουλίου για την τρέχουσα εταιρική χρήση </w:t>
      </w:r>
      <w:r>
        <w:rPr>
          <w:rStyle w:val="None"/>
          <w:rFonts w:ascii="Arial" w:hAnsi="Arial"/>
          <w:b/>
          <w:bCs/>
          <w:color w:val="000000"/>
          <w:lang w:val="el-GR"/>
        </w:rPr>
        <w:t xml:space="preserve">(1.7.2025-30.06.2026), </w:t>
      </w:r>
      <w:r>
        <w:rPr>
          <w:rStyle w:val="None"/>
          <w:rFonts w:ascii="Arial" w:hAnsi="Arial"/>
          <w:color w:val="000000"/>
          <w:shd w:fill="auto" w:val="clear"/>
          <w:lang w:val="el-GR"/>
        </w:rPr>
        <w:t xml:space="preserve">συνολικού ποσού </w:t>
      </w:r>
      <w:r>
        <w:rPr>
          <w:rStyle w:val="None"/>
          <w:rFonts w:ascii="Arial" w:hAnsi="Arial"/>
          <w:b w:val="false"/>
          <w:bCs w:val="false"/>
          <w:color w:val="000000"/>
          <w:shd w:fill="auto" w:val="clear"/>
          <w:lang w:val="el-GR"/>
        </w:rPr>
        <w:t>μέχρι 80.000€.</w:t>
      </w:r>
    </w:p>
    <w:p>
      <w:pPr>
        <w:pStyle w:val="11"/>
        <w:jc w:val="both"/>
        <w:rPr>
          <w:color w:val="000000"/>
          <w:lang w:val="el-GR"/>
        </w:rPr>
      </w:pPr>
      <w:r>
        <w:rPr>
          <w:color w:val="000000"/>
          <w:lang w:val="el-GR"/>
        </w:rPr>
      </w:r>
    </w:p>
    <w:p>
      <w:pPr>
        <w:pStyle w:val="Normal"/>
        <w:tabs>
          <w:tab w:val="clear" w:pos="720"/>
          <w:tab w:val="left" w:pos="20" w:leader="none"/>
          <w:tab w:val="left" w:pos="709" w:leader="none"/>
        </w:tabs>
        <w:jc w:val="both"/>
        <w:rPr>
          <w:sz w:val="24"/>
          <w:szCs w:val="24"/>
        </w:rPr>
      </w:pPr>
      <w:r>
        <w:rPr>
          <w:b/>
          <w:sz w:val="24"/>
          <w:szCs w:val="24"/>
        </w:rPr>
        <w:t>Θέμα 9ο: Έγκριση προκαταβολής αμοιβών σε μέλη του Δ.Σ. για το διάστημα μέχρι την επόμενη Τακτική Γενική Συνέλευση σύμφωνα με το άρθρο 109 του Νόμου 4548/2018.</w:t>
      </w:r>
    </w:p>
    <w:p>
      <w:pPr>
        <w:pStyle w:val="Normal"/>
        <w:tabs>
          <w:tab w:val="clear" w:pos="720"/>
          <w:tab w:val="left" w:pos="20" w:leader="none"/>
          <w:tab w:val="left" w:pos="709" w:leader="none"/>
        </w:tabs>
        <w:jc w:val="both"/>
        <w:rPr>
          <w:sz w:val="24"/>
          <w:szCs w:val="24"/>
        </w:rPr>
      </w:pPr>
      <w:r>
        <w:rPr>
          <w:sz w:val="24"/>
          <w:szCs w:val="24"/>
        </w:rPr>
      </w:r>
    </w:p>
    <w:p>
      <w:pPr>
        <w:pStyle w:val="Normal"/>
        <w:tabs>
          <w:tab w:val="clear" w:pos="720"/>
          <w:tab w:val="left" w:pos="20" w:leader="none"/>
          <w:tab w:val="left" w:pos="709" w:leader="none"/>
        </w:tabs>
        <w:jc w:val="both"/>
        <w:rPr>
          <w:sz w:val="24"/>
          <w:szCs w:val="24"/>
        </w:rPr>
      </w:pPr>
      <w:r>
        <w:rPr>
          <w:sz w:val="24"/>
          <w:szCs w:val="24"/>
        </w:rPr>
        <w:t xml:space="preserve">Εγκρίθηκε από την Γενική Συνέλευση η χορήγηση προκαταβολών στα μέλη του Διοικητικού Συμβουλίου για την περίοδο από την </w:t>
      </w:r>
      <w:r>
        <w:rPr>
          <w:b/>
          <w:bCs/>
          <w:sz w:val="24"/>
          <w:szCs w:val="24"/>
        </w:rPr>
        <w:t>01/07/2026</w:t>
      </w:r>
      <w:r>
        <w:rPr>
          <w:sz w:val="24"/>
          <w:szCs w:val="24"/>
        </w:rPr>
        <w:t xml:space="preserve"> και μέχρι την επόμενη Τακτική Γενική Συνέλευση</w:t>
      </w:r>
      <w:r>
        <w:rPr>
          <w:rStyle w:val="BodyTextChar"/>
          <w:sz w:val="24"/>
        </w:rPr>
        <w:t xml:space="preserve"> </w:t>
      </w:r>
      <w:r>
        <w:rPr>
          <w:rStyle w:val="None"/>
          <w:sz w:val="24"/>
          <w:shd w:fill="auto" w:val="clear"/>
        </w:rPr>
        <w:t>συνολικού ποσού μέχρι 80</w:t>
      </w:r>
      <w:r>
        <w:rPr>
          <w:rStyle w:val="None"/>
          <w:color w:val="000000"/>
          <w:sz w:val="24"/>
          <w:shd w:fill="auto" w:val="clear"/>
        </w:rPr>
        <w:t>.000 ευρώ.</w:t>
      </w:r>
    </w:p>
    <w:p>
      <w:pPr>
        <w:pStyle w:val="Normal"/>
        <w:tabs>
          <w:tab w:val="clear" w:pos="720"/>
          <w:tab w:val="left" w:pos="20" w:leader="none"/>
          <w:tab w:val="left" w:pos="709" w:leader="none"/>
        </w:tabs>
        <w:jc w:val="both"/>
        <w:rPr>
          <w:color w:val="000000"/>
          <w:sz w:val="24"/>
          <w:szCs w:val="24"/>
        </w:rPr>
      </w:pPr>
      <w:r>
        <w:rPr>
          <w:color w:val="000000"/>
          <w:sz w:val="24"/>
          <w:szCs w:val="24"/>
        </w:rPr>
      </w:r>
    </w:p>
    <w:p>
      <w:pPr>
        <w:pStyle w:val="Normal"/>
        <w:tabs>
          <w:tab w:val="clear" w:pos="720"/>
          <w:tab w:val="left" w:pos="20" w:leader="none"/>
          <w:tab w:val="left" w:pos="709" w:leader="none"/>
        </w:tabs>
        <w:jc w:val="both"/>
        <w:rPr>
          <w:sz w:val="24"/>
          <w:szCs w:val="24"/>
        </w:rPr>
      </w:pPr>
      <w:r>
        <w:rPr>
          <w:b/>
          <w:bCs/>
          <w:sz w:val="24"/>
          <w:szCs w:val="24"/>
        </w:rPr>
        <w:t>Θέμα 10ο:</w:t>
      </w:r>
      <w:r>
        <w:rPr>
          <w:sz w:val="24"/>
          <w:szCs w:val="24"/>
        </w:rPr>
        <w:t xml:space="preserve"> </w:t>
      </w:r>
      <w:r>
        <w:rPr>
          <w:rStyle w:val="None"/>
          <w:b/>
          <w:bCs/>
          <w:color w:val="000000"/>
          <w:sz w:val="24"/>
          <w:szCs w:val="24"/>
        </w:rPr>
        <w:t>Έγκριση προγράμματος αγοράς ιδίων μετοχών σύμφωνα με το άρθρο 49 του Ν. 4548/2018 και παροχή σχετικών εξουσιοδοτήσεων προς το Δ.Σ. για τα διαδικαστικά.</w:t>
      </w:r>
    </w:p>
    <w:p>
      <w:pPr>
        <w:pStyle w:val="Normal"/>
        <w:tabs>
          <w:tab w:val="clear" w:pos="720"/>
          <w:tab w:val="left" w:pos="20" w:leader="none"/>
          <w:tab w:val="left" w:pos="709" w:leader="none"/>
        </w:tabs>
        <w:jc w:val="both"/>
        <w:rPr>
          <w:rStyle w:val="None"/>
          <w:color w:val="000000"/>
          <w:sz w:val="24"/>
          <w:szCs w:val="24"/>
        </w:rPr>
      </w:pPr>
      <w:r>
        <w:rPr>
          <w:color w:val="000000"/>
          <w:sz w:val="24"/>
          <w:szCs w:val="24"/>
        </w:rPr>
      </w:r>
    </w:p>
    <w:p>
      <w:pPr>
        <w:pStyle w:val="Normal"/>
        <w:jc w:val="both"/>
        <w:rPr>
          <w:sz w:val="24"/>
          <w:szCs w:val="24"/>
        </w:rPr>
      </w:pPr>
      <w:r>
        <w:rPr>
          <w:sz w:val="24"/>
          <w:szCs w:val="24"/>
        </w:rPr>
        <w:t>Εγκρίθηκε από την Γενική Συνέλευση η παροχή εξουσιοδότησης προς το Δ.Σ. ώστε να έχει τη δυνατότητα να θεσπίζει πρόγραμμα αγοράς ιδίων μετοχών της Εταιρίας μέσω του Χ.Α.Α. με τους εξής ειδικότερους όρους και προϋποθέσεις:</w:t>
      </w:r>
    </w:p>
    <w:p>
      <w:pPr>
        <w:pStyle w:val="Normal"/>
        <w:jc w:val="both"/>
        <w:rPr>
          <w:b/>
          <w:b/>
          <w:spacing w:val="-3"/>
          <w:sz w:val="24"/>
          <w:szCs w:val="24"/>
        </w:rPr>
      </w:pPr>
      <w:r>
        <w:rPr>
          <w:b/>
          <w:spacing w:val="-3"/>
          <w:sz w:val="24"/>
          <w:szCs w:val="24"/>
        </w:rPr>
      </w:r>
    </w:p>
    <w:p>
      <w:pPr>
        <w:pStyle w:val="Normal"/>
        <w:numPr>
          <w:ilvl w:val="0"/>
          <w:numId w:val="1"/>
        </w:numPr>
        <w:suppressAutoHyphens w:val="false"/>
        <w:jc w:val="both"/>
        <w:rPr>
          <w:sz w:val="24"/>
          <w:szCs w:val="24"/>
        </w:rPr>
      </w:pPr>
      <w:r>
        <w:rPr>
          <w:spacing w:val="-3"/>
          <w:sz w:val="24"/>
          <w:szCs w:val="24"/>
        </w:rPr>
        <w:t>Διάρκεια για την οποία χορηγείται η έγκριση</w:t>
      </w:r>
      <w:r>
        <w:rPr>
          <w:b/>
          <w:spacing w:val="-3"/>
          <w:sz w:val="24"/>
          <w:szCs w:val="24"/>
        </w:rPr>
        <w:t xml:space="preserve"> :</w:t>
      </w:r>
      <w:r>
        <w:rPr>
          <w:spacing w:val="-3"/>
          <w:sz w:val="24"/>
          <w:szCs w:val="24"/>
        </w:rPr>
        <w:t xml:space="preserve"> </w:t>
      </w:r>
      <w:r>
        <w:rPr>
          <w:b w:val="false"/>
          <w:bCs w:val="false"/>
          <w:spacing w:val="-3"/>
          <w:sz w:val="24"/>
          <w:szCs w:val="24"/>
        </w:rPr>
        <w:t xml:space="preserve">24 μήνες </w:t>
      </w:r>
    </w:p>
    <w:p>
      <w:pPr>
        <w:pStyle w:val="Normal"/>
        <w:numPr>
          <w:ilvl w:val="0"/>
          <w:numId w:val="1"/>
        </w:numPr>
        <w:suppressAutoHyphens w:val="false"/>
        <w:jc w:val="both"/>
        <w:rPr>
          <w:b w:val="false"/>
          <w:b w:val="false"/>
          <w:bCs w:val="false"/>
        </w:rPr>
      </w:pPr>
      <w:r>
        <w:rPr>
          <w:b w:val="false"/>
          <w:bCs w:val="false"/>
          <w:spacing w:val="-3"/>
          <w:sz w:val="24"/>
          <w:szCs w:val="24"/>
        </w:rPr>
        <w:t>Ανώτατο όριο τιμής μετοχής στην οποία μπορεί να γίνει η απόκτηση : € 1,00</w:t>
      </w:r>
    </w:p>
    <w:p>
      <w:pPr>
        <w:pStyle w:val="Normal"/>
        <w:numPr>
          <w:ilvl w:val="0"/>
          <w:numId w:val="1"/>
        </w:numPr>
        <w:suppressAutoHyphens w:val="false"/>
        <w:jc w:val="both"/>
        <w:rPr>
          <w:b w:val="false"/>
          <w:b w:val="false"/>
          <w:bCs w:val="false"/>
        </w:rPr>
      </w:pPr>
      <w:r>
        <w:rPr>
          <w:b w:val="false"/>
          <w:bCs w:val="false"/>
          <w:spacing w:val="-3"/>
          <w:sz w:val="24"/>
          <w:szCs w:val="24"/>
        </w:rPr>
        <w:t>Κατώτατο όριο τιμής μετοχής στην οποία μπορεί να γίνει η απόκτηση : € 0,30</w:t>
      </w:r>
    </w:p>
    <w:p>
      <w:pPr>
        <w:pStyle w:val="Normal"/>
        <w:numPr>
          <w:ilvl w:val="0"/>
          <w:numId w:val="1"/>
        </w:numPr>
        <w:suppressAutoHyphens w:val="false"/>
        <w:jc w:val="both"/>
        <w:rPr>
          <w:sz w:val="24"/>
          <w:szCs w:val="24"/>
        </w:rPr>
      </w:pPr>
      <w:r>
        <w:rPr>
          <w:b w:val="false"/>
          <w:bCs w:val="false"/>
          <w:spacing w:val="-3"/>
          <w:sz w:val="24"/>
          <w:szCs w:val="24"/>
        </w:rPr>
        <w:t>Μέγιστος αριθμός μετοχών που μπορεί να αποκτηθούν: Μέχρι το 1/10 του καταβεβλημένου μετοχικού κεφαλαίου (του συνολικού αριθμού τ</w:t>
      </w:r>
      <w:r>
        <w:rPr>
          <w:spacing w:val="-3"/>
          <w:sz w:val="24"/>
          <w:szCs w:val="24"/>
        </w:rPr>
        <w:t>ων μετοχών)</w:t>
      </w:r>
    </w:p>
    <w:p>
      <w:pPr>
        <w:pStyle w:val="Normal"/>
        <w:tabs>
          <w:tab w:val="clear" w:pos="720"/>
          <w:tab w:val="left" w:pos="20" w:leader="none"/>
          <w:tab w:val="left" w:pos="709" w:leader="none"/>
        </w:tabs>
        <w:jc w:val="both"/>
        <w:rPr>
          <w:sz w:val="24"/>
          <w:szCs w:val="24"/>
        </w:rPr>
      </w:pPr>
      <w:r>
        <w:rPr>
          <w:sz w:val="24"/>
          <w:szCs w:val="24"/>
        </w:rPr>
      </w:r>
    </w:p>
    <w:p>
      <w:pPr>
        <w:pStyle w:val="1"/>
        <w:widowControl w:val="false"/>
        <w:tabs>
          <w:tab w:val="clear" w:pos="720"/>
          <w:tab w:val="left" w:pos="20" w:leader="none"/>
          <w:tab w:val="left" w:pos="709" w:leader="none"/>
        </w:tabs>
        <w:rPr>
          <w:rFonts w:ascii="Arial" w:hAnsi="Arial"/>
          <w:sz w:val="24"/>
          <w:szCs w:val="24"/>
          <w:lang w:val="el-GR"/>
        </w:rPr>
      </w:pPr>
      <w:r>
        <w:rPr>
          <w:rStyle w:val="None"/>
          <w:rFonts w:ascii="Arial" w:hAnsi="Arial"/>
          <w:b/>
          <w:bCs/>
          <w:sz w:val="24"/>
          <w:szCs w:val="24"/>
          <w:lang w:val="el-GR"/>
        </w:rPr>
        <w:t>Θέμα 11ο: Παροχή αδείας, κατ’ άρθρο 98 παρ. 1 του Ν.4548/2018 στα μέλη του Διοικητικού Συμβουλίου συμμετοχής στα διοικητικά συμβούλια άλλων εταιρειών.</w:t>
      </w:r>
    </w:p>
    <w:p>
      <w:pPr>
        <w:pStyle w:val="1"/>
        <w:widowControl w:val="false"/>
        <w:tabs>
          <w:tab w:val="clear" w:pos="720"/>
          <w:tab w:val="left" w:pos="20" w:leader="none"/>
          <w:tab w:val="left" w:pos="709" w:leader="none"/>
        </w:tabs>
        <w:rPr>
          <w:rFonts w:ascii="Arial" w:hAnsi="Arial"/>
          <w:sz w:val="24"/>
          <w:szCs w:val="24"/>
          <w:lang w:val="el-GR"/>
        </w:rPr>
      </w:pPr>
      <w:r>
        <w:rPr>
          <w:rFonts w:ascii="Arial" w:hAnsi="Arial"/>
          <w:sz w:val="24"/>
          <w:szCs w:val="24"/>
          <w:lang w:val="el-GR"/>
        </w:rPr>
      </w:r>
    </w:p>
    <w:p>
      <w:pPr>
        <w:pStyle w:val="1"/>
        <w:widowControl w:val="false"/>
        <w:tabs>
          <w:tab w:val="clear" w:pos="720"/>
          <w:tab w:val="left" w:pos="20" w:leader="none"/>
          <w:tab w:val="left" w:pos="709" w:leader="none"/>
        </w:tabs>
        <w:rPr>
          <w:lang w:val="el-GR"/>
        </w:rPr>
      </w:pPr>
      <w:r>
        <w:rPr>
          <w:rStyle w:val="None"/>
          <w:rFonts w:ascii="Arial" w:hAnsi="Arial"/>
          <w:sz w:val="24"/>
          <w:szCs w:val="24"/>
          <w:lang w:val="el-GR"/>
        </w:rPr>
        <w:t xml:space="preserve">Εγκρίθηκε από την Γενική Συνέλευση η παροχή αδείας κατ’ άρθρο 98 παρ. 1 του Ν.4548/2018 στα μέλη του Διοικητικού Συμβουλίου </w:t>
      </w:r>
      <w:r>
        <w:rPr>
          <w:rStyle w:val="None"/>
          <w:rFonts w:eastAsia="Arial" w:cs="Arial" w:ascii="Arial" w:hAnsi="Arial"/>
          <w:sz w:val="24"/>
          <w:szCs w:val="24"/>
          <w:lang w:val="el-GR"/>
        </w:rPr>
        <w:t>όπως αυτά συμμετέχουν στα διοικητικά συμβούλια άλλων, μη ανταγωνιστικών, εταιρειών.</w:t>
      </w:r>
    </w:p>
    <w:p>
      <w:pPr>
        <w:pStyle w:val="Normal"/>
        <w:jc w:val="both"/>
        <w:rPr>
          <w:b/>
          <w:b/>
          <w:spacing w:val="3"/>
          <w:kern w:val="2"/>
        </w:rPr>
      </w:pPr>
      <w:r>
        <w:rPr>
          <w:b/>
          <w:spacing w:val="3"/>
          <w:kern w:val="2"/>
        </w:rPr>
      </w:r>
    </w:p>
    <w:p>
      <w:pPr>
        <w:pStyle w:val="Normal"/>
        <w:tabs>
          <w:tab w:val="clear" w:pos="720"/>
          <w:tab w:val="left" w:pos="20" w:leader="none"/>
          <w:tab w:val="left" w:pos="709" w:leader="none"/>
        </w:tabs>
        <w:jc w:val="both"/>
        <w:rPr>
          <w:spacing w:val="3"/>
          <w:kern w:val="2"/>
          <w:sz w:val="24"/>
          <w:szCs w:val="24"/>
        </w:rPr>
      </w:pPr>
      <w:r>
        <w:rPr>
          <w:spacing w:val="3"/>
          <w:kern w:val="2"/>
          <w:sz w:val="24"/>
          <w:szCs w:val="24"/>
        </w:rPr>
      </w:r>
    </w:p>
    <w:p>
      <w:pPr>
        <w:pStyle w:val="Normal"/>
        <w:tabs>
          <w:tab w:val="clear" w:pos="720"/>
          <w:tab w:val="left" w:pos="20" w:leader="none"/>
          <w:tab w:val="left" w:pos="709" w:leader="none"/>
        </w:tabs>
        <w:jc w:val="both"/>
        <w:rPr>
          <w:sz w:val="24"/>
          <w:szCs w:val="24"/>
        </w:rPr>
      </w:pPr>
      <w:r>
        <w:rPr>
          <w:spacing w:val="3"/>
          <w:kern w:val="2"/>
          <w:sz w:val="24"/>
          <w:szCs w:val="24"/>
        </w:rPr>
        <w:t>Ταύρος 5 Μαρτίου 2026</w:t>
      </w:r>
    </w:p>
    <w:p>
      <w:pPr>
        <w:pStyle w:val="Normal"/>
        <w:tabs>
          <w:tab w:val="clear" w:pos="720"/>
          <w:tab w:val="left" w:pos="20" w:leader="none"/>
          <w:tab w:val="left" w:pos="709" w:leader="none"/>
        </w:tabs>
        <w:jc w:val="both"/>
        <w:rPr>
          <w:spacing w:val="3"/>
          <w:kern w:val="2"/>
          <w:sz w:val="24"/>
          <w:szCs w:val="24"/>
        </w:rPr>
      </w:pPr>
      <w:r>
        <w:rPr>
          <w:spacing w:val="3"/>
          <w:kern w:val="2"/>
          <w:sz w:val="24"/>
          <w:szCs w:val="24"/>
        </w:rPr>
      </w:r>
    </w:p>
    <w:p>
      <w:pPr>
        <w:pStyle w:val="Normal"/>
        <w:tabs>
          <w:tab w:val="clear" w:pos="720"/>
          <w:tab w:val="left" w:pos="20" w:leader="none"/>
          <w:tab w:val="left" w:pos="709" w:leader="none"/>
        </w:tabs>
        <w:jc w:val="both"/>
        <w:rPr>
          <w:sz w:val="24"/>
          <w:szCs w:val="24"/>
        </w:rPr>
      </w:pPr>
      <w:r>
        <w:rPr>
          <w:spacing w:val="3"/>
          <w:kern w:val="2"/>
          <w:sz w:val="24"/>
          <w:szCs w:val="24"/>
        </w:rPr>
        <w:t>Το Διοικητικό Συμβούλιο</w:t>
      </w:r>
    </w:p>
    <w:p>
      <w:pPr>
        <w:pStyle w:val="Normal"/>
        <w:jc w:val="both"/>
        <w:rPr>
          <w:sz w:val="24"/>
          <w:szCs w:val="24"/>
        </w:rPr>
      </w:pPr>
      <w:r>
        <w:rPr>
          <w:sz w:val="24"/>
          <w:szCs w:val="24"/>
        </w:rPr>
        <w:t xml:space="preserve"> </w:t>
      </w:r>
    </w:p>
    <w:p>
      <w:pPr>
        <w:pStyle w:val="Normal"/>
        <w:jc w:val="both"/>
        <w:rPr>
          <w:sz w:val="24"/>
          <w:szCs w:val="24"/>
        </w:rPr>
      </w:pPr>
      <w:r>
        <w:rPr/>
      </w:r>
    </w:p>
    <w:sectPr>
      <w:footerReference w:type="default" r:id="rId2"/>
      <w:type w:val="nextPage"/>
      <w:pgSz w:w="12240" w:h="15840"/>
      <w:pgMar w:left="1134" w:right="1134" w:header="0" w:top="1134"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0" w:hanging="0"/>
      </w:pPr>
      <w:rPr>
        <w:smallCaps w:val="false"/>
        <w:caps w:val="false"/>
        <w:dstrike w:val="false"/>
        <w:strike w:val="false"/>
        <w:vertAlign w:val="baseline"/>
        <w:position w:val="0"/>
        <w:sz w:val="21"/>
        <w:sz w:val="21"/>
        <w:spacing w:val="2"/>
        <w:i w:val="false"/>
        <w:u w:val="none"/>
        <w:b w:val="false"/>
        <w:szCs w:val="21"/>
        <w:iCs w:val="false"/>
        <w:bCs w:val="false"/>
        <w:w w:val="100"/>
        <w:rFonts w:ascii="Arial Narrow" w:hAnsi="Arial Narrow" w:eastAsia="Arial Narrow" w:cs="Arial Narrow"/>
        <w:color w:val="000000"/>
        <w:lang w:val="el-GR"/>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075f7"/>
    <w:pPr>
      <w:widowControl/>
      <w:suppressAutoHyphens w:val="true"/>
      <w:bidi w:val="0"/>
      <w:spacing w:before="0" w:after="0"/>
      <w:jc w:val="left"/>
    </w:pPr>
    <w:rPr>
      <w:rFonts w:ascii="Arial" w:hAnsi="Arial" w:eastAsia="Times New Roman" w:cs="Arial"/>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b24e48"/>
    <w:rPr>
      <w:rFonts w:ascii="Arial" w:hAnsi="Arial" w:eastAsia="Times New Roman" w:cs="Arial"/>
      <w:lang w:val="el-GR" w:eastAsia="el-GR"/>
    </w:rPr>
  </w:style>
  <w:style w:type="character" w:styleId="FooterChar" w:customStyle="1">
    <w:name w:val="Footer Char"/>
    <w:link w:val="Footer"/>
    <w:uiPriority w:val="99"/>
    <w:qFormat/>
    <w:rsid w:val="00b24e48"/>
    <w:rPr>
      <w:rFonts w:ascii="Arial" w:hAnsi="Arial" w:eastAsia="Times New Roman" w:cs="Arial"/>
      <w:lang w:val="el-GR" w:eastAsia="el-GR"/>
    </w:rPr>
  </w:style>
  <w:style w:type="character" w:styleId="BalloonTextChar" w:customStyle="1">
    <w:name w:val="Balloon Text Char"/>
    <w:link w:val="BalloonText"/>
    <w:uiPriority w:val="99"/>
    <w:semiHidden/>
    <w:qFormat/>
    <w:rsid w:val="00836d7f"/>
    <w:rPr>
      <w:rFonts w:ascii="Segoe UI" w:hAnsi="Segoe UI" w:eastAsia="Times New Roman" w:cs="Segoe UI"/>
      <w:sz w:val="18"/>
      <w:szCs w:val="18"/>
      <w:lang w:val="el-GR" w:eastAsia="el-GR"/>
    </w:rPr>
  </w:style>
  <w:style w:type="character" w:styleId="BodyTextChar" w:customStyle="1">
    <w:name w:val="Body Text Char"/>
    <w:link w:val="BodyText"/>
    <w:uiPriority w:val="99"/>
    <w:qFormat/>
    <w:rsid w:val="003b2da8"/>
    <w:rPr>
      <w:rFonts w:ascii="Times New Roman" w:hAnsi="Times New Roman" w:eastAsia="Times New Roman"/>
      <w:sz w:val="22"/>
      <w:szCs w:val="24"/>
    </w:rPr>
  </w:style>
  <w:style w:type="character" w:styleId="BodyText3Char" w:customStyle="1">
    <w:name w:val="Body Text 3 Char"/>
    <w:link w:val="BodyText3"/>
    <w:qFormat/>
    <w:rsid w:val="00911d54"/>
    <w:rPr>
      <w:rFonts w:ascii="Times New Roman" w:hAnsi="Times New Roman" w:eastAsia="Times New Roman"/>
      <w:sz w:val="16"/>
      <w:szCs w:val="16"/>
      <w:lang w:val="en-GB"/>
    </w:rPr>
  </w:style>
  <w:style w:type="character" w:styleId="None" w:customStyle="1">
    <w:name w:val="None"/>
    <w:qFormat/>
    <w:rPr/>
  </w:style>
  <w:style w:type="character" w:styleId="Hyperlink3" w:customStyle="1">
    <w:name w:val="Hyperlink.3"/>
    <w:basedOn w:val="None"/>
    <w:qFormat/>
    <w:rPr>
      <w:rFonts w:ascii="Arial" w:hAnsi="Arial" w:eastAsia="Arial" w:cs="Arial"/>
    </w:rPr>
  </w:style>
  <w:style w:type="paragraph" w:styleId="Heading" w:customStyle="1">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uiPriority w:val="99"/>
    <w:rsid w:val="003b2da8"/>
    <w:pPr>
      <w:jc w:val="both"/>
    </w:pPr>
    <w:rPr>
      <w:rFonts w:ascii="Times New Roman" w:hAnsi="Times New Roman" w:cs="Times New Roman"/>
      <w:szCs w:val="24"/>
      <w:lang w:eastAsia="en-US"/>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b24e48"/>
    <w:pPr>
      <w:tabs>
        <w:tab w:val="clear" w:pos="720"/>
        <w:tab w:val="center" w:pos="4320" w:leader="none"/>
        <w:tab w:val="right" w:pos="8640" w:leader="none"/>
      </w:tabs>
    </w:pPr>
    <w:rPr/>
  </w:style>
  <w:style w:type="paragraph" w:styleId="Footer">
    <w:name w:val="Footer"/>
    <w:basedOn w:val="Normal"/>
    <w:link w:val="FooterChar"/>
    <w:uiPriority w:val="99"/>
    <w:unhideWhenUsed/>
    <w:rsid w:val="00b24e48"/>
    <w:pPr>
      <w:tabs>
        <w:tab w:val="clear" w:pos="720"/>
        <w:tab w:val="center" w:pos="4320" w:leader="none"/>
        <w:tab w:val="right" w:pos="8640" w:leader="none"/>
      </w:tabs>
    </w:pPr>
    <w:rPr/>
  </w:style>
  <w:style w:type="paragraph" w:styleId="BalloonText">
    <w:name w:val="Balloon Text"/>
    <w:basedOn w:val="Normal"/>
    <w:link w:val="BalloonTextChar"/>
    <w:uiPriority w:val="99"/>
    <w:semiHidden/>
    <w:unhideWhenUsed/>
    <w:qFormat/>
    <w:rsid w:val="00836d7f"/>
    <w:pPr/>
    <w:rPr>
      <w:rFonts w:ascii="Segoe UI" w:hAnsi="Segoe UI" w:cs="Segoe UI"/>
      <w:sz w:val="18"/>
      <w:szCs w:val="18"/>
    </w:rPr>
  </w:style>
  <w:style w:type="paragraph" w:styleId="BodyText3">
    <w:name w:val="Body Text 3"/>
    <w:basedOn w:val="Normal"/>
    <w:link w:val="BodyText3Char"/>
    <w:qFormat/>
    <w:rsid w:val="00911d54"/>
    <w:pPr>
      <w:spacing w:before="0" w:after="120"/>
    </w:pPr>
    <w:rPr>
      <w:rFonts w:ascii="Times New Roman" w:hAnsi="Times New Roman" w:cs="Times New Roman"/>
      <w:sz w:val="16"/>
      <w:szCs w:val="16"/>
      <w:lang w:val="en-GB" w:eastAsia="en-US"/>
    </w:rPr>
  </w:style>
  <w:style w:type="paragraph" w:styleId="1" w:customStyle="1">
    <w:name w:val="Σώμα κειμένου1"/>
    <w:qFormat/>
    <w:pPr>
      <w:widowControl/>
      <w:suppressAutoHyphens w:val="false"/>
      <w:bidi w:val="0"/>
      <w:spacing w:before="0" w:after="0"/>
      <w:jc w:val="both"/>
    </w:pPr>
    <w:rPr>
      <w:rFonts w:ascii="Times New Roman" w:hAnsi="Times New Roman" w:eastAsia="Times New Roman" w:cs="Times New Roman"/>
      <w:color w:val="000000"/>
      <w:kern w:val="0"/>
      <w:sz w:val="22"/>
      <w:szCs w:val="22"/>
      <w:lang w:val="en-GB" w:eastAsia="zh-CN" w:bidi="hi-IN"/>
    </w:rPr>
  </w:style>
  <w:style w:type="paragraph" w:styleId="11" w:customStyle="1">
    <w:name w:val="Βασικό1"/>
    <w:qFormat/>
    <w:rsid w:val="00604544"/>
    <w:pPr>
      <w:widowControl/>
      <w:suppressAutoHyphens w:val="false"/>
      <w:bidi w:val="0"/>
      <w:spacing w:before="0" w:after="0"/>
      <w:jc w:val="left"/>
    </w:pPr>
    <w:rPr>
      <w:rFonts w:ascii="Times New Roman" w:hAnsi="Times New Roman" w:eastAsia="Arial Unicode MS" w:cs="Arial Unicode MS"/>
      <w:color w:val="000000"/>
      <w:kern w:val="0"/>
      <w:sz w:val="24"/>
      <w:szCs w:val="24"/>
      <w:lang w:val="en-US" w:eastAsia="zh-CN" w:bidi="hi-IN"/>
    </w:rPr>
  </w:style>
  <w:style w:type="numbering" w:styleId="NoList" w:default="1">
    <w:name w:val="No List"/>
    <w:uiPriority w:val="99"/>
    <w:semiHidden/>
    <w:unhideWhenUsed/>
    <w:qFormat/>
  </w:style>
  <w:style w:type="numbering" w:styleId="ImportedStyle1" w:customStyle="1">
    <w:name w:val="Imported Style 1"/>
    <w:qFormat/>
    <w:rsid w:val="003b2da8"/>
  </w:style>
  <w:style w:type="numbering" w:styleId="ImportedStyle11" w:customStyle="1">
    <w:name w:val="Imported Style 11"/>
    <w:qFormat/>
    <w:rsid w:val="00e35aea"/>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Application>LibreOffice/7.1.3.2$MacOSX_X86_64 LibreOffice_project/47f78053abe362b9384784d31a6e56f8511eb1c1</Application>
  <AppVersion>15.0000</AppVersion>
  <Pages>3</Pages>
  <Words>756</Words>
  <Characters>4445</Characters>
  <CharactersWithSpaces>5177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2023-03-07T14:30:00Z</dcterms:created>
  <dc:creator>Skouras Konstantinos</dc:creator>
  <dc:description/>
  <dc:language>en-GB</dc:language>
  <cp:lastModifiedBy>Fotis Fotaras</cp:lastModifiedBy>
  <cp:lastPrinted>2021-03-08T09:25:00Z</cp:lastPrinted>
  <dcterms:modified xsi:type="dcterms:W3CDTF">2026-03-05T10:59:28Z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