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6F82" w14:textId="5F5990D1" w:rsidR="006330A7" w:rsidRPr="006E1A4D" w:rsidRDefault="006330A7" w:rsidP="006330A7">
      <w:pPr>
        <w:tabs>
          <w:tab w:val="left" w:pos="9900"/>
        </w:tabs>
        <w:ind w:left="360" w:right="180"/>
        <w:jc w:val="center"/>
        <w:rPr>
          <w:rFonts w:ascii="Arial" w:hAnsi="Arial" w:cs="Arial"/>
          <w:b/>
          <w:bCs/>
          <w:color w:val="000000" w:themeColor="text1"/>
          <w:sz w:val="32"/>
          <w:szCs w:val="32"/>
          <w:lang w:val="en-US"/>
        </w:rPr>
      </w:pPr>
      <w:r w:rsidRPr="00605C09">
        <w:rPr>
          <w:rFonts w:ascii="Arial" w:hAnsi="Arial" w:cs="Arial"/>
          <w:b/>
          <w:bCs/>
          <w:color w:val="000000" w:themeColor="text1"/>
          <w:sz w:val="32"/>
          <w:szCs w:val="32"/>
          <w:lang w:val="en-US"/>
        </w:rPr>
        <w:t xml:space="preserve">CPI: </w:t>
      </w:r>
      <w:r w:rsidR="006E1A4D" w:rsidRPr="006E1A4D">
        <w:rPr>
          <w:rFonts w:ascii="Arial" w:hAnsi="Arial" w:cs="Arial"/>
          <w:b/>
          <w:bCs/>
          <w:color w:val="000000" w:themeColor="text1"/>
          <w:sz w:val="32"/>
          <w:szCs w:val="32"/>
          <w:lang w:val="en-US"/>
        </w:rPr>
        <w:t>Revenue Decline and Corporate Transformation</w:t>
      </w:r>
    </w:p>
    <w:p w14:paraId="3F8384A0" w14:textId="77777777" w:rsidR="006330A7" w:rsidRPr="00605C09" w:rsidRDefault="006330A7" w:rsidP="006330A7">
      <w:pPr>
        <w:tabs>
          <w:tab w:val="left" w:pos="9900"/>
        </w:tabs>
        <w:ind w:right="180"/>
        <w:jc w:val="both"/>
        <w:rPr>
          <w:rFonts w:ascii="Arial" w:hAnsi="Arial" w:cs="Arial"/>
          <w:color w:val="000000" w:themeColor="text1"/>
          <w:sz w:val="22"/>
          <w:szCs w:val="22"/>
          <w:lang w:val="en-US"/>
        </w:rPr>
      </w:pPr>
    </w:p>
    <w:p w14:paraId="3383C305" w14:textId="08690ABC" w:rsidR="006330A7" w:rsidRPr="00605C09" w:rsidRDefault="00461D66" w:rsidP="006330A7">
      <w:pPr>
        <w:tabs>
          <w:tab w:val="left" w:pos="9900"/>
        </w:tabs>
        <w:ind w:left="360" w:right="180"/>
        <w:jc w:val="center"/>
        <w:rPr>
          <w:rFonts w:ascii="Arial" w:hAnsi="Arial" w:cs="Arial"/>
          <w:bCs/>
          <w:color w:val="000000" w:themeColor="text1"/>
          <w:sz w:val="22"/>
          <w:szCs w:val="22"/>
          <w:lang w:val="en-US"/>
        </w:rPr>
      </w:pPr>
      <w:r>
        <w:rPr>
          <w:rFonts w:ascii="Arial" w:hAnsi="Arial" w:cs="Arial"/>
          <w:bCs/>
          <w:color w:val="000000" w:themeColor="text1"/>
          <w:sz w:val="22"/>
          <w:szCs w:val="22"/>
          <w:lang w:val="en-US"/>
        </w:rPr>
        <w:t>Athens</w:t>
      </w:r>
      <w:r w:rsidR="006330A7" w:rsidRPr="00605C09">
        <w:rPr>
          <w:rFonts w:ascii="Arial" w:hAnsi="Arial" w:cs="Arial"/>
          <w:bCs/>
          <w:color w:val="000000" w:themeColor="text1"/>
          <w:sz w:val="22"/>
          <w:szCs w:val="22"/>
          <w:lang w:val="en-US"/>
        </w:rPr>
        <w:t xml:space="preserve"> </w:t>
      </w:r>
      <w:r w:rsidR="006E1A4D" w:rsidRPr="006E1A4D">
        <w:rPr>
          <w:rFonts w:ascii="Arial" w:hAnsi="Arial" w:cs="Arial"/>
          <w:bCs/>
          <w:color w:val="000000" w:themeColor="text1"/>
          <w:sz w:val="22"/>
          <w:szCs w:val="22"/>
          <w:lang w:val="en-US"/>
        </w:rPr>
        <w:t>30</w:t>
      </w:r>
      <w:r w:rsidR="006E1A4D" w:rsidRPr="006E1A4D">
        <w:rPr>
          <w:rFonts w:ascii="Arial" w:hAnsi="Arial" w:cs="Arial"/>
          <w:bCs/>
          <w:color w:val="000000" w:themeColor="text1"/>
          <w:sz w:val="22"/>
          <w:szCs w:val="22"/>
          <w:vertAlign w:val="superscript"/>
          <w:lang w:val="en-US"/>
        </w:rPr>
        <w:t>th</w:t>
      </w:r>
      <w:r w:rsidR="006E1A4D">
        <w:rPr>
          <w:rFonts w:ascii="Arial" w:hAnsi="Arial" w:cs="Arial"/>
          <w:bCs/>
          <w:color w:val="000000" w:themeColor="text1"/>
          <w:sz w:val="22"/>
          <w:szCs w:val="22"/>
          <w:lang w:val="en-US"/>
        </w:rPr>
        <w:t xml:space="preserve"> October</w:t>
      </w:r>
      <w:r w:rsidR="00605C09">
        <w:rPr>
          <w:rFonts w:ascii="Arial" w:hAnsi="Arial" w:cs="Arial"/>
          <w:bCs/>
          <w:color w:val="000000" w:themeColor="text1"/>
          <w:sz w:val="22"/>
          <w:szCs w:val="22"/>
          <w:lang w:val="en-US"/>
        </w:rPr>
        <w:t xml:space="preserve"> </w:t>
      </w:r>
      <w:r w:rsidR="006330A7" w:rsidRPr="00605C09">
        <w:rPr>
          <w:rFonts w:ascii="Arial" w:hAnsi="Arial" w:cs="Arial"/>
          <w:bCs/>
          <w:color w:val="000000" w:themeColor="text1"/>
          <w:sz w:val="22"/>
          <w:szCs w:val="22"/>
          <w:lang w:val="en-US"/>
        </w:rPr>
        <w:t>202</w:t>
      </w:r>
      <w:r w:rsidR="00446EB3">
        <w:rPr>
          <w:rFonts w:ascii="Arial" w:hAnsi="Arial" w:cs="Arial"/>
          <w:bCs/>
          <w:color w:val="000000" w:themeColor="text1"/>
          <w:sz w:val="22"/>
          <w:szCs w:val="22"/>
          <w:lang w:val="en-US"/>
        </w:rPr>
        <w:t>5</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EXAE</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rPr>
        <w:t>ΣΠΙ</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RIC</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CPIr</w:t>
      </w:r>
      <w:r w:rsidR="006330A7" w:rsidRPr="00605C09">
        <w:rPr>
          <w:rFonts w:ascii="Arial" w:hAnsi="Arial" w:cs="Arial"/>
          <w:bCs/>
          <w:color w:val="000000" w:themeColor="text1"/>
          <w:sz w:val="22"/>
          <w:szCs w:val="22"/>
          <w:lang w:val="en-US"/>
        </w:rPr>
        <w:t>.</w:t>
      </w:r>
      <w:r w:rsidR="006330A7" w:rsidRPr="00BF67A8">
        <w:rPr>
          <w:rFonts w:ascii="Arial" w:hAnsi="Arial" w:cs="Arial"/>
          <w:bCs/>
          <w:color w:val="000000" w:themeColor="text1"/>
          <w:sz w:val="22"/>
          <w:szCs w:val="22"/>
          <w:lang w:val="en-US"/>
        </w:rPr>
        <w:t>AT</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Bloomberg</w:t>
      </w:r>
      <w:r w:rsidR="006330A7" w:rsidRPr="00605C09">
        <w:rPr>
          <w:rFonts w:ascii="Arial" w:hAnsi="Arial" w:cs="Arial"/>
          <w:bCs/>
          <w:color w:val="000000" w:themeColor="text1"/>
          <w:sz w:val="22"/>
          <w:szCs w:val="22"/>
          <w:lang w:val="en-US"/>
        </w:rPr>
        <w:t xml:space="preserve">: </w:t>
      </w:r>
      <w:r w:rsidR="006330A7" w:rsidRPr="00BF67A8">
        <w:rPr>
          <w:rFonts w:ascii="Arial" w:hAnsi="Arial" w:cs="Arial"/>
          <w:bCs/>
          <w:color w:val="000000" w:themeColor="text1"/>
          <w:sz w:val="22"/>
          <w:szCs w:val="22"/>
          <w:lang w:val="en-US"/>
        </w:rPr>
        <w:t>CPI</w:t>
      </w:r>
      <w:r w:rsidR="006330A7" w:rsidRPr="00605C09">
        <w:rPr>
          <w:rFonts w:ascii="Arial" w:hAnsi="Arial" w:cs="Arial"/>
          <w:bCs/>
          <w:color w:val="000000" w:themeColor="text1"/>
          <w:sz w:val="22"/>
          <w:szCs w:val="22"/>
          <w:lang w:val="en-US"/>
        </w:rPr>
        <w:t>.</w:t>
      </w:r>
      <w:r w:rsidR="006330A7" w:rsidRPr="00BF67A8">
        <w:rPr>
          <w:rFonts w:ascii="Arial" w:hAnsi="Arial" w:cs="Arial"/>
          <w:bCs/>
          <w:color w:val="000000" w:themeColor="text1"/>
          <w:sz w:val="22"/>
          <w:szCs w:val="22"/>
          <w:lang w:val="en-US"/>
        </w:rPr>
        <w:t>GA</w:t>
      </w:r>
      <w:r w:rsidR="006330A7" w:rsidRPr="00605C09">
        <w:rPr>
          <w:rFonts w:ascii="Arial" w:hAnsi="Arial" w:cs="Arial"/>
          <w:bCs/>
          <w:color w:val="000000" w:themeColor="text1"/>
          <w:sz w:val="22"/>
          <w:szCs w:val="22"/>
          <w:lang w:val="en-US"/>
        </w:rPr>
        <w:t>)</w:t>
      </w:r>
    </w:p>
    <w:p w14:paraId="60DD68F0" w14:textId="157A030B" w:rsidR="006330A7" w:rsidRPr="00605C09" w:rsidRDefault="00605C09" w:rsidP="006330A7">
      <w:pPr>
        <w:tabs>
          <w:tab w:val="left" w:pos="9900"/>
        </w:tabs>
        <w:ind w:left="360" w:right="180"/>
        <w:jc w:val="center"/>
        <w:rPr>
          <w:rFonts w:ascii="Arial" w:hAnsi="Arial" w:cs="Arial"/>
          <w:bCs/>
          <w:color w:val="000000" w:themeColor="text1"/>
          <w:sz w:val="22"/>
          <w:szCs w:val="22"/>
          <w:lang w:val="en-US"/>
        </w:rPr>
      </w:pPr>
      <w:r>
        <w:rPr>
          <w:rFonts w:ascii="Arial" w:hAnsi="Arial" w:cs="Arial"/>
          <w:bCs/>
          <w:color w:val="000000" w:themeColor="text1"/>
          <w:sz w:val="22"/>
          <w:szCs w:val="22"/>
          <w:lang w:val="en-US"/>
        </w:rPr>
        <w:t>Key Results Highlights</w:t>
      </w:r>
    </w:p>
    <w:p w14:paraId="466A9BB6"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38FFBC3B" w14:textId="5CC62FB4" w:rsidR="00605C09" w:rsidRPr="006E1A4D" w:rsidRDefault="2859547A" w:rsidP="2859547A">
      <w:pPr>
        <w:tabs>
          <w:tab w:val="left" w:pos="9900"/>
        </w:tabs>
        <w:ind w:left="360" w:right="180"/>
        <w:jc w:val="both"/>
        <w:rPr>
          <w:rFonts w:ascii="Arial" w:hAnsi="Arial" w:cs="Arial"/>
          <w:color w:val="000000" w:themeColor="text1"/>
          <w:sz w:val="22"/>
          <w:szCs w:val="22"/>
          <w:lang w:val="en-US"/>
        </w:rPr>
      </w:pPr>
      <w:r w:rsidRPr="2859547A">
        <w:rPr>
          <w:rFonts w:ascii="Arial" w:hAnsi="Arial" w:cs="Arial"/>
          <w:color w:val="000000" w:themeColor="text1"/>
          <w:sz w:val="22"/>
          <w:szCs w:val="22"/>
          <w:lang w:val="en-US"/>
        </w:rPr>
        <w:t xml:space="preserve">The company reported a </w:t>
      </w:r>
      <w:r w:rsidR="006E1A4D">
        <w:rPr>
          <w:rFonts w:ascii="Arial" w:hAnsi="Arial" w:cs="Arial"/>
          <w:color w:val="000000" w:themeColor="text1"/>
          <w:sz w:val="22"/>
          <w:szCs w:val="22"/>
          <w:lang w:val="en-US"/>
        </w:rPr>
        <w:t>7</w:t>
      </w:r>
      <w:r w:rsidRPr="2859547A">
        <w:rPr>
          <w:rFonts w:ascii="Arial" w:hAnsi="Arial" w:cs="Arial"/>
          <w:color w:val="000000" w:themeColor="text1"/>
          <w:sz w:val="22"/>
          <w:szCs w:val="22"/>
          <w:lang w:val="en-US"/>
        </w:rPr>
        <w:t>.</w:t>
      </w:r>
      <w:r w:rsidR="006E1A4D">
        <w:rPr>
          <w:rFonts w:ascii="Arial" w:hAnsi="Arial" w:cs="Arial"/>
          <w:color w:val="000000" w:themeColor="text1"/>
          <w:sz w:val="22"/>
          <w:szCs w:val="22"/>
          <w:lang w:val="en-US"/>
        </w:rPr>
        <w:t>3</w:t>
      </w:r>
      <w:r w:rsidRPr="2859547A">
        <w:rPr>
          <w:rFonts w:ascii="Arial" w:hAnsi="Arial" w:cs="Arial"/>
          <w:color w:val="000000" w:themeColor="text1"/>
          <w:sz w:val="22"/>
          <w:szCs w:val="22"/>
          <w:lang w:val="en-US"/>
        </w:rPr>
        <w:t xml:space="preserve">% </w:t>
      </w:r>
      <w:r w:rsidR="006E1A4D">
        <w:rPr>
          <w:rFonts w:ascii="Arial" w:hAnsi="Arial" w:cs="Arial"/>
          <w:color w:val="000000" w:themeColor="text1"/>
          <w:sz w:val="22"/>
          <w:szCs w:val="22"/>
          <w:lang w:val="en-US"/>
        </w:rPr>
        <w:t>decrease in revenue</w:t>
      </w:r>
      <w:r w:rsidRPr="2859547A">
        <w:rPr>
          <w:rFonts w:ascii="Arial" w:hAnsi="Arial" w:cs="Arial"/>
          <w:color w:val="000000" w:themeColor="text1"/>
          <w:sz w:val="22"/>
          <w:szCs w:val="22"/>
          <w:lang w:val="en-US"/>
        </w:rPr>
        <w:t xml:space="preserve"> </w:t>
      </w:r>
      <w:r w:rsidR="006E1A4D" w:rsidRPr="006E1A4D">
        <w:rPr>
          <w:rFonts w:ascii="Arial" w:hAnsi="Arial" w:cs="Arial"/>
          <w:color w:val="000000" w:themeColor="text1"/>
          <w:sz w:val="22"/>
          <w:szCs w:val="22"/>
          <w:lang w:val="en-US"/>
        </w:rPr>
        <w:t>for the fiscal year ended 30 June 2025, reaching €18.8 million compared to €20.28 million in the previous year. Notably, the contribution of services to total revenue increased from 24% to 27%</w:t>
      </w:r>
    </w:p>
    <w:p w14:paraId="4708DA00"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45E4E61F" w14:textId="2BA5008E" w:rsidR="00605C09" w:rsidRPr="006E1A4D" w:rsidRDefault="006E1A4D" w:rsidP="2859547A">
      <w:pPr>
        <w:tabs>
          <w:tab w:val="left" w:pos="9900"/>
        </w:tabs>
        <w:ind w:left="360" w:right="180"/>
        <w:jc w:val="both"/>
        <w:rPr>
          <w:rFonts w:ascii="Arial" w:hAnsi="Arial" w:cs="Arial"/>
          <w:bCs/>
          <w:color w:val="000000" w:themeColor="text1"/>
          <w:sz w:val="22"/>
          <w:szCs w:val="22"/>
          <w:lang w:val="en-US"/>
        </w:rPr>
      </w:pPr>
      <w:r w:rsidRPr="006E1A4D">
        <w:rPr>
          <w:rFonts w:ascii="Arial" w:hAnsi="Arial" w:cs="Arial"/>
          <w:color w:val="000000" w:themeColor="text1"/>
          <w:sz w:val="22"/>
          <w:szCs w:val="22"/>
          <w:lang w:val="en-US"/>
        </w:rPr>
        <w:t>Adjusted EBITDA</w:t>
      </w:r>
      <w:r w:rsidRPr="006E1A4D">
        <w:rPr>
          <w:rFonts w:ascii="Arial" w:hAnsi="Arial" w:cs="Arial"/>
          <w:bCs/>
          <w:color w:val="000000" w:themeColor="text1"/>
          <w:sz w:val="22"/>
          <w:szCs w:val="22"/>
          <w:lang w:val="en-US"/>
        </w:rPr>
        <w:t xml:space="preserve"> stood at </w:t>
      </w:r>
      <w:r w:rsidRPr="006E1A4D">
        <w:rPr>
          <w:rFonts w:ascii="Arial" w:hAnsi="Arial" w:cs="Arial"/>
          <w:color w:val="000000" w:themeColor="text1"/>
          <w:sz w:val="22"/>
          <w:szCs w:val="22"/>
          <w:lang w:val="en-US"/>
        </w:rPr>
        <w:t>€365</w:t>
      </w:r>
      <w:r>
        <w:rPr>
          <w:rFonts w:ascii="Arial" w:hAnsi="Arial" w:cs="Arial"/>
          <w:color w:val="000000" w:themeColor="text1"/>
          <w:sz w:val="22"/>
          <w:szCs w:val="22"/>
          <w:lang w:val="en-US"/>
        </w:rPr>
        <w:t>k</w:t>
      </w:r>
      <w:r w:rsidRPr="006E1A4D">
        <w:rPr>
          <w:rFonts w:ascii="Arial" w:hAnsi="Arial" w:cs="Arial"/>
          <w:bCs/>
          <w:color w:val="000000" w:themeColor="text1"/>
          <w:sz w:val="22"/>
          <w:szCs w:val="22"/>
          <w:lang w:val="en-US"/>
        </w:rPr>
        <w:t xml:space="preserve">, impacted by lower sales due to </w:t>
      </w:r>
      <w:r w:rsidRPr="006E1A4D">
        <w:rPr>
          <w:rFonts w:ascii="Arial" w:hAnsi="Arial" w:cs="Arial"/>
          <w:color w:val="000000" w:themeColor="text1"/>
          <w:sz w:val="22"/>
          <w:szCs w:val="22"/>
          <w:lang w:val="en-US"/>
        </w:rPr>
        <w:t>project delays and postponements</w:t>
      </w:r>
      <w:r w:rsidRPr="006E1A4D">
        <w:rPr>
          <w:rFonts w:ascii="Arial" w:hAnsi="Arial" w:cs="Arial"/>
          <w:bCs/>
          <w:color w:val="000000" w:themeColor="text1"/>
          <w:sz w:val="22"/>
          <w:szCs w:val="22"/>
          <w:lang w:val="en-US"/>
        </w:rPr>
        <w:t xml:space="preserve"> in both the private and public sectors, as well as </w:t>
      </w:r>
      <w:r w:rsidRPr="006E1A4D">
        <w:rPr>
          <w:rFonts w:ascii="Arial" w:hAnsi="Arial" w:cs="Arial"/>
          <w:color w:val="000000" w:themeColor="text1"/>
          <w:sz w:val="22"/>
          <w:szCs w:val="22"/>
          <w:lang w:val="en-US"/>
        </w:rPr>
        <w:t>increased operating costs</w:t>
      </w:r>
      <w:r w:rsidRPr="006E1A4D">
        <w:rPr>
          <w:rFonts w:ascii="Arial" w:hAnsi="Arial" w:cs="Arial"/>
          <w:bCs/>
          <w:color w:val="000000" w:themeColor="text1"/>
          <w:sz w:val="22"/>
          <w:szCs w:val="22"/>
          <w:lang w:val="en-US"/>
        </w:rPr>
        <w:t xml:space="preserve"> related to higher workforce mobility</w:t>
      </w:r>
      <w:r w:rsidR="2859547A" w:rsidRPr="006E1A4D">
        <w:rPr>
          <w:rFonts w:ascii="Arial" w:hAnsi="Arial" w:cs="Arial"/>
          <w:bCs/>
          <w:color w:val="000000" w:themeColor="text1"/>
          <w:sz w:val="22"/>
          <w:szCs w:val="22"/>
          <w:lang w:val="en-US"/>
        </w:rPr>
        <w:t>.</w:t>
      </w:r>
    </w:p>
    <w:p w14:paraId="781957A8"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1066B947" w14:textId="77777777" w:rsidR="006E1A4D" w:rsidRDefault="006E1A4D" w:rsidP="006E1A4D">
      <w:pPr>
        <w:tabs>
          <w:tab w:val="left" w:pos="9900"/>
        </w:tabs>
        <w:ind w:left="360" w:right="180"/>
        <w:jc w:val="both"/>
        <w:rPr>
          <w:rFonts w:ascii="Arial" w:hAnsi="Arial" w:cs="Arial"/>
          <w:color w:val="000000" w:themeColor="text1"/>
          <w:sz w:val="22"/>
          <w:szCs w:val="22"/>
          <w:lang w:val="en-US"/>
        </w:rPr>
      </w:pPr>
      <w:r w:rsidRPr="006E1A4D">
        <w:rPr>
          <w:rFonts w:ascii="Arial" w:hAnsi="Arial" w:cs="Arial"/>
          <w:color w:val="000000" w:themeColor="text1"/>
          <w:sz w:val="22"/>
          <w:szCs w:val="22"/>
          <w:lang w:val="en-US"/>
        </w:rPr>
        <w:t>The company reported a net loss after tax of €459</w:t>
      </w:r>
      <w:r>
        <w:rPr>
          <w:rFonts w:ascii="Arial" w:hAnsi="Arial" w:cs="Arial"/>
          <w:color w:val="000000" w:themeColor="text1"/>
          <w:sz w:val="22"/>
          <w:szCs w:val="22"/>
          <w:lang w:val="en-US"/>
        </w:rPr>
        <w:t>k</w:t>
      </w:r>
      <w:r w:rsidRPr="006E1A4D">
        <w:rPr>
          <w:rFonts w:ascii="Arial" w:hAnsi="Arial" w:cs="Arial"/>
          <w:color w:val="000000" w:themeColor="text1"/>
          <w:sz w:val="22"/>
          <w:szCs w:val="22"/>
          <w:lang w:val="en-US"/>
        </w:rPr>
        <w:t>, compared to a net profit of €62</w:t>
      </w:r>
      <w:r>
        <w:rPr>
          <w:rFonts w:ascii="Arial" w:hAnsi="Arial" w:cs="Arial"/>
          <w:color w:val="000000" w:themeColor="text1"/>
          <w:sz w:val="22"/>
          <w:szCs w:val="22"/>
          <w:lang w:val="en-US"/>
        </w:rPr>
        <w:t xml:space="preserve">k </w:t>
      </w:r>
      <w:r w:rsidRPr="006E1A4D">
        <w:rPr>
          <w:rFonts w:ascii="Arial" w:hAnsi="Arial" w:cs="Arial"/>
          <w:color w:val="000000" w:themeColor="text1"/>
          <w:sz w:val="22"/>
          <w:szCs w:val="22"/>
          <w:lang w:val="en-US"/>
        </w:rPr>
        <w:t>in the previous year</w:t>
      </w:r>
      <w:r w:rsidR="005F73E9" w:rsidRPr="006E1A4D">
        <w:rPr>
          <w:rFonts w:ascii="Arial" w:hAnsi="Arial" w:cs="Arial"/>
          <w:color w:val="000000" w:themeColor="text1"/>
          <w:sz w:val="22"/>
          <w:szCs w:val="22"/>
          <w:lang w:val="en-US"/>
        </w:rPr>
        <w:t>.</w:t>
      </w:r>
    </w:p>
    <w:p w14:paraId="2A026A5C" w14:textId="77777777" w:rsidR="006E1A4D" w:rsidRDefault="006E1A4D" w:rsidP="006E1A4D">
      <w:pPr>
        <w:tabs>
          <w:tab w:val="left" w:pos="9900"/>
        </w:tabs>
        <w:ind w:left="360" w:right="180"/>
        <w:jc w:val="both"/>
        <w:rPr>
          <w:rFonts w:ascii="Arial" w:hAnsi="Arial" w:cs="Arial"/>
          <w:color w:val="000000" w:themeColor="text1"/>
          <w:sz w:val="22"/>
          <w:szCs w:val="22"/>
          <w:lang w:val="en-US"/>
        </w:rPr>
      </w:pPr>
    </w:p>
    <w:p w14:paraId="30A31C7C" w14:textId="4FDE9B8E" w:rsidR="006E1A4D" w:rsidRPr="006E1A4D" w:rsidRDefault="00605C09" w:rsidP="006E1A4D">
      <w:pPr>
        <w:tabs>
          <w:tab w:val="left" w:pos="9900"/>
        </w:tabs>
        <w:ind w:left="360" w:right="180"/>
        <w:jc w:val="both"/>
        <w:rPr>
          <w:rFonts w:ascii="Arial" w:hAnsi="Arial" w:cs="Arial"/>
          <w:color w:val="000000" w:themeColor="text1"/>
          <w:sz w:val="22"/>
          <w:szCs w:val="22"/>
          <w:lang w:val="en-US"/>
        </w:rPr>
      </w:pPr>
      <w:r w:rsidRPr="00605C09">
        <w:rPr>
          <w:rFonts w:ascii="Arial" w:hAnsi="Arial" w:cs="Arial"/>
          <w:bCs/>
          <w:color w:val="000000" w:themeColor="text1"/>
          <w:sz w:val="22"/>
          <w:szCs w:val="22"/>
          <w:lang w:val="en-US"/>
        </w:rPr>
        <w:t>Commenting on the results, CPI CEO Aris Papathanos stated: “</w:t>
      </w:r>
      <w:r w:rsidR="006E1A4D" w:rsidRPr="006E1A4D">
        <w:rPr>
          <w:rFonts w:ascii="Arial" w:hAnsi="Arial" w:cs="Arial"/>
          <w:bCs/>
          <w:color w:val="000000" w:themeColor="text1"/>
          <w:sz w:val="22"/>
          <w:szCs w:val="22"/>
          <w:lang w:val="en-US"/>
        </w:rPr>
        <w:t>The past fiscal year was a challenging one, both in terms of performance and organizational transformation. We witnessed a significant slowdown in hardware sales, particularly during the first half of calendar year 2025.</w:t>
      </w:r>
      <w:r w:rsidR="006E1A4D">
        <w:rPr>
          <w:rFonts w:ascii="Arial" w:hAnsi="Arial" w:cs="Arial"/>
          <w:bCs/>
          <w:color w:val="000000" w:themeColor="text1"/>
          <w:sz w:val="22"/>
          <w:szCs w:val="22"/>
          <w:lang w:val="en-US"/>
        </w:rPr>
        <w:t xml:space="preserve"> </w:t>
      </w:r>
      <w:r w:rsidR="006E1A4D" w:rsidRPr="006E1A4D">
        <w:rPr>
          <w:rFonts w:ascii="Arial" w:hAnsi="Arial" w:cs="Arial"/>
          <w:bCs/>
          <w:color w:val="000000" w:themeColor="text1"/>
          <w:sz w:val="22"/>
          <w:szCs w:val="22"/>
          <w:lang w:val="en-US"/>
        </w:rPr>
        <w:t>More than half of this year’s losses are attributable to the restructuring initiatives undertaken within our Commercial and Supply Chain departments. At the same time, we have substantially offset the decline in consumables sales through new business development, reducing our dependence on this segment and increasing the contribution of services to overall revenue.</w:t>
      </w:r>
    </w:p>
    <w:p w14:paraId="7C888EF8" w14:textId="77777777" w:rsidR="006E1A4D" w:rsidRPr="006E1A4D" w:rsidRDefault="006E1A4D" w:rsidP="006E1A4D">
      <w:pPr>
        <w:rPr>
          <w:rFonts w:ascii="Arial" w:hAnsi="Arial" w:cs="Arial"/>
          <w:bCs/>
          <w:color w:val="000000" w:themeColor="text1"/>
          <w:sz w:val="22"/>
          <w:szCs w:val="22"/>
          <w:lang w:val="en-US"/>
        </w:rPr>
      </w:pPr>
    </w:p>
    <w:p w14:paraId="7FD8469E" w14:textId="1DE1BCB4" w:rsidR="00605C09" w:rsidRPr="00605C09" w:rsidRDefault="006E1A4D" w:rsidP="006E1A4D">
      <w:pPr>
        <w:tabs>
          <w:tab w:val="left" w:pos="9900"/>
        </w:tabs>
        <w:ind w:left="360" w:right="180"/>
        <w:jc w:val="both"/>
        <w:rPr>
          <w:rFonts w:ascii="Arial" w:hAnsi="Arial" w:cs="Arial"/>
          <w:bCs/>
          <w:color w:val="000000" w:themeColor="text1"/>
          <w:sz w:val="22"/>
          <w:szCs w:val="22"/>
          <w:lang w:val="en-US"/>
        </w:rPr>
      </w:pPr>
      <w:r w:rsidRPr="006E1A4D">
        <w:rPr>
          <w:rFonts w:ascii="Arial" w:hAnsi="Arial" w:cs="Arial"/>
          <w:bCs/>
          <w:color w:val="000000" w:themeColor="text1"/>
          <w:sz w:val="22"/>
          <w:szCs w:val="22"/>
          <w:lang w:val="en-US"/>
        </w:rPr>
        <w:t>During the current fiscal year, we have completed the necessary restructuring actions to return to profitability. We are confident that the new partnerships initiated in spring 2025, our focused investment in services, and the benefits of our transformation plan will begin to deliver results over the course of this year</w:t>
      </w:r>
      <w:r w:rsidR="00605C09" w:rsidRPr="00605C09">
        <w:rPr>
          <w:rFonts w:ascii="Arial" w:hAnsi="Arial" w:cs="Arial"/>
          <w:bCs/>
          <w:color w:val="000000" w:themeColor="text1"/>
          <w:sz w:val="22"/>
          <w:szCs w:val="22"/>
          <w:lang w:val="en-US"/>
        </w:rPr>
        <w:t>”</w:t>
      </w:r>
    </w:p>
    <w:p w14:paraId="5A9DD6A5" w14:textId="77777777" w:rsidR="00605C09" w:rsidRDefault="00605C09" w:rsidP="00605C09">
      <w:pPr>
        <w:tabs>
          <w:tab w:val="left" w:pos="9900"/>
        </w:tabs>
        <w:ind w:left="360" w:right="180"/>
        <w:jc w:val="both"/>
        <w:rPr>
          <w:rFonts w:ascii="Arial" w:hAnsi="Arial" w:cs="Arial"/>
          <w:bCs/>
          <w:color w:val="000000" w:themeColor="text1"/>
          <w:sz w:val="22"/>
          <w:szCs w:val="22"/>
          <w:lang w:val="en-US"/>
        </w:rPr>
      </w:pPr>
    </w:p>
    <w:p w14:paraId="3CE928A8" w14:textId="77777777" w:rsidR="005F73E9" w:rsidRPr="001517D5" w:rsidRDefault="005F73E9" w:rsidP="005F73E9">
      <w:pPr>
        <w:tabs>
          <w:tab w:val="left" w:pos="9900"/>
        </w:tabs>
        <w:ind w:left="360" w:right="180"/>
        <w:jc w:val="both"/>
        <w:rPr>
          <w:rFonts w:ascii="Arial" w:hAnsi="Arial" w:cs="Arial"/>
          <w:bCs/>
          <w:color w:val="000000" w:themeColor="text1"/>
          <w:sz w:val="22"/>
          <w:szCs w:val="22"/>
          <w:lang w:val="en-US"/>
        </w:rPr>
      </w:pPr>
      <w:r w:rsidRPr="001517D5">
        <w:rPr>
          <w:rFonts w:ascii="Arial" w:hAnsi="Arial" w:cs="Arial"/>
          <w:bCs/>
          <w:color w:val="000000" w:themeColor="text1"/>
          <w:sz w:val="22"/>
          <w:szCs w:val="22"/>
          <w:lang w:val="en-US"/>
        </w:rPr>
        <w:t>CPI has been active in the IT sector for over 30 years, holding a leading position as a distributor of high-value technology products, solutions, and services.</w:t>
      </w:r>
    </w:p>
    <w:p w14:paraId="6BD6A308" w14:textId="4AC9CDCC" w:rsidR="005F73E9" w:rsidRPr="001517D5" w:rsidRDefault="005F73E9" w:rsidP="006E1A4D">
      <w:pPr>
        <w:tabs>
          <w:tab w:val="left" w:pos="9900"/>
        </w:tabs>
        <w:ind w:left="360" w:right="180"/>
        <w:jc w:val="both"/>
        <w:rPr>
          <w:rFonts w:ascii="Arial" w:hAnsi="Arial" w:cs="Arial"/>
          <w:bCs/>
          <w:color w:val="000000" w:themeColor="text1"/>
          <w:sz w:val="22"/>
          <w:szCs w:val="22"/>
          <w:lang w:val="en-US"/>
        </w:rPr>
      </w:pPr>
      <w:r w:rsidRPr="001517D5">
        <w:rPr>
          <w:rFonts w:ascii="Arial" w:hAnsi="Arial" w:cs="Arial"/>
          <w:bCs/>
          <w:color w:val="000000" w:themeColor="text1"/>
          <w:sz w:val="22"/>
          <w:szCs w:val="22"/>
          <w:lang w:val="en-US"/>
        </w:rPr>
        <w:t xml:space="preserve">The company offers a comprehensive portfolio that includes </w:t>
      </w:r>
      <w:r>
        <w:rPr>
          <w:rFonts w:ascii="Arial" w:hAnsi="Arial" w:cs="Arial"/>
          <w:bCs/>
          <w:color w:val="000000" w:themeColor="text1"/>
          <w:sz w:val="22"/>
          <w:szCs w:val="22"/>
          <w:lang w:val="en-US"/>
        </w:rPr>
        <w:t>P</w:t>
      </w:r>
      <w:r w:rsidRPr="001517D5">
        <w:rPr>
          <w:rFonts w:ascii="Arial" w:hAnsi="Arial" w:cs="Arial"/>
          <w:bCs/>
          <w:color w:val="000000" w:themeColor="text1"/>
          <w:sz w:val="22"/>
          <w:szCs w:val="22"/>
          <w:lang w:val="en-US"/>
        </w:rPr>
        <w:t xml:space="preserve">rinting, </w:t>
      </w:r>
      <w:r>
        <w:rPr>
          <w:rFonts w:ascii="Arial" w:hAnsi="Arial" w:cs="Arial"/>
          <w:bCs/>
          <w:color w:val="000000" w:themeColor="text1"/>
          <w:sz w:val="22"/>
          <w:szCs w:val="22"/>
          <w:lang w:val="en-US"/>
        </w:rPr>
        <w:t>S</w:t>
      </w:r>
      <w:r w:rsidRPr="001517D5">
        <w:rPr>
          <w:rFonts w:ascii="Arial" w:hAnsi="Arial" w:cs="Arial"/>
          <w:bCs/>
          <w:color w:val="000000" w:themeColor="text1"/>
          <w:sz w:val="22"/>
          <w:szCs w:val="22"/>
          <w:lang w:val="en-US"/>
        </w:rPr>
        <w:t xml:space="preserve">canning, POS, </w:t>
      </w:r>
      <w:r>
        <w:rPr>
          <w:rFonts w:ascii="Arial" w:hAnsi="Arial" w:cs="Arial"/>
          <w:bCs/>
          <w:color w:val="000000" w:themeColor="text1"/>
          <w:sz w:val="22"/>
          <w:szCs w:val="22"/>
          <w:lang w:val="en-US"/>
        </w:rPr>
        <w:t>P</w:t>
      </w:r>
      <w:r w:rsidRPr="001517D5">
        <w:rPr>
          <w:rFonts w:ascii="Arial" w:hAnsi="Arial" w:cs="Arial"/>
          <w:bCs/>
          <w:color w:val="000000" w:themeColor="text1"/>
          <w:sz w:val="22"/>
          <w:szCs w:val="22"/>
          <w:lang w:val="en-US"/>
        </w:rPr>
        <w:t xml:space="preserve">rojection equipment, IP surveillance, </w:t>
      </w:r>
      <w:r>
        <w:rPr>
          <w:rFonts w:ascii="Arial" w:hAnsi="Arial" w:cs="Arial"/>
          <w:bCs/>
          <w:color w:val="000000" w:themeColor="text1"/>
          <w:sz w:val="22"/>
          <w:szCs w:val="22"/>
          <w:lang w:val="en-US"/>
        </w:rPr>
        <w:t>D</w:t>
      </w:r>
      <w:r w:rsidRPr="001517D5">
        <w:rPr>
          <w:rFonts w:ascii="Arial" w:hAnsi="Arial" w:cs="Arial"/>
          <w:bCs/>
          <w:color w:val="000000" w:themeColor="text1"/>
          <w:sz w:val="22"/>
          <w:szCs w:val="22"/>
          <w:lang w:val="en-US"/>
        </w:rPr>
        <w:t xml:space="preserve">ata </w:t>
      </w:r>
      <w:r>
        <w:rPr>
          <w:rFonts w:ascii="Arial" w:hAnsi="Arial" w:cs="Arial"/>
          <w:bCs/>
          <w:color w:val="000000" w:themeColor="text1"/>
          <w:sz w:val="22"/>
          <w:szCs w:val="22"/>
          <w:lang w:val="en-US"/>
        </w:rPr>
        <w:t>S</w:t>
      </w:r>
      <w:r w:rsidRPr="001517D5">
        <w:rPr>
          <w:rFonts w:ascii="Arial" w:hAnsi="Arial" w:cs="Arial"/>
          <w:bCs/>
          <w:color w:val="000000" w:themeColor="text1"/>
          <w:sz w:val="22"/>
          <w:szCs w:val="22"/>
          <w:lang w:val="en-US"/>
        </w:rPr>
        <w:t xml:space="preserve">torage, Auto-ID, </w:t>
      </w:r>
      <w:r>
        <w:rPr>
          <w:rFonts w:ascii="Arial" w:hAnsi="Arial" w:cs="Arial"/>
          <w:bCs/>
          <w:color w:val="000000" w:themeColor="text1"/>
          <w:sz w:val="22"/>
          <w:szCs w:val="22"/>
          <w:lang w:val="en-US"/>
        </w:rPr>
        <w:t>S</w:t>
      </w:r>
      <w:r w:rsidRPr="001517D5">
        <w:rPr>
          <w:rFonts w:ascii="Arial" w:hAnsi="Arial" w:cs="Arial"/>
          <w:bCs/>
          <w:color w:val="000000" w:themeColor="text1"/>
          <w:sz w:val="22"/>
          <w:szCs w:val="22"/>
          <w:lang w:val="en-US"/>
        </w:rPr>
        <w:t xml:space="preserve">mart </w:t>
      </w:r>
      <w:r>
        <w:rPr>
          <w:rFonts w:ascii="Arial" w:hAnsi="Arial" w:cs="Arial"/>
          <w:bCs/>
          <w:color w:val="000000" w:themeColor="text1"/>
          <w:sz w:val="22"/>
          <w:szCs w:val="22"/>
          <w:lang w:val="en-US"/>
        </w:rPr>
        <w:t>L</w:t>
      </w:r>
      <w:r w:rsidRPr="001517D5">
        <w:rPr>
          <w:rFonts w:ascii="Arial" w:hAnsi="Arial" w:cs="Arial"/>
          <w:bCs/>
          <w:color w:val="000000" w:themeColor="text1"/>
          <w:sz w:val="22"/>
          <w:szCs w:val="22"/>
          <w:lang w:val="en-US"/>
        </w:rPr>
        <w:t xml:space="preserve">ighting, and </w:t>
      </w:r>
      <w:r>
        <w:rPr>
          <w:rFonts w:ascii="Arial" w:hAnsi="Arial" w:cs="Arial"/>
          <w:bCs/>
          <w:color w:val="000000" w:themeColor="text1"/>
          <w:sz w:val="22"/>
          <w:szCs w:val="22"/>
          <w:lang w:val="en-US"/>
        </w:rPr>
        <w:t>U</w:t>
      </w:r>
      <w:r w:rsidRPr="001517D5">
        <w:rPr>
          <w:rFonts w:ascii="Arial" w:hAnsi="Arial" w:cs="Arial"/>
          <w:bCs/>
          <w:color w:val="000000" w:themeColor="text1"/>
          <w:sz w:val="22"/>
          <w:szCs w:val="22"/>
          <w:lang w:val="en-US"/>
        </w:rPr>
        <w:t xml:space="preserve">nified </w:t>
      </w:r>
      <w:r>
        <w:rPr>
          <w:rFonts w:ascii="Arial" w:hAnsi="Arial" w:cs="Arial"/>
          <w:bCs/>
          <w:color w:val="000000" w:themeColor="text1"/>
          <w:sz w:val="22"/>
          <w:szCs w:val="22"/>
          <w:lang w:val="en-US"/>
        </w:rPr>
        <w:t>C</w:t>
      </w:r>
      <w:r w:rsidRPr="001517D5">
        <w:rPr>
          <w:rFonts w:ascii="Arial" w:hAnsi="Arial" w:cs="Arial"/>
          <w:bCs/>
          <w:color w:val="000000" w:themeColor="text1"/>
          <w:sz w:val="22"/>
          <w:szCs w:val="22"/>
          <w:lang w:val="en-US"/>
        </w:rPr>
        <w:t>ommunications solutions.</w:t>
      </w:r>
      <w:r w:rsidR="006E1A4D">
        <w:rPr>
          <w:rFonts w:ascii="Arial" w:hAnsi="Arial" w:cs="Arial"/>
          <w:bCs/>
          <w:color w:val="000000" w:themeColor="text1"/>
          <w:sz w:val="22"/>
          <w:szCs w:val="22"/>
          <w:lang w:val="en-US"/>
        </w:rPr>
        <w:t xml:space="preserve"> </w:t>
      </w:r>
      <w:r w:rsidRPr="001517D5">
        <w:rPr>
          <w:rFonts w:ascii="Arial" w:hAnsi="Arial" w:cs="Arial"/>
          <w:bCs/>
          <w:color w:val="000000" w:themeColor="text1"/>
          <w:sz w:val="22"/>
          <w:szCs w:val="22"/>
          <w:lang w:val="en-US"/>
        </w:rPr>
        <w:t>At the same time, CPI provides managed print and document digitization services, as well as technical support, serving major Greek and international organizations through SLA-based agreements or customized project implementations.</w:t>
      </w:r>
    </w:p>
    <w:p w14:paraId="7AD60D82" w14:textId="072F0149" w:rsidR="00504F83" w:rsidRPr="00605C09" w:rsidRDefault="00605C09" w:rsidP="00605C09">
      <w:pPr>
        <w:tabs>
          <w:tab w:val="left" w:pos="9900"/>
        </w:tabs>
        <w:ind w:left="360" w:right="180"/>
        <w:jc w:val="both"/>
        <w:rPr>
          <w:rFonts w:ascii="Arial" w:hAnsi="Arial" w:cs="Arial"/>
          <w:bCs/>
          <w:color w:val="000000" w:themeColor="text1"/>
          <w:sz w:val="22"/>
          <w:szCs w:val="22"/>
          <w:lang w:val="en-US"/>
        </w:rPr>
      </w:pPr>
      <w:r>
        <w:rPr>
          <w:rFonts w:ascii="Arial" w:hAnsi="Arial" w:cs="Arial"/>
          <w:bCs/>
          <w:color w:val="000000" w:themeColor="text1"/>
          <w:sz w:val="22"/>
          <w:szCs w:val="22"/>
          <w:lang w:val="en-US"/>
        </w:rPr>
        <w:tab/>
      </w:r>
    </w:p>
    <w:p w14:paraId="00D13A0D" w14:textId="77777777" w:rsidR="00504F83" w:rsidRPr="00A01A9E" w:rsidRDefault="00504F83" w:rsidP="000B35D3">
      <w:pPr>
        <w:ind w:left="360" w:right="180"/>
        <w:rPr>
          <w:rFonts w:ascii="Arial" w:hAnsi="Arial" w:cs="Arial"/>
          <w:b/>
          <w:bCs/>
          <w:sz w:val="22"/>
          <w:szCs w:val="22"/>
          <w:lang w:val="en-US"/>
        </w:rPr>
      </w:pPr>
    </w:p>
    <w:p w14:paraId="75ACC815" w14:textId="77777777" w:rsidR="00504F83" w:rsidRPr="00A01A9E" w:rsidRDefault="00504F83" w:rsidP="000B35D3">
      <w:pPr>
        <w:ind w:left="360" w:right="180"/>
        <w:rPr>
          <w:rFonts w:ascii="Arial" w:hAnsi="Arial" w:cs="Arial"/>
          <w:b/>
          <w:bCs/>
          <w:sz w:val="22"/>
          <w:szCs w:val="22"/>
          <w:lang w:val="en-US"/>
        </w:rPr>
      </w:pPr>
    </w:p>
    <w:p w14:paraId="0084B2CA" w14:textId="77777777" w:rsidR="00504F83" w:rsidRPr="00A01A9E" w:rsidRDefault="00504F83" w:rsidP="000B35D3">
      <w:pPr>
        <w:ind w:left="360" w:right="180"/>
        <w:rPr>
          <w:rFonts w:ascii="Arial" w:hAnsi="Arial" w:cs="Arial"/>
          <w:b/>
          <w:bCs/>
          <w:sz w:val="22"/>
          <w:szCs w:val="22"/>
          <w:lang w:val="en-US"/>
        </w:rPr>
      </w:pPr>
    </w:p>
    <w:p w14:paraId="7DCB9046" w14:textId="77777777" w:rsidR="00504F83" w:rsidRPr="00A01A9E" w:rsidRDefault="00504F83" w:rsidP="000B35D3">
      <w:pPr>
        <w:ind w:left="360" w:right="180"/>
        <w:rPr>
          <w:rFonts w:ascii="Arial" w:hAnsi="Arial" w:cs="Arial"/>
          <w:b/>
          <w:bCs/>
          <w:sz w:val="22"/>
          <w:szCs w:val="22"/>
          <w:lang w:val="en-US"/>
        </w:rPr>
      </w:pPr>
    </w:p>
    <w:sectPr w:rsidR="00504F83" w:rsidRPr="00A01A9E" w:rsidSect="00C43AE4">
      <w:pgSz w:w="11906" w:h="16838"/>
      <w:pgMar w:top="720" w:right="128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BF"/>
    <w:rsid w:val="00014AEB"/>
    <w:rsid w:val="00017767"/>
    <w:rsid w:val="00045F21"/>
    <w:rsid w:val="00061E9E"/>
    <w:rsid w:val="00076C94"/>
    <w:rsid w:val="000804D6"/>
    <w:rsid w:val="000811FF"/>
    <w:rsid w:val="000A26F5"/>
    <w:rsid w:val="000A38D4"/>
    <w:rsid w:val="000B35D3"/>
    <w:rsid w:val="000D7019"/>
    <w:rsid w:val="00115F17"/>
    <w:rsid w:val="001360BA"/>
    <w:rsid w:val="00140C85"/>
    <w:rsid w:val="00144FAE"/>
    <w:rsid w:val="00147F8F"/>
    <w:rsid w:val="001517D5"/>
    <w:rsid w:val="001815C9"/>
    <w:rsid w:val="001957CA"/>
    <w:rsid w:val="001A1893"/>
    <w:rsid w:val="001D16E7"/>
    <w:rsid w:val="001E3169"/>
    <w:rsid w:val="00236557"/>
    <w:rsid w:val="00254E02"/>
    <w:rsid w:val="00256E57"/>
    <w:rsid w:val="00262E10"/>
    <w:rsid w:val="00265F8D"/>
    <w:rsid w:val="00272563"/>
    <w:rsid w:val="00276C1E"/>
    <w:rsid w:val="00285A07"/>
    <w:rsid w:val="0028668A"/>
    <w:rsid w:val="002A07E5"/>
    <w:rsid w:val="002A3B88"/>
    <w:rsid w:val="002C71C0"/>
    <w:rsid w:val="002D3793"/>
    <w:rsid w:val="002D4D93"/>
    <w:rsid w:val="002D5BB6"/>
    <w:rsid w:val="002E1469"/>
    <w:rsid w:val="002E52D9"/>
    <w:rsid w:val="00315B24"/>
    <w:rsid w:val="0032208B"/>
    <w:rsid w:val="003543EC"/>
    <w:rsid w:val="0036356E"/>
    <w:rsid w:val="003B24E8"/>
    <w:rsid w:val="003B3BDB"/>
    <w:rsid w:val="003D4D19"/>
    <w:rsid w:val="003F1D19"/>
    <w:rsid w:val="0040085A"/>
    <w:rsid w:val="00423CAF"/>
    <w:rsid w:val="00446EB3"/>
    <w:rsid w:val="00461D66"/>
    <w:rsid w:val="004657EE"/>
    <w:rsid w:val="00472E21"/>
    <w:rsid w:val="00485EE7"/>
    <w:rsid w:val="00490E91"/>
    <w:rsid w:val="004A1570"/>
    <w:rsid w:val="004C068B"/>
    <w:rsid w:val="004E64AF"/>
    <w:rsid w:val="004F6A83"/>
    <w:rsid w:val="004F73F9"/>
    <w:rsid w:val="00501931"/>
    <w:rsid w:val="005028A5"/>
    <w:rsid w:val="00504F83"/>
    <w:rsid w:val="005125BF"/>
    <w:rsid w:val="005209B9"/>
    <w:rsid w:val="00535237"/>
    <w:rsid w:val="00535EDA"/>
    <w:rsid w:val="00541772"/>
    <w:rsid w:val="0059515A"/>
    <w:rsid w:val="005A289E"/>
    <w:rsid w:val="005D430C"/>
    <w:rsid w:val="005E6F19"/>
    <w:rsid w:val="005E7E4F"/>
    <w:rsid w:val="005F73E9"/>
    <w:rsid w:val="00605C09"/>
    <w:rsid w:val="006220AC"/>
    <w:rsid w:val="006330A7"/>
    <w:rsid w:val="00635C27"/>
    <w:rsid w:val="00650E9A"/>
    <w:rsid w:val="006628F9"/>
    <w:rsid w:val="00676CAD"/>
    <w:rsid w:val="00690C56"/>
    <w:rsid w:val="006920DA"/>
    <w:rsid w:val="00696CD6"/>
    <w:rsid w:val="006B05A1"/>
    <w:rsid w:val="006B1644"/>
    <w:rsid w:val="006B423A"/>
    <w:rsid w:val="006C5D4A"/>
    <w:rsid w:val="006E1A4D"/>
    <w:rsid w:val="006F6414"/>
    <w:rsid w:val="00702B4D"/>
    <w:rsid w:val="00734BFF"/>
    <w:rsid w:val="00757A54"/>
    <w:rsid w:val="007956E6"/>
    <w:rsid w:val="00796CE0"/>
    <w:rsid w:val="007A38D1"/>
    <w:rsid w:val="007A6F54"/>
    <w:rsid w:val="007A777E"/>
    <w:rsid w:val="007C0C46"/>
    <w:rsid w:val="007F52D1"/>
    <w:rsid w:val="00804872"/>
    <w:rsid w:val="008074E9"/>
    <w:rsid w:val="00826090"/>
    <w:rsid w:val="00845174"/>
    <w:rsid w:val="00856A36"/>
    <w:rsid w:val="00867BA5"/>
    <w:rsid w:val="008A3ECD"/>
    <w:rsid w:val="008B66A0"/>
    <w:rsid w:val="008E0921"/>
    <w:rsid w:val="008F6C86"/>
    <w:rsid w:val="00900D8C"/>
    <w:rsid w:val="00901826"/>
    <w:rsid w:val="00912D15"/>
    <w:rsid w:val="00923430"/>
    <w:rsid w:val="0097646B"/>
    <w:rsid w:val="009770FB"/>
    <w:rsid w:val="009870A0"/>
    <w:rsid w:val="00992171"/>
    <w:rsid w:val="009B02CF"/>
    <w:rsid w:val="009C0FE7"/>
    <w:rsid w:val="009D02AF"/>
    <w:rsid w:val="009F1953"/>
    <w:rsid w:val="00A01A9E"/>
    <w:rsid w:val="00A171EC"/>
    <w:rsid w:val="00A36E4D"/>
    <w:rsid w:val="00A41AF6"/>
    <w:rsid w:val="00A711B3"/>
    <w:rsid w:val="00A85D14"/>
    <w:rsid w:val="00A91E54"/>
    <w:rsid w:val="00AA14DD"/>
    <w:rsid w:val="00AA718F"/>
    <w:rsid w:val="00AB36C9"/>
    <w:rsid w:val="00AD66C4"/>
    <w:rsid w:val="00AE25B7"/>
    <w:rsid w:val="00B240C9"/>
    <w:rsid w:val="00B64405"/>
    <w:rsid w:val="00B66E18"/>
    <w:rsid w:val="00B973C7"/>
    <w:rsid w:val="00BA0563"/>
    <w:rsid w:val="00BE1EF4"/>
    <w:rsid w:val="00BE6F14"/>
    <w:rsid w:val="00C01F14"/>
    <w:rsid w:val="00C11CC7"/>
    <w:rsid w:val="00C271FA"/>
    <w:rsid w:val="00C43AE4"/>
    <w:rsid w:val="00C51856"/>
    <w:rsid w:val="00C5590C"/>
    <w:rsid w:val="00C62CA6"/>
    <w:rsid w:val="00C648EF"/>
    <w:rsid w:val="00C665DD"/>
    <w:rsid w:val="00C67B50"/>
    <w:rsid w:val="00CA29F8"/>
    <w:rsid w:val="00CB31F9"/>
    <w:rsid w:val="00CC224E"/>
    <w:rsid w:val="00CD4197"/>
    <w:rsid w:val="00CE150A"/>
    <w:rsid w:val="00CE374D"/>
    <w:rsid w:val="00D000D6"/>
    <w:rsid w:val="00D027AF"/>
    <w:rsid w:val="00D03AA8"/>
    <w:rsid w:val="00D14069"/>
    <w:rsid w:val="00D50594"/>
    <w:rsid w:val="00D81219"/>
    <w:rsid w:val="00D814CE"/>
    <w:rsid w:val="00D8522E"/>
    <w:rsid w:val="00D92F44"/>
    <w:rsid w:val="00DA5DC3"/>
    <w:rsid w:val="00DC017C"/>
    <w:rsid w:val="00DC31E3"/>
    <w:rsid w:val="00DC5A48"/>
    <w:rsid w:val="00DF296F"/>
    <w:rsid w:val="00E07B6B"/>
    <w:rsid w:val="00E11578"/>
    <w:rsid w:val="00E42691"/>
    <w:rsid w:val="00E52137"/>
    <w:rsid w:val="00E57905"/>
    <w:rsid w:val="00EA11B5"/>
    <w:rsid w:val="00EA29A8"/>
    <w:rsid w:val="00EA722F"/>
    <w:rsid w:val="00F15345"/>
    <w:rsid w:val="00F16EBF"/>
    <w:rsid w:val="00F27635"/>
    <w:rsid w:val="00F473E8"/>
    <w:rsid w:val="00F6289E"/>
    <w:rsid w:val="00F74068"/>
    <w:rsid w:val="00F7606F"/>
    <w:rsid w:val="00F83526"/>
    <w:rsid w:val="00F84157"/>
    <w:rsid w:val="00FA11F6"/>
    <w:rsid w:val="00FB2F12"/>
    <w:rsid w:val="00FC3ECD"/>
    <w:rsid w:val="00FC416C"/>
    <w:rsid w:val="00FD3CC8"/>
    <w:rsid w:val="00FE02F5"/>
    <w:rsid w:val="00FF6516"/>
    <w:rsid w:val="285954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E14E43"/>
  <w15:docId w15:val="{A04E23CE-0B4B-428B-81FC-DE868E94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B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3C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3CC8"/>
    <w:rPr>
      <w:rFonts w:ascii="Tahoma" w:hAnsi="Tahoma" w:cs="Tahoma"/>
      <w:sz w:val="16"/>
      <w:szCs w:val="16"/>
      <w:lang w:eastAsia="el-GR"/>
    </w:rPr>
  </w:style>
  <w:style w:type="paragraph" w:styleId="Revision">
    <w:name w:val="Revision"/>
    <w:hidden/>
    <w:uiPriority w:val="99"/>
    <w:semiHidden/>
    <w:rsid w:val="005F73E9"/>
    <w:rPr>
      <w:rFonts w:ascii="Times New Roman" w:eastAsia="Times New Roman" w:hAnsi="Times New Roman"/>
      <w:sz w:val="24"/>
      <w:szCs w:val="24"/>
    </w:rPr>
  </w:style>
  <w:style w:type="character" w:customStyle="1" w:styleId="s1">
    <w:name w:val="s1"/>
    <w:basedOn w:val="DefaultParagraphFont"/>
    <w:rsid w:val="006E1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0963">
      <w:bodyDiv w:val="1"/>
      <w:marLeft w:val="0"/>
      <w:marRight w:val="0"/>
      <w:marTop w:val="0"/>
      <w:marBottom w:val="0"/>
      <w:divBdr>
        <w:top w:val="none" w:sz="0" w:space="0" w:color="auto"/>
        <w:left w:val="none" w:sz="0" w:space="0" w:color="auto"/>
        <w:bottom w:val="none" w:sz="0" w:space="0" w:color="auto"/>
        <w:right w:val="none" w:sz="0" w:space="0" w:color="auto"/>
      </w:divBdr>
    </w:div>
    <w:div w:id="83262676">
      <w:bodyDiv w:val="1"/>
      <w:marLeft w:val="0"/>
      <w:marRight w:val="0"/>
      <w:marTop w:val="0"/>
      <w:marBottom w:val="0"/>
      <w:divBdr>
        <w:top w:val="none" w:sz="0" w:space="0" w:color="auto"/>
        <w:left w:val="none" w:sz="0" w:space="0" w:color="auto"/>
        <w:bottom w:val="none" w:sz="0" w:space="0" w:color="auto"/>
        <w:right w:val="none" w:sz="0" w:space="0" w:color="auto"/>
      </w:divBdr>
    </w:div>
    <w:div w:id="203257752">
      <w:marLeft w:val="0"/>
      <w:marRight w:val="0"/>
      <w:marTop w:val="0"/>
      <w:marBottom w:val="0"/>
      <w:divBdr>
        <w:top w:val="none" w:sz="0" w:space="0" w:color="auto"/>
        <w:left w:val="none" w:sz="0" w:space="0" w:color="auto"/>
        <w:bottom w:val="none" w:sz="0" w:space="0" w:color="auto"/>
        <w:right w:val="none" w:sz="0" w:space="0" w:color="auto"/>
      </w:divBdr>
    </w:div>
    <w:div w:id="601492538">
      <w:bodyDiv w:val="1"/>
      <w:marLeft w:val="0"/>
      <w:marRight w:val="0"/>
      <w:marTop w:val="0"/>
      <w:marBottom w:val="0"/>
      <w:divBdr>
        <w:top w:val="none" w:sz="0" w:space="0" w:color="auto"/>
        <w:left w:val="none" w:sz="0" w:space="0" w:color="auto"/>
        <w:bottom w:val="none" w:sz="0" w:space="0" w:color="auto"/>
        <w:right w:val="none" w:sz="0" w:space="0" w:color="auto"/>
      </w:divBdr>
    </w:div>
    <w:div w:id="1259019542">
      <w:bodyDiv w:val="1"/>
      <w:marLeft w:val="0"/>
      <w:marRight w:val="0"/>
      <w:marTop w:val="0"/>
      <w:marBottom w:val="0"/>
      <w:divBdr>
        <w:top w:val="none" w:sz="0" w:space="0" w:color="auto"/>
        <w:left w:val="none" w:sz="0" w:space="0" w:color="auto"/>
        <w:bottom w:val="none" w:sz="0" w:space="0" w:color="auto"/>
        <w:right w:val="none" w:sz="0" w:space="0" w:color="auto"/>
      </w:divBdr>
    </w:div>
    <w:div w:id="1760641700">
      <w:bodyDiv w:val="1"/>
      <w:marLeft w:val="0"/>
      <w:marRight w:val="0"/>
      <w:marTop w:val="0"/>
      <w:marBottom w:val="0"/>
      <w:divBdr>
        <w:top w:val="none" w:sz="0" w:space="0" w:color="auto"/>
        <w:left w:val="none" w:sz="0" w:space="0" w:color="auto"/>
        <w:bottom w:val="none" w:sz="0" w:space="0" w:color="auto"/>
        <w:right w:val="none" w:sz="0" w:space="0" w:color="auto"/>
      </w:divBdr>
    </w:div>
    <w:div w:id="18504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1923</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Κέρδη και Βελτίωση σε όλους τους δείκτες στα αποτελέσματα του 1ου Εξαμήνου</dc:title>
  <dc:creator>Papathanos Christos</dc:creator>
  <cp:lastModifiedBy>Papathanos Aris</cp:lastModifiedBy>
  <cp:revision>2</cp:revision>
  <cp:lastPrinted>2015-09-29T10:20:00Z</cp:lastPrinted>
  <dcterms:created xsi:type="dcterms:W3CDTF">2025-10-29T14:38:00Z</dcterms:created>
  <dcterms:modified xsi:type="dcterms:W3CDTF">2025-10-29T14:38:00Z</dcterms:modified>
</cp:coreProperties>
</file>