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0B82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</w:rPr>
      </w:pPr>
    </w:p>
    <w:p w14:paraId="7DC581EB" w14:textId="77777777" w:rsidR="00EF40BB" w:rsidRPr="00EF40BB" w:rsidRDefault="00EF40BB" w:rsidP="004A4D5E">
      <w:pPr>
        <w:jc w:val="center"/>
        <w:rPr>
          <w:rFonts w:ascii="Effra Corp" w:eastAsia="Times New Roman" w:hAnsi="Effra Corp" w:cs="Calibri"/>
          <w:b/>
          <w:color w:val="16202C"/>
          <w:sz w:val="28"/>
          <w:szCs w:val="28"/>
        </w:rPr>
      </w:pPr>
      <w:r w:rsidRPr="00EF40BB">
        <w:rPr>
          <w:rFonts w:ascii="Effra Corp" w:eastAsia="Times New Roman" w:hAnsi="Effra Corp" w:cs="Calibri"/>
          <w:b/>
          <w:color w:val="16202C"/>
          <w:sz w:val="28"/>
          <w:szCs w:val="28"/>
        </w:rPr>
        <w:t>Coca-Cola HBC AG</w:t>
      </w:r>
    </w:p>
    <w:p w14:paraId="1D1612C7" w14:textId="77777777" w:rsidR="00EF40BB" w:rsidRPr="00EF40BB" w:rsidRDefault="00EF40BB" w:rsidP="004A4D5E">
      <w:pPr>
        <w:jc w:val="center"/>
        <w:rPr>
          <w:rFonts w:ascii="Effra Corp" w:eastAsia="Times New Roman" w:hAnsi="Effra Corp" w:cs="Calibri"/>
          <w:bCs/>
          <w:color w:val="16202C"/>
        </w:rPr>
      </w:pPr>
      <w:r w:rsidRPr="00EF40BB">
        <w:rPr>
          <w:rFonts w:ascii="Effra Corp" w:eastAsia="Times New Roman" w:hAnsi="Effra Corp" w:cs="Calibri"/>
          <w:b/>
          <w:bCs/>
          <w:color w:val="16202C"/>
        </w:rPr>
        <w:t>Conference call invitation for investors and analysts</w:t>
      </w:r>
    </w:p>
    <w:p w14:paraId="72DB2040" w14:textId="729B7232" w:rsidR="00EF40BB" w:rsidRPr="00EF40BB" w:rsidRDefault="00EF40BB" w:rsidP="004A4D5E">
      <w:pPr>
        <w:jc w:val="center"/>
        <w:rPr>
          <w:rFonts w:ascii="Effra Corp" w:eastAsia="Times New Roman" w:hAnsi="Effra Corp" w:cs="Calibri"/>
          <w:b/>
          <w:bCs/>
          <w:color w:val="16202C"/>
        </w:rPr>
      </w:pPr>
      <w:r w:rsidRPr="00EF40BB">
        <w:rPr>
          <w:rFonts w:ascii="Effra Corp" w:eastAsia="Times New Roman" w:hAnsi="Effra Corp" w:cs="Calibri"/>
          <w:b/>
          <w:bCs/>
          <w:color w:val="16202C"/>
        </w:rPr>
        <w:t>202</w:t>
      </w:r>
      <w:r w:rsidR="004A4D5E">
        <w:rPr>
          <w:rFonts w:ascii="Effra Corp" w:eastAsia="Times New Roman" w:hAnsi="Effra Corp" w:cs="Calibri"/>
          <w:b/>
          <w:bCs/>
          <w:color w:val="16202C"/>
        </w:rPr>
        <w:t>5 First quarter trading update</w:t>
      </w:r>
      <w:r w:rsidRPr="00EF40BB">
        <w:rPr>
          <w:rFonts w:ascii="Effra Corp" w:eastAsia="Times New Roman" w:hAnsi="Effra Corp" w:cs="Calibri"/>
          <w:b/>
          <w:bCs/>
          <w:color w:val="16202C"/>
        </w:rPr>
        <w:t xml:space="preserve"> on </w:t>
      </w:r>
      <w:r w:rsidR="004A4D5E">
        <w:rPr>
          <w:rFonts w:ascii="Effra Corp" w:eastAsia="Times New Roman" w:hAnsi="Effra Corp" w:cs="Calibri"/>
          <w:b/>
          <w:bCs/>
          <w:color w:val="16202C"/>
        </w:rPr>
        <w:t>Wednesday</w:t>
      </w:r>
      <w:r w:rsidRPr="00EF40BB">
        <w:rPr>
          <w:rFonts w:ascii="Effra Corp" w:eastAsia="Times New Roman" w:hAnsi="Effra Corp" w:cs="Calibri"/>
          <w:b/>
          <w:bCs/>
          <w:color w:val="16202C"/>
        </w:rPr>
        <w:t xml:space="preserve">, </w:t>
      </w:r>
      <w:r w:rsidR="004A4D5E">
        <w:rPr>
          <w:rFonts w:ascii="Effra Corp" w:eastAsia="Times New Roman" w:hAnsi="Effra Corp" w:cs="Calibri"/>
          <w:b/>
          <w:bCs/>
          <w:color w:val="16202C"/>
        </w:rPr>
        <w:t>30 April</w:t>
      </w:r>
      <w:r w:rsidRPr="00EF40BB">
        <w:rPr>
          <w:rFonts w:ascii="Effra Corp" w:eastAsia="Times New Roman" w:hAnsi="Effra Corp" w:cs="Calibri"/>
          <w:b/>
          <w:bCs/>
          <w:color w:val="16202C"/>
        </w:rPr>
        <w:t xml:space="preserve"> 2025</w:t>
      </w:r>
    </w:p>
    <w:p w14:paraId="5B712DC9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bCs/>
          <w:color w:val="16202C"/>
        </w:rPr>
      </w:pPr>
    </w:p>
    <w:p w14:paraId="1FF65FA6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</w:rPr>
      </w:pPr>
    </w:p>
    <w:p w14:paraId="49C01ECC" w14:textId="5709F93C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  <w:r w:rsidRPr="00EF40BB">
        <w:rPr>
          <w:rFonts w:ascii="Effra Corp" w:eastAsia="Times New Roman" w:hAnsi="Effra Corp" w:cs="Calibri"/>
          <w:b/>
          <w:color w:val="16202C"/>
          <w:sz w:val="22"/>
          <w:szCs w:val="22"/>
        </w:rPr>
        <w:t>Zug, Switzerland</w:t>
      </w:r>
      <w:r w:rsidRPr="00EF40BB">
        <w:rPr>
          <w:rFonts w:ascii="Effra Corp" w:eastAsia="Times New Roman" w:hAnsi="Effra Corp" w:cs="Calibri"/>
          <w:b/>
          <w:bCs/>
          <w:color w:val="16202C"/>
          <w:sz w:val="22"/>
          <w:szCs w:val="22"/>
        </w:rPr>
        <w:t xml:space="preserve"> – </w:t>
      </w:r>
      <w:r w:rsidR="004A4D5E" w:rsidRPr="00A65AFD">
        <w:rPr>
          <w:rFonts w:ascii="Effra Corp" w:eastAsia="Times New Roman" w:hAnsi="Effra Corp" w:cs="Calibri"/>
          <w:b/>
          <w:bCs/>
          <w:color w:val="16202C"/>
          <w:sz w:val="22"/>
          <w:szCs w:val="22"/>
        </w:rPr>
        <w:t>2 April</w:t>
      </w:r>
      <w:r w:rsidRPr="00EF40BB">
        <w:rPr>
          <w:rFonts w:ascii="Effra Corp" w:eastAsia="Times New Roman" w:hAnsi="Effra Corp" w:cs="Calibri"/>
          <w:b/>
          <w:bCs/>
          <w:color w:val="16202C"/>
          <w:sz w:val="22"/>
          <w:szCs w:val="22"/>
        </w:rPr>
        <w:t xml:space="preserve"> </w:t>
      </w:r>
      <w:r w:rsidRPr="00EF40BB">
        <w:rPr>
          <w:rFonts w:ascii="Effra Corp" w:eastAsia="Times New Roman" w:hAnsi="Effra Corp" w:cs="Calibri"/>
          <w:b/>
          <w:color w:val="16202C"/>
          <w:sz w:val="22"/>
          <w:szCs w:val="22"/>
        </w:rPr>
        <w:t>2025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> </w:t>
      </w:r>
      <w:r w:rsidRPr="00EF40BB">
        <w:rPr>
          <w:rFonts w:ascii="Effra Corp" w:eastAsia="Times New Roman" w:hAnsi="Effra Corp" w:cs="Calibri"/>
          <w:b/>
          <w:bCs/>
          <w:color w:val="16202C"/>
          <w:sz w:val="22"/>
          <w:szCs w:val="22"/>
        </w:rPr>
        <w:t xml:space="preserve">– 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>Coca-Cola HBC AG (Coca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noBreakHyphen/>
        <w:t>Cola HBC) will release its 202</w:t>
      </w:r>
      <w:r w:rsidR="00FD3278" w:rsidRPr="00A65AFD">
        <w:rPr>
          <w:rFonts w:ascii="Effra Corp" w:eastAsia="Times New Roman" w:hAnsi="Effra Corp" w:cs="Calibri"/>
          <w:color w:val="16202C"/>
          <w:sz w:val="22"/>
          <w:szCs w:val="22"/>
        </w:rPr>
        <w:t xml:space="preserve">5 First quarter trading update 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on </w:t>
      </w:r>
      <w:r w:rsidR="00FD3278" w:rsidRPr="00A65AFD">
        <w:rPr>
          <w:rFonts w:ascii="Effra Corp" w:eastAsia="Times New Roman" w:hAnsi="Effra Corp" w:cs="Calibri"/>
          <w:color w:val="16202C"/>
          <w:sz w:val="22"/>
          <w:szCs w:val="22"/>
        </w:rPr>
        <w:t>Wednesday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, </w:t>
      </w:r>
      <w:r w:rsidR="00FD3278" w:rsidRPr="00A65AFD">
        <w:rPr>
          <w:rFonts w:ascii="Effra Corp" w:eastAsia="Times New Roman" w:hAnsi="Effra Corp" w:cs="Calibri"/>
          <w:color w:val="16202C"/>
          <w:sz w:val="22"/>
          <w:szCs w:val="22"/>
        </w:rPr>
        <w:t>30 April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 2025 at 7:00 am </w:t>
      </w:r>
      <w:r w:rsidR="00A65AFD" w:rsidRPr="00A65AFD">
        <w:rPr>
          <w:rFonts w:ascii="Effra Corp" w:eastAsia="Times New Roman" w:hAnsi="Effra Corp" w:cs="Calibri"/>
          <w:color w:val="16202C"/>
          <w:sz w:val="22"/>
          <w:szCs w:val="22"/>
        </w:rPr>
        <w:t>BST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. The press release will be available as of that time on the company’s website: </w:t>
      </w:r>
      <w:hyperlink r:id="rId8" w:history="1">
        <w:r w:rsidRPr="00EF40BB">
          <w:rPr>
            <w:rStyle w:val="Hyperlink"/>
            <w:rFonts w:ascii="Effra Corp" w:eastAsia="Times New Roman" w:hAnsi="Effra Corp" w:cs="Calibri"/>
            <w:sz w:val="22"/>
            <w:szCs w:val="22"/>
          </w:rPr>
          <w:t>https://www.coca-colahellenic.com/en/investor-relations/results-reports-presentations</w:t>
        </w:r>
      </w:hyperlink>
    </w:p>
    <w:p w14:paraId="6A6A5A7D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</w:p>
    <w:p w14:paraId="0D1E5A36" w14:textId="04BFD20D" w:rsidR="00EF40BB" w:rsidRPr="00EF40BB" w:rsidRDefault="00EF40BB" w:rsidP="00EF40BB">
      <w:pPr>
        <w:jc w:val="both"/>
        <w:rPr>
          <w:rFonts w:ascii="Effra Corp" w:eastAsia="Times New Roman" w:hAnsi="Effra Corp" w:cs="Calibri"/>
          <w:bCs/>
          <w:color w:val="16202C"/>
          <w:sz w:val="22"/>
          <w:szCs w:val="22"/>
        </w:rPr>
      </w:pPr>
      <w:r w:rsidRPr="00EF40BB">
        <w:rPr>
          <w:rFonts w:ascii="Effra Corp" w:eastAsia="Times New Roman" w:hAnsi="Effra Corp" w:cs="Calibri"/>
          <w:color w:val="16202C"/>
          <w:sz w:val="22"/>
          <w:szCs w:val="22"/>
          <w:lang w:val="en-GB"/>
        </w:rPr>
        <w:t xml:space="preserve">Coca-Cola 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HBC’s management will host a conference call for investors and analysts on </w:t>
      </w:r>
      <w:r w:rsidR="00FD3278" w:rsidRPr="00A65AFD">
        <w:rPr>
          <w:rFonts w:ascii="Effra Corp" w:eastAsia="Times New Roman" w:hAnsi="Effra Corp" w:cs="Calibri"/>
          <w:color w:val="16202C"/>
          <w:sz w:val="22"/>
          <w:szCs w:val="22"/>
        </w:rPr>
        <w:t>Wednesday</w:t>
      </w:r>
      <w:r w:rsidR="00FD3278"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, </w:t>
      </w:r>
      <w:r w:rsidR="00FD3278" w:rsidRPr="00A65AFD">
        <w:rPr>
          <w:rFonts w:ascii="Effra Corp" w:eastAsia="Times New Roman" w:hAnsi="Effra Corp" w:cs="Calibri"/>
          <w:color w:val="16202C"/>
          <w:sz w:val="22"/>
          <w:szCs w:val="22"/>
        </w:rPr>
        <w:t>30 April</w:t>
      </w:r>
      <w:r w:rsidR="00FD3278"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 2025 </w:t>
      </w:r>
      <w:r w:rsidRPr="00EF40BB">
        <w:rPr>
          <w:rFonts w:ascii="Effra Corp" w:eastAsia="Times New Roman" w:hAnsi="Effra Corp" w:cs="Calibri"/>
          <w:bCs/>
          <w:color w:val="16202C"/>
          <w:sz w:val="22"/>
          <w:szCs w:val="22"/>
        </w:rPr>
        <w:t>at 9:</w:t>
      </w:r>
      <w:r w:rsidR="00A65AFD" w:rsidRPr="00A65AFD">
        <w:rPr>
          <w:rFonts w:ascii="Effra Corp" w:eastAsia="Times New Roman" w:hAnsi="Effra Corp" w:cs="Calibri"/>
          <w:bCs/>
          <w:color w:val="16202C"/>
          <w:sz w:val="22"/>
          <w:szCs w:val="22"/>
        </w:rPr>
        <w:t>0</w:t>
      </w:r>
      <w:r w:rsidRPr="00EF40BB">
        <w:rPr>
          <w:rFonts w:ascii="Effra Corp" w:eastAsia="Times New Roman" w:hAnsi="Effra Corp" w:cs="Calibri"/>
          <w:bCs/>
          <w:color w:val="16202C"/>
          <w:sz w:val="22"/>
          <w:szCs w:val="22"/>
        </w:rPr>
        <w:t xml:space="preserve">0 am </w:t>
      </w:r>
      <w:r w:rsidR="00A65AFD" w:rsidRPr="00A65AFD">
        <w:rPr>
          <w:rFonts w:ascii="Effra Corp" w:eastAsia="Times New Roman" w:hAnsi="Effra Corp" w:cs="Calibri"/>
          <w:bCs/>
          <w:color w:val="16202C"/>
          <w:sz w:val="22"/>
          <w:szCs w:val="22"/>
        </w:rPr>
        <w:t>BST</w:t>
      </w:r>
      <w:r w:rsidRPr="00EF40BB">
        <w:rPr>
          <w:rFonts w:ascii="Effra Corp" w:eastAsia="Times New Roman" w:hAnsi="Effra Corp" w:cs="Calibri"/>
          <w:bCs/>
          <w:color w:val="16202C"/>
          <w:sz w:val="22"/>
          <w:szCs w:val="22"/>
        </w:rPr>
        <w:t>.</w:t>
      </w:r>
    </w:p>
    <w:p w14:paraId="60777333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</w:p>
    <w:p w14:paraId="618B6476" w14:textId="522A9920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To join the call in listen-only mode, please join via the </w:t>
      </w:r>
      <w:hyperlink r:id="rId9" w:history="1">
        <w:r w:rsidRPr="001229F3">
          <w:rPr>
            <w:rStyle w:val="Hyperlink"/>
            <w:rFonts w:ascii="Effra Corp" w:eastAsia="Times New Roman" w:hAnsi="Effra Corp" w:cs="Calibri"/>
            <w:sz w:val="22"/>
            <w:szCs w:val="22"/>
          </w:rPr>
          <w:t>webcast</w:t>
        </w:r>
      </w:hyperlink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>.</w:t>
      </w:r>
    </w:p>
    <w:p w14:paraId="3B99E327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</w:p>
    <w:p w14:paraId="19AC124E" w14:textId="61CE6F59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If you anticipate asking a question, please </w:t>
      </w:r>
      <w:hyperlink r:id="rId10" w:history="1">
        <w:r w:rsidRPr="00EF40BB">
          <w:rPr>
            <w:rStyle w:val="Hyperlink"/>
            <w:rFonts w:ascii="Effra Corp" w:eastAsia="Times New Roman" w:hAnsi="Effra Corp" w:cs="Calibri"/>
            <w:sz w:val="22"/>
            <w:szCs w:val="22"/>
          </w:rPr>
          <w:t>click here to register</w:t>
        </w:r>
      </w:hyperlink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t xml:space="preserve"> and to find dial-in details.</w:t>
      </w:r>
    </w:p>
    <w:p w14:paraId="79470A95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</w:p>
    <w:p w14:paraId="356DE493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color w:val="16202C"/>
          <w:sz w:val="22"/>
          <w:szCs w:val="22"/>
        </w:rPr>
      </w:pPr>
      <w:bookmarkStart w:id="0" w:name="_Hlk5614413"/>
      <w:r w:rsidRPr="00EF40BB">
        <w:rPr>
          <w:rFonts w:ascii="Effra Corp" w:eastAsia="Times New Roman" w:hAnsi="Effra Corp" w:cs="Calibri"/>
          <w:bCs/>
          <w:iCs/>
          <w:color w:val="16202C"/>
          <w:sz w:val="22"/>
          <w:szCs w:val="22"/>
        </w:rPr>
        <w:t xml:space="preserve">A recording of the call and its transcript will be made available on the Company’s website following the conference call:  </w:t>
      </w:r>
      <w:bookmarkEnd w:id="0"/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fldChar w:fldCharType="begin"/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instrText>HYPERLINK "https://www.coca-colahellenic.com/en/investor-relations/results-reports-presentations"</w:instrTex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fldChar w:fldCharType="separate"/>
      </w:r>
      <w:r w:rsidRPr="00EF40BB">
        <w:rPr>
          <w:rStyle w:val="Hyperlink"/>
          <w:rFonts w:ascii="Effra Corp" w:eastAsia="Times New Roman" w:hAnsi="Effra Corp" w:cs="Calibri"/>
          <w:sz w:val="22"/>
          <w:szCs w:val="22"/>
        </w:rPr>
        <w:t>https://www.coca-colahellenic.com/en/investor-relations/results-reports-presentations</w:t>
      </w:r>
      <w:r w:rsidRPr="00EF40BB">
        <w:rPr>
          <w:rFonts w:ascii="Effra Corp" w:eastAsia="Times New Roman" w:hAnsi="Effra Corp" w:cs="Calibri"/>
          <w:color w:val="16202C"/>
          <w:sz w:val="22"/>
          <w:szCs w:val="22"/>
        </w:rPr>
        <w:fldChar w:fldCharType="end"/>
      </w:r>
    </w:p>
    <w:p w14:paraId="53E6AB5A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  <w:lang w:val="en-GB"/>
        </w:rPr>
      </w:pPr>
    </w:p>
    <w:p w14:paraId="1CBB06FD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  <w:lang w:val="en-GB"/>
        </w:rPr>
      </w:pPr>
    </w:p>
    <w:p w14:paraId="4E07DB0C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  <w:sz w:val="18"/>
          <w:szCs w:val="18"/>
          <w:lang w:val="en-GB"/>
        </w:rPr>
      </w:pPr>
      <w:r w:rsidRPr="00EF40BB">
        <w:rPr>
          <w:rFonts w:ascii="Effra Corp" w:eastAsia="Times New Roman" w:hAnsi="Effra Corp" w:cs="Calibri"/>
          <w:b/>
          <w:color w:val="16202C"/>
          <w:sz w:val="18"/>
          <w:szCs w:val="18"/>
          <w:lang w:val="en-GB"/>
        </w:rPr>
        <w:t>Enquiries</w:t>
      </w:r>
    </w:p>
    <w:p w14:paraId="1E6B2B9C" w14:textId="77777777" w:rsidR="00EF40BB" w:rsidRPr="00EF40BB" w:rsidRDefault="00EF40BB" w:rsidP="00EF40BB">
      <w:pPr>
        <w:jc w:val="both"/>
        <w:rPr>
          <w:rFonts w:ascii="Effra Corp" w:eastAsia="Times New Roman" w:hAnsi="Effra Corp" w:cs="Calibri"/>
          <w:b/>
          <w:color w:val="16202C"/>
          <w:sz w:val="18"/>
          <w:szCs w:val="18"/>
          <w:lang w:val="en-GB"/>
        </w:rPr>
      </w:pPr>
      <w:r w:rsidRPr="00EF40BB">
        <w:rPr>
          <w:rFonts w:ascii="Effra Corp" w:eastAsia="Times New Roman" w:hAnsi="Effra Corp" w:cs="Calibri"/>
          <w:b/>
          <w:color w:val="16202C"/>
          <w:sz w:val="18"/>
          <w:szCs w:val="18"/>
          <w:lang w:val="en-GB"/>
        </w:rPr>
        <w:t>Coca</w:t>
      </w:r>
      <w:r w:rsidRPr="00EF40BB">
        <w:rPr>
          <w:rFonts w:ascii="Effra Corp" w:eastAsia="Times New Roman" w:hAnsi="Effra Corp" w:cs="Calibri"/>
          <w:b/>
          <w:color w:val="16202C"/>
          <w:sz w:val="18"/>
          <w:szCs w:val="18"/>
          <w:lang w:val="en-GB"/>
        </w:rPr>
        <w:noBreakHyphen/>
        <w:t>Cola HBC Group</w:t>
      </w:r>
    </w:p>
    <w:tbl>
      <w:tblPr>
        <w:tblW w:w="8593" w:type="dxa"/>
        <w:tblInd w:w="-90" w:type="dxa"/>
        <w:tblLook w:val="04A0" w:firstRow="1" w:lastRow="0" w:firstColumn="1" w:lastColumn="0" w:noHBand="0" w:noVBand="1"/>
      </w:tblPr>
      <w:tblGrid>
        <w:gridCol w:w="3993"/>
        <w:gridCol w:w="4195"/>
        <w:gridCol w:w="405"/>
      </w:tblGrid>
      <w:tr w:rsidR="00EF40BB" w:rsidRPr="00EF40BB" w14:paraId="46B603A4" w14:textId="77777777" w:rsidTr="00EF40BB">
        <w:trPr>
          <w:trHeight w:val="404"/>
        </w:trPr>
        <w:tc>
          <w:tcPr>
            <w:tcW w:w="3993" w:type="dxa"/>
            <w:hideMark/>
          </w:tcPr>
          <w:p w14:paraId="1074C7C2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  <w:u w:val="single"/>
              </w:rPr>
            </w:pPr>
            <w:r w:rsidRPr="00EF40BB">
              <w:rPr>
                <w:rFonts w:ascii="Effra Corp" w:eastAsia="Times New Roman" w:hAnsi="Effra Corp" w:cs="Calibri"/>
                <w:color w:val="16202C"/>
                <w:sz w:val="18"/>
                <w:szCs w:val="18"/>
                <w:u w:val="single"/>
              </w:rPr>
              <w:t>Investor and Analysts:</w:t>
            </w:r>
          </w:p>
        </w:tc>
        <w:tc>
          <w:tcPr>
            <w:tcW w:w="4600" w:type="dxa"/>
            <w:gridSpan w:val="2"/>
          </w:tcPr>
          <w:p w14:paraId="6B2006E9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</w:pPr>
          </w:p>
        </w:tc>
      </w:tr>
      <w:tr w:rsidR="00EF40BB" w:rsidRPr="00EF40BB" w14:paraId="01A25B61" w14:textId="77777777" w:rsidTr="00EF40BB">
        <w:trPr>
          <w:gridAfter w:val="1"/>
          <w:wAfter w:w="405" w:type="dxa"/>
          <w:trHeight w:val="628"/>
        </w:trPr>
        <w:tc>
          <w:tcPr>
            <w:tcW w:w="3993" w:type="dxa"/>
            <w:hideMark/>
          </w:tcPr>
          <w:p w14:paraId="4FB6931A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</w:pPr>
            <w:r w:rsidRPr="00EF40BB"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  <w:t xml:space="preserve">Maria Livaniou </w:t>
            </w:r>
          </w:p>
          <w:p w14:paraId="2A363532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</w:pPr>
            <w:r w:rsidRPr="00EF40BB"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  <w:t>Head of Shareowner Services</w:t>
            </w:r>
          </w:p>
        </w:tc>
        <w:tc>
          <w:tcPr>
            <w:tcW w:w="4195" w:type="dxa"/>
            <w:hideMark/>
          </w:tcPr>
          <w:p w14:paraId="7CA39674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</w:pPr>
            <w:r w:rsidRPr="00EF40BB"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  <w:t>Tel: +30 210 618 3100</w:t>
            </w:r>
          </w:p>
          <w:p w14:paraId="2ACFD16F" w14:textId="77777777" w:rsidR="00EF40BB" w:rsidRPr="00EF40BB" w:rsidRDefault="00EF40BB" w:rsidP="00EF40BB">
            <w:pPr>
              <w:jc w:val="both"/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</w:pPr>
            <w:r w:rsidRPr="00EF40BB">
              <w:rPr>
                <w:rFonts w:ascii="Effra Corp" w:eastAsia="Times New Roman" w:hAnsi="Effra Corp" w:cs="Calibri"/>
                <w:color w:val="16202C"/>
                <w:sz w:val="18"/>
                <w:szCs w:val="18"/>
              </w:rPr>
              <w:t> maria.livaniou@cchellenic.com</w:t>
            </w:r>
          </w:p>
        </w:tc>
      </w:tr>
    </w:tbl>
    <w:p w14:paraId="16178A53" w14:textId="77777777" w:rsidR="00DF15DC" w:rsidRDefault="00DF15DC" w:rsidP="00DF15DC">
      <w:pPr>
        <w:jc w:val="both"/>
        <w:rPr>
          <w:rFonts w:ascii="Effra" w:eastAsia="Times New Roman" w:hAnsi="Effra" w:cs="Segoe UI"/>
          <w:sz w:val="18"/>
          <w:szCs w:val="18"/>
        </w:rPr>
      </w:pPr>
      <w:bookmarkStart w:id="1" w:name="_Hlk159264382"/>
      <w:r w:rsidRPr="00504D79">
        <w:rPr>
          <w:rFonts w:ascii="Effra" w:eastAsia="Times New Roman" w:hAnsi="Effra" w:cs="Segoe UI"/>
          <w:sz w:val="18"/>
          <w:szCs w:val="18"/>
        </w:rPr>
        <w:t> </w:t>
      </w:r>
    </w:p>
    <w:p w14:paraId="2022536B" w14:textId="77777777" w:rsidR="00DF15DC" w:rsidRPr="00483A7E" w:rsidRDefault="00DF15DC" w:rsidP="00DF15DC">
      <w:pPr>
        <w:shd w:val="clear" w:color="auto" w:fill="BFBFBF"/>
        <w:spacing w:after="120"/>
        <w:jc w:val="both"/>
        <w:rPr>
          <w:rFonts w:ascii="Effra Corp" w:hAnsi="Effra Corp"/>
          <w:b/>
          <w:sz w:val="18"/>
          <w:szCs w:val="18"/>
          <w:lang w:val="en-GB"/>
        </w:rPr>
      </w:pPr>
      <w:r w:rsidRPr="00483A7E">
        <w:rPr>
          <w:rFonts w:ascii="Effra Corp" w:hAnsi="Effra Corp"/>
          <w:b/>
          <w:color w:val="000000"/>
          <w:sz w:val="18"/>
          <w:szCs w:val="18"/>
          <w:lang w:val="en-GB"/>
        </w:rPr>
        <w:t>Coca-Cola HBC Group</w:t>
      </w:r>
    </w:p>
    <w:p w14:paraId="5FE6EB5D" w14:textId="77777777" w:rsidR="00DF15DC" w:rsidRPr="00483A7E" w:rsidRDefault="00DF15DC" w:rsidP="00DF15DC">
      <w:pPr>
        <w:jc w:val="both"/>
        <w:rPr>
          <w:rFonts w:ascii="Effra Corp" w:hAnsi="Effra Corp"/>
          <w:color w:val="000000"/>
          <w:sz w:val="18"/>
          <w:szCs w:val="18"/>
          <w:lang w:val="en-GB"/>
        </w:rPr>
      </w:pPr>
      <w:r w:rsidRPr="00483A7E">
        <w:rPr>
          <w:rFonts w:ascii="Effra Corp" w:hAnsi="Effra Corp"/>
          <w:color w:val="000000"/>
          <w:sz w:val="18"/>
          <w:szCs w:val="18"/>
          <w:lang w:val="en-GB"/>
        </w:rPr>
        <w:t>Coca-Cola HBC is a growth-focused consumer packaged goods business and strategic bottling partner of The Coca-Cola Company. We open up moments that refresh us all, by creating value for our stakeholders and supporting the socio-economic development of the communities in which we operate. With a vision to be the leading 24/7 beverage partner, we offer drinks for all occasions around the clock and work together with our customers to serve 7</w:t>
      </w:r>
      <w:r>
        <w:rPr>
          <w:rFonts w:ascii="Effra Corp" w:hAnsi="Effra Corp"/>
          <w:color w:val="000000"/>
          <w:sz w:val="18"/>
          <w:szCs w:val="18"/>
          <w:lang w:val="en-GB"/>
        </w:rPr>
        <w:t>5</w:t>
      </w:r>
      <w:r w:rsidRPr="00483A7E">
        <w:rPr>
          <w:rFonts w:ascii="Effra Corp" w:hAnsi="Effra Corp"/>
          <w:color w:val="000000"/>
          <w:sz w:val="18"/>
          <w:szCs w:val="18"/>
          <w:lang w:val="en-GB"/>
        </w:rPr>
        <w:t>0 million consumers across a broad geographic footprint of 29 countries. Our portfolio is one of the strongest, broadest and most flexible in the beverage industry, with consumer-leading beverage brands in the sparkling, adult sparkling, juice, water,</w:t>
      </w:r>
      <w:r>
        <w:rPr>
          <w:rFonts w:ascii="Effra Corp" w:hAnsi="Effra Corp"/>
          <w:color w:val="000000"/>
          <w:sz w:val="18"/>
          <w:szCs w:val="18"/>
          <w:lang w:val="en-GB"/>
        </w:rPr>
        <w:t xml:space="preserve"> </w:t>
      </w:r>
      <w:r w:rsidRPr="00483A7E">
        <w:rPr>
          <w:rFonts w:ascii="Effra Corp" w:hAnsi="Effra Corp"/>
          <w:color w:val="000000"/>
          <w:sz w:val="18"/>
          <w:szCs w:val="18"/>
          <w:lang w:val="en-GB"/>
        </w:rPr>
        <w:t>sport,</w:t>
      </w:r>
      <w:r>
        <w:rPr>
          <w:rFonts w:ascii="Effra Corp" w:hAnsi="Effra Corp"/>
          <w:color w:val="000000"/>
          <w:sz w:val="18"/>
          <w:szCs w:val="18"/>
          <w:lang w:val="en-GB"/>
        </w:rPr>
        <w:t xml:space="preserve"> </w:t>
      </w:r>
      <w:r w:rsidRPr="00483A7E">
        <w:rPr>
          <w:rFonts w:ascii="Effra Corp" w:hAnsi="Effra Corp"/>
          <w:color w:val="000000"/>
          <w:sz w:val="18"/>
          <w:szCs w:val="18"/>
          <w:lang w:val="en-GB"/>
        </w:rPr>
        <w:t>energy,</w:t>
      </w:r>
      <w:r>
        <w:rPr>
          <w:rFonts w:ascii="Effra Corp" w:hAnsi="Effra Corp"/>
          <w:color w:val="000000"/>
          <w:sz w:val="18"/>
          <w:szCs w:val="18"/>
          <w:lang w:val="en-GB"/>
        </w:rPr>
        <w:t xml:space="preserve"> </w:t>
      </w:r>
      <w:r w:rsidRPr="00483A7E">
        <w:rPr>
          <w:rFonts w:ascii="Effra Corp" w:hAnsi="Effra Corp"/>
          <w:color w:val="000000"/>
          <w:sz w:val="18"/>
          <w:szCs w:val="18"/>
          <w:lang w:val="en-GB"/>
        </w:rPr>
        <w:t xml:space="preserve">ready-to-drink tea, coffee, and premium spirits categories. These include Coca-Cola, Coca-Cola Zero Sugar, Fanta, Sprite, Schweppes, Kinley, Costa Coffee, Caffè </w:t>
      </w:r>
      <w:proofErr w:type="spellStart"/>
      <w:r w:rsidRPr="00483A7E">
        <w:rPr>
          <w:rFonts w:ascii="Effra Corp" w:hAnsi="Effra Corp"/>
          <w:color w:val="000000"/>
          <w:sz w:val="18"/>
          <w:szCs w:val="18"/>
          <w:lang w:val="en-GB"/>
        </w:rPr>
        <w:t>Vergnano</w:t>
      </w:r>
      <w:proofErr w:type="spellEnd"/>
      <w:r w:rsidRPr="00483A7E">
        <w:rPr>
          <w:rFonts w:ascii="Effra Corp" w:hAnsi="Effra Corp"/>
          <w:color w:val="000000"/>
          <w:sz w:val="18"/>
          <w:szCs w:val="18"/>
          <w:lang w:val="en-GB"/>
        </w:rPr>
        <w:t xml:space="preserve">, </w:t>
      </w:r>
      <w:proofErr w:type="spellStart"/>
      <w:r w:rsidRPr="00483A7E">
        <w:rPr>
          <w:rFonts w:ascii="Effra Corp" w:hAnsi="Effra Corp"/>
          <w:color w:val="000000"/>
          <w:sz w:val="18"/>
          <w:szCs w:val="18"/>
          <w:lang w:val="en-GB"/>
        </w:rPr>
        <w:t>Valser</w:t>
      </w:r>
      <w:proofErr w:type="spellEnd"/>
      <w:r w:rsidRPr="00483A7E">
        <w:rPr>
          <w:rFonts w:ascii="Effra Corp" w:hAnsi="Effra Corp"/>
          <w:color w:val="000000"/>
          <w:sz w:val="18"/>
          <w:szCs w:val="18"/>
          <w:lang w:val="en-GB"/>
        </w:rPr>
        <w:t xml:space="preserve">, </w:t>
      </w:r>
      <w:proofErr w:type="spellStart"/>
      <w:r w:rsidRPr="00483A7E">
        <w:rPr>
          <w:rFonts w:ascii="Effra Corp" w:hAnsi="Effra Corp"/>
          <w:color w:val="000000"/>
          <w:sz w:val="18"/>
          <w:szCs w:val="18"/>
          <w:lang w:val="en-GB"/>
        </w:rPr>
        <w:t>FuzeTea</w:t>
      </w:r>
      <w:proofErr w:type="spellEnd"/>
      <w:r w:rsidRPr="00483A7E">
        <w:rPr>
          <w:rFonts w:ascii="Effra Corp" w:hAnsi="Effra Corp"/>
          <w:color w:val="000000"/>
          <w:sz w:val="18"/>
          <w:szCs w:val="18"/>
          <w:lang w:val="en-GB"/>
        </w:rPr>
        <w:t xml:space="preserve">, Powerade, Cappy, Monster Energy, Finlandia Vodka, The Macallan, Jack Daniel’s and Grey Goose. We foster an open and inclusive work environment amongst our 33,000 employees and believe that building a more positive environmental impact is integral to our future growth. We rank among the top sustainability performers in ESG benchmarks such as the </w:t>
      </w:r>
      <w:r w:rsidRPr="00483A7E">
        <w:rPr>
          <w:rFonts w:ascii="Effra Corp" w:hAnsi="Effra Corp"/>
          <w:color w:val="000000"/>
          <w:sz w:val="18"/>
          <w:szCs w:val="18"/>
        </w:rPr>
        <w:t>2024 Dow Jones Best-in-Class Indices</w:t>
      </w:r>
      <w:r w:rsidRPr="00483A7E">
        <w:rPr>
          <w:rFonts w:ascii="Effra Corp" w:hAnsi="Effra Corp"/>
          <w:color w:val="000000"/>
          <w:sz w:val="18"/>
          <w:szCs w:val="18"/>
          <w:lang w:val="en-GB"/>
        </w:rPr>
        <w:t>, CDP, MSCI ESG, FTSE4Good and ISS ESG.</w:t>
      </w:r>
    </w:p>
    <w:p w14:paraId="38E0312B" w14:textId="77777777" w:rsidR="00DF15DC" w:rsidRDefault="00DF15DC" w:rsidP="00DF15DC">
      <w:pPr>
        <w:pStyle w:val="BodyTextIndent"/>
        <w:spacing w:after="0"/>
        <w:ind w:left="0"/>
        <w:rPr>
          <w:rFonts w:ascii="Effra Corp" w:hAnsi="Effra Corp"/>
          <w:sz w:val="18"/>
          <w:szCs w:val="18"/>
          <w:lang w:val="en-GB"/>
        </w:rPr>
      </w:pPr>
    </w:p>
    <w:p w14:paraId="1B47DF61" w14:textId="34CB245B" w:rsidR="003A443E" w:rsidRPr="00DF15DC" w:rsidRDefault="00DF15DC" w:rsidP="00A65AFD">
      <w:pPr>
        <w:pStyle w:val="BodyTextIndent"/>
        <w:ind w:left="0"/>
        <w:rPr>
          <w:lang w:val="en-GB"/>
        </w:rPr>
      </w:pPr>
      <w:r w:rsidRPr="007252C8">
        <w:rPr>
          <w:rFonts w:ascii="Effra Corp" w:hAnsi="Effra Corp"/>
          <w:sz w:val="18"/>
          <w:szCs w:val="18"/>
          <w:lang w:val="en-GB"/>
        </w:rPr>
        <w:t xml:space="preserve">Coca-Cola HBC is listed on the London Stock Exchange (LSE: CCH) and on the Athens Exchange (ATHEX: EEE). For more information, please visit </w:t>
      </w:r>
      <w:hyperlink r:id="rId11" w:history="1">
        <w:r w:rsidRPr="007252C8">
          <w:rPr>
            <w:rStyle w:val="Hyperlink"/>
            <w:rFonts w:ascii="Effra Corp" w:hAnsi="Effra Corp"/>
            <w:sz w:val="18"/>
            <w:szCs w:val="18"/>
            <w:u w:val="none"/>
            <w:lang w:val="en-GB"/>
          </w:rPr>
          <w:t>https://www.coca-colahellenic.com/</w:t>
        </w:r>
      </w:hyperlink>
      <w:bookmarkEnd w:id="1"/>
    </w:p>
    <w:sectPr w:rsidR="003A443E" w:rsidRPr="00DF15DC" w:rsidSect="00483A7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610" w:right="1134" w:bottom="1134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1011" w14:textId="77777777" w:rsidR="002E3D9F" w:rsidRDefault="002E3D9F" w:rsidP="00B00763">
      <w:r>
        <w:separator/>
      </w:r>
    </w:p>
  </w:endnote>
  <w:endnote w:type="continuationSeparator" w:id="0">
    <w:p w14:paraId="03C92001" w14:textId="77777777" w:rsidR="002E3D9F" w:rsidRDefault="002E3D9F" w:rsidP="00B00763">
      <w:r>
        <w:continuationSeparator/>
      </w:r>
    </w:p>
  </w:endnote>
  <w:endnote w:type="continuationNotice" w:id="1">
    <w:p w14:paraId="686C1243" w14:textId="77777777" w:rsidR="00C372A5" w:rsidRDefault="00C37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Corp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Effra">
    <w:panose1 w:val="020B0603020203020204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Effra Light">
    <w:panose1 w:val="020B0403020203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8C0" w14:textId="77777777" w:rsidR="00E20B66" w:rsidRPr="00F65B50" w:rsidRDefault="00E20B66" w:rsidP="00E20B66">
    <w:pPr>
      <w:pStyle w:val="Footer"/>
      <w:jc w:val="both"/>
      <w:rPr>
        <w:rFonts w:ascii="Effra Corp" w:hAnsi="Effra Corp" w:cs="Times New Roman (Body CS)"/>
        <w:color w:val="C00000"/>
        <w:spacing w:val="-1"/>
        <w:sz w:val="12"/>
        <w:szCs w:val="12"/>
      </w:rPr>
    </w:pPr>
  </w:p>
  <w:p w14:paraId="38FA4C29" w14:textId="77777777" w:rsidR="00E20B66" w:rsidRPr="00F65B50" w:rsidRDefault="00E20B66" w:rsidP="00E20B66">
    <w:pPr>
      <w:pStyle w:val="Footer"/>
      <w:jc w:val="both"/>
      <w:rPr>
        <w:rFonts w:ascii="Effra Corp" w:hAnsi="Effra Corp" w:cs="Times New Roman (Body CS)"/>
        <w:color w:val="C00000"/>
        <w:spacing w:val="-1"/>
        <w:sz w:val="12"/>
        <w:szCs w:val="12"/>
      </w:rPr>
    </w:pPr>
    <w:r w:rsidRPr="00F65B50">
      <w:rPr>
        <w:rFonts w:ascii="Effra Corp" w:hAnsi="Effra Corp" w:cs="Times New Roman (Body CS)"/>
        <w:color w:val="C00000"/>
        <w:spacing w:val="-1"/>
        <w:sz w:val="12"/>
        <w:szCs w:val="12"/>
      </w:rPr>
      <w:t>Our markets: Armenia • Austria • Belarus • Bosnia &amp; Herzegovina • Bulgaria • Croatia • Cyprus • Czech Republic • Egypt • Estonia • Greece • Hungary • Ireland • Italy • Kosovo</w:t>
    </w:r>
  </w:p>
  <w:p w14:paraId="09AC244E" w14:textId="7CA178C2" w:rsidR="00AE6193" w:rsidRPr="00F65B50" w:rsidRDefault="00E20B66" w:rsidP="00A7211A">
    <w:pPr>
      <w:pStyle w:val="Footer"/>
      <w:jc w:val="both"/>
      <w:rPr>
        <w:rFonts w:ascii="Effra Corp" w:hAnsi="Effra Corp"/>
        <w:color w:val="C00000"/>
        <w:sz w:val="12"/>
        <w:szCs w:val="12"/>
      </w:rPr>
    </w:pPr>
    <w:r w:rsidRPr="00F65B50">
      <w:rPr>
        <w:rFonts w:ascii="Effra Corp" w:hAnsi="Effra Corp"/>
        <w:color w:val="C00000"/>
        <w:sz w:val="12"/>
        <w:szCs w:val="12"/>
      </w:rPr>
      <w:t>Latvia • Lithuania • Moldova • Montenegro • Nigeria • North Macedonia • Northern Ireland • Poland • Romania • Russia • Serbia • Slovakia • Slovenia • Switzerland • Ukraine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4F32" w14:textId="3AAD6F87" w:rsidR="00C526F5" w:rsidRPr="00483A7E" w:rsidRDefault="00C526F5" w:rsidP="00C526F5">
    <w:pPr>
      <w:ind w:right="170"/>
      <w:jc w:val="both"/>
      <w:rPr>
        <w:rFonts w:ascii="Effra" w:hAnsi="Effra"/>
        <w:b/>
        <w:bCs/>
        <w:sz w:val="11"/>
        <w:szCs w:val="11"/>
      </w:rPr>
    </w:pPr>
    <w:r w:rsidRPr="00483A7E">
      <w:rPr>
        <w:rFonts w:ascii="Effra" w:hAnsi="Effra"/>
        <w:b/>
        <w:bCs/>
        <w:color w:val="E41E2A"/>
        <w:sz w:val="11"/>
        <w:szCs w:val="11"/>
      </w:rPr>
      <w:t>Our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markets: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Armenia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Austria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Belarus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Bosnia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&amp;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Herzegovina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Bulgaria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pacing w:val="-4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Croatia</w:t>
    </w:r>
    <w:r w:rsidRPr="00483A7E">
      <w:rPr>
        <w:rFonts w:ascii="Effra" w:hAnsi="Effra"/>
        <w:b/>
        <w:bCs/>
        <w:color w:val="E41E2A"/>
        <w:spacing w:val="-2"/>
        <w:sz w:val="11"/>
        <w:szCs w:val="11"/>
      </w:rPr>
      <w:t xml:space="preserve"> • Cyprus • Czech Republic • Egypt • Estonia • Greece • Hungary • Ireland • Italy • Kosovo </w:t>
    </w:r>
    <w:r w:rsidR="008B5EDF">
      <w:rPr>
        <w:rFonts w:ascii="Effra" w:hAnsi="Effra"/>
        <w:b/>
        <w:bCs/>
        <w:color w:val="E41E2A"/>
        <w:spacing w:val="-2"/>
        <w:sz w:val="11"/>
        <w:szCs w:val="11"/>
      </w:rPr>
      <w:t xml:space="preserve">                            </w:t>
    </w:r>
    <w:r w:rsidRPr="00483A7E">
      <w:rPr>
        <w:rFonts w:ascii="Effra" w:hAnsi="Effra"/>
        <w:b/>
        <w:bCs/>
        <w:color w:val="E41E2A"/>
        <w:spacing w:val="-2"/>
        <w:sz w:val="11"/>
        <w:szCs w:val="11"/>
      </w:rPr>
      <w:t xml:space="preserve">• </w:t>
    </w:r>
    <w:r w:rsidRPr="00483A7E">
      <w:rPr>
        <w:rFonts w:ascii="Effra" w:hAnsi="Effra"/>
        <w:b/>
        <w:bCs/>
        <w:color w:val="E41E2A"/>
        <w:sz w:val="11"/>
        <w:szCs w:val="11"/>
      </w:rPr>
      <w:t xml:space="preserve">Latvia • Lithuania • Moldova • Montenegro • Nigeria • North Macedonia </w:t>
    </w:r>
    <w:r w:rsidRPr="00483A7E">
      <w:rPr>
        <w:rFonts w:ascii="Effra" w:hAnsi="Effra"/>
        <w:b/>
        <w:bCs/>
        <w:color w:val="E41E2A"/>
        <w:spacing w:val="-2"/>
        <w:sz w:val="11"/>
        <w:szCs w:val="11"/>
      </w:rPr>
      <w:t xml:space="preserve">• </w:t>
    </w:r>
    <w:r w:rsidRPr="00483A7E">
      <w:rPr>
        <w:rFonts w:ascii="Effra" w:hAnsi="Effra"/>
        <w:b/>
        <w:bCs/>
        <w:color w:val="E41E2A"/>
        <w:sz w:val="11"/>
        <w:szCs w:val="11"/>
      </w:rPr>
      <w:t>Northern</w:t>
    </w:r>
    <w:r w:rsidR="008B5EDF">
      <w:rPr>
        <w:rFonts w:ascii="Effra" w:hAnsi="Effra"/>
        <w:b/>
        <w:bCs/>
        <w:color w:val="E41E2A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Ireland</w:t>
    </w:r>
    <w:r w:rsidR="008B5EDF">
      <w:rPr>
        <w:rFonts w:ascii="Effra" w:hAnsi="Effra"/>
        <w:b/>
        <w:bCs/>
        <w:color w:val="E41E2A"/>
        <w:sz w:val="11"/>
        <w:szCs w:val="11"/>
      </w:rPr>
      <w:t xml:space="preserve"> </w:t>
    </w:r>
    <w:r w:rsidR="008B5EDF" w:rsidRPr="00483A7E">
      <w:rPr>
        <w:rFonts w:ascii="Effra" w:hAnsi="Effra"/>
        <w:b/>
        <w:bCs/>
        <w:color w:val="E41E2A"/>
        <w:spacing w:val="-2"/>
        <w:sz w:val="11"/>
        <w:szCs w:val="11"/>
      </w:rPr>
      <w:t>•</w:t>
    </w:r>
    <w:r w:rsidRPr="00483A7E">
      <w:rPr>
        <w:rFonts w:ascii="Effra" w:hAnsi="Effra"/>
        <w:b/>
        <w:bCs/>
        <w:color w:val="E41E2A"/>
        <w:sz w:val="11"/>
        <w:szCs w:val="11"/>
      </w:rPr>
      <w:t xml:space="preserve"> Poland • Romania • Russia • Serbia • Slovakia • Slovenia •</w:t>
    </w:r>
    <w:r w:rsidRPr="00483A7E">
      <w:rPr>
        <w:rFonts w:ascii="Effra" w:hAnsi="Effra"/>
        <w:b/>
        <w:bCs/>
        <w:color w:val="E41E2A"/>
        <w:spacing w:val="-1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Switzerland •</w:t>
    </w:r>
    <w:r w:rsidRPr="00483A7E">
      <w:rPr>
        <w:rFonts w:ascii="Effra" w:hAnsi="Effra"/>
        <w:b/>
        <w:bCs/>
        <w:color w:val="E41E2A"/>
        <w:spacing w:val="-1"/>
        <w:sz w:val="11"/>
        <w:szCs w:val="11"/>
      </w:rPr>
      <w:t xml:space="preserve"> </w:t>
    </w:r>
    <w:r w:rsidRPr="00483A7E">
      <w:rPr>
        <w:rFonts w:ascii="Effra" w:hAnsi="Effra"/>
        <w:b/>
        <w:bCs/>
        <w:color w:val="E41E2A"/>
        <w:sz w:val="11"/>
        <w:szCs w:val="11"/>
      </w:rPr>
      <w:t>Ukraine</w:t>
    </w:r>
  </w:p>
  <w:p w14:paraId="3841A5B9" w14:textId="77777777" w:rsidR="005501E9" w:rsidRPr="00F65B50" w:rsidRDefault="005501E9" w:rsidP="005501E9">
    <w:pPr>
      <w:pStyle w:val="Footer"/>
      <w:jc w:val="both"/>
      <w:rPr>
        <w:rFonts w:ascii="Effra Corp" w:hAnsi="Effra Corp" w:cs="Times New Roman (Body CS)"/>
        <w:color w:val="C00000"/>
        <w:spacing w:val="-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F5CB" w14:textId="77777777" w:rsidR="002E3D9F" w:rsidRDefault="002E3D9F" w:rsidP="00B00763">
      <w:r>
        <w:separator/>
      </w:r>
    </w:p>
  </w:footnote>
  <w:footnote w:type="continuationSeparator" w:id="0">
    <w:p w14:paraId="5D2D8D9E" w14:textId="77777777" w:rsidR="002E3D9F" w:rsidRDefault="002E3D9F" w:rsidP="00B00763">
      <w:r>
        <w:continuationSeparator/>
      </w:r>
    </w:p>
  </w:footnote>
  <w:footnote w:type="continuationNotice" w:id="1">
    <w:p w14:paraId="0993AF42" w14:textId="77777777" w:rsidR="00C372A5" w:rsidRDefault="00C37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BDAE" w14:textId="0C0D16DF" w:rsidR="006C42DF" w:rsidRPr="004E0F05" w:rsidRDefault="004E0F05" w:rsidP="004E0F05">
    <w:pPr>
      <w:pStyle w:val="Header"/>
    </w:pPr>
    <w:r>
      <w:rPr>
        <w:noProof/>
      </w:rPr>
      <w:drawing>
        <wp:anchor distT="0" distB="0" distL="114300" distR="114300" simplePos="0" relativeHeight="251662337" behindDoc="0" locked="0" layoutInCell="1" allowOverlap="1" wp14:anchorId="6D332C55" wp14:editId="5F38ADB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665605" cy="637540"/>
          <wp:effectExtent l="0" t="0" r="0" b="0"/>
          <wp:wrapThrough wrapText="bothSides">
            <wp:wrapPolygon edited="0">
              <wp:start x="1812" y="0"/>
              <wp:lineTo x="494" y="2151"/>
              <wp:lineTo x="0" y="3873"/>
              <wp:lineTo x="0" y="19793"/>
              <wp:lineTo x="1318" y="21084"/>
              <wp:lineTo x="3788" y="21084"/>
              <wp:lineTo x="3953" y="20653"/>
              <wp:lineTo x="12352" y="17641"/>
              <wp:lineTo x="13011" y="15920"/>
              <wp:lineTo x="11364" y="13769"/>
              <wp:lineTo x="21411" y="11618"/>
              <wp:lineTo x="21411" y="3873"/>
              <wp:lineTo x="3459" y="0"/>
              <wp:lineTo x="1812" y="0"/>
            </wp:wrapPolygon>
          </wp:wrapThrough>
          <wp:docPr id="1848299199" name="Picture 4" descr="A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45117" name="Picture 4" descr="A black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60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46E8" w14:textId="77777777" w:rsidR="007E790A" w:rsidRDefault="007E790A" w:rsidP="0033084C">
    <w:pPr>
      <w:pStyle w:val="Header"/>
      <w:tabs>
        <w:tab w:val="clear" w:pos="4513"/>
      </w:tabs>
      <w:jc w:val="center"/>
      <w:rPr>
        <w:rFonts w:ascii="Effra Corp" w:hAnsi="Effra Corp"/>
        <w:sz w:val="14"/>
        <w:szCs w:val="14"/>
      </w:rPr>
    </w:pPr>
  </w:p>
  <w:p w14:paraId="32138E6D" w14:textId="77777777" w:rsidR="007E790A" w:rsidRDefault="007E790A" w:rsidP="0033084C">
    <w:pPr>
      <w:pStyle w:val="Header"/>
      <w:tabs>
        <w:tab w:val="clear" w:pos="4513"/>
      </w:tabs>
      <w:jc w:val="center"/>
      <w:rPr>
        <w:rFonts w:ascii="Effra Corp" w:hAnsi="Effra Corp"/>
        <w:sz w:val="14"/>
        <w:szCs w:val="14"/>
      </w:rPr>
    </w:pPr>
  </w:p>
  <w:p w14:paraId="797292EE" w14:textId="253C2397" w:rsidR="007E790A" w:rsidRDefault="007E790A" w:rsidP="0033084C">
    <w:pPr>
      <w:pStyle w:val="Header"/>
      <w:tabs>
        <w:tab w:val="clear" w:pos="4513"/>
      </w:tabs>
      <w:jc w:val="center"/>
      <w:rPr>
        <w:rFonts w:ascii="Effra Corp" w:hAnsi="Effra Corp"/>
        <w:sz w:val="14"/>
        <w:szCs w:val="14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2CC103B3" wp14:editId="48BEAF62">
          <wp:simplePos x="0" y="0"/>
          <wp:positionH relativeFrom="column">
            <wp:posOffset>-635</wp:posOffset>
          </wp:positionH>
          <wp:positionV relativeFrom="paragraph">
            <wp:posOffset>73660</wp:posOffset>
          </wp:positionV>
          <wp:extent cx="1665605" cy="637540"/>
          <wp:effectExtent l="0" t="0" r="0" b="0"/>
          <wp:wrapThrough wrapText="bothSides">
            <wp:wrapPolygon edited="0">
              <wp:start x="1812" y="0"/>
              <wp:lineTo x="494" y="2151"/>
              <wp:lineTo x="0" y="3873"/>
              <wp:lineTo x="0" y="19793"/>
              <wp:lineTo x="1318" y="21084"/>
              <wp:lineTo x="3788" y="21084"/>
              <wp:lineTo x="3953" y="20653"/>
              <wp:lineTo x="12352" y="17641"/>
              <wp:lineTo x="13011" y="15920"/>
              <wp:lineTo x="11364" y="13769"/>
              <wp:lineTo x="21411" y="11618"/>
              <wp:lineTo x="21411" y="3873"/>
              <wp:lineTo x="3459" y="0"/>
              <wp:lineTo x="1812" y="0"/>
            </wp:wrapPolygon>
          </wp:wrapThrough>
          <wp:docPr id="647945117" name="Picture 4" descr="A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45117" name="Picture 4" descr="A black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60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D4162" w14:textId="74903AEE" w:rsidR="005501E9" w:rsidRPr="007E790A" w:rsidRDefault="007E790A" w:rsidP="0033084C">
    <w:pPr>
      <w:pStyle w:val="Header"/>
      <w:tabs>
        <w:tab w:val="clear" w:pos="4513"/>
      </w:tabs>
      <w:jc w:val="center"/>
      <w:rPr>
        <w:rFonts w:ascii="Effra Light" w:hAnsi="Effra Light"/>
        <w:sz w:val="14"/>
        <w:szCs w:val="14"/>
        <w:lang w:val="it-IT"/>
      </w:rPr>
    </w:pPr>
    <w:r>
      <w:rPr>
        <w:rFonts w:ascii="Effra Corp" w:hAnsi="Effra Corp"/>
        <w:sz w:val="14"/>
        <w:szCs w:val="14"/>
      </w:rPr>
      <w:tab/>
    </w:r>
    <w:r w:rsidR="0033084C" w:rsidRPr="00504D79">
      <w:rPr>
        <w:rFonts w:ascii="Effra Corp" w:hAnsi="Effra Corp"/>
        <w:sz w:val="14"/>
        <w:szCs w:val="14"/>
        <w:lang w:val="it-IT"/>
      </w:rPr>
      <w:t xml:space="preserve"> </w:t>
    </w:r>
    <w:r w:rsidR="0033084C" w:rsidRPr="007E790A">
      <w:rPr>
        <w:rFonts w:ascii="Effra Light" w:hAnsi="Effra Light"/>
        <w:b/>
        <w:bCs/>
        <w:sz w:val="14"/>
        <w:szCs w:val="14"/>
        <w:lang w:val="it-IT"/>
      </w:rPr>
      <w:t>Coca-Cola HBC AG</w:t>
    </w:r>
    <w:r w:rsidR="0033084C" w:rsidRPr="007E790A">
      <w:rPr>
        <w:rFonts w:ascii="Effra Light" w:hAnsi="Effra Light"/>
        <w:sz w:val="14"/>
        <w:szCs w:val="14"/>
        <w:lang w:val="it-IT"/>
      </w:rPr>
      <w:t xml:space="preserve">                                 Turmstrasse 26</w:t>
    </w:r>
  </w:p>
  <w:p w14:paraId="11E221F3" w14:textId="5E29CB5A" w:rsidR="005501E9" w:rsidRPr="007E790A" w:rsidRDefault="0033084C" w:rsidP="005501E9">
    <w:pPr>
      <w:pStyle w:val="Header"/>
      <w:jc w:val="right"/>
      <w:rPr>
        <w:rFonts w:ascii="Effra Light" w:hAnsi="Effra Light"/>
        <w:sz w:val="14"/>
        <w:szCs w:val="14"/>
      </w:rPr>
    </w:pPr>
    <w:r w:rsidRPr="007E790A">
      <w:rPr>
        <w:rFonts w:ascii="Effra Light" w:hAnsi="Effra Light"/>
        <w:sz w:val="14"/>
        <w:szCs w:val="14"/>
      </w:rPr>
      <w:t>6312 Steinhausen</w:t>
    </w:r>
  </w:p>
  <w:p w14:paraId="2B3D167C" w14:textId="41552BF2" w:rsidR="005501E9" w:rsidRPr="007E790A" w:rsidRDefault="0033084C" w:rsidP="005501E9">
    <w:pPr>
      <w:pStyle w:val="Header"/>
      <w:jc w:val="right"/>
      <w:rPr>
        <w:rFonts w:ascii="Effra Light" w:hAnsi="Effra Light"/>
        <w:sz w:val="14"/>
        <w:szCs w:val="14"/>
      </w:rPr>
    </w:pPr>
    <w:r w:rsidRPr="007E790A">
      <w:rPr>
        <w:rFonts w:ascii="Effra Light" w:hAnsi="Effra Light"/>
        <w:sz w:val="14"/>
        <w:szCs w:val="14"/>
      </w:rPr>
      <w:t>Switzerland</w:t>
    </w:r>
  </w:p>
  <w:p w14:paraId="61945728" w14:textId="34C28384" w:rsidR="005501E9" w:rsidRPr="007E790A" w:rsidRDefault="005501E9" w:rsidP="005501E9">
    <w:pPr>
      <w:pStyle w:val="Header"/>
      <w:jc w:val="right"/>
      <w:rPr>
        <w:rFonts w:ascii="Effra Light" w:hAnsi="Effra Light"/>
        <w:sz w:val="14"/>
        <w:szCs w:val="14"/>
      </w:rPr>
    </w:pPr>
    <w:r w:rsidRPr="007E790A">
      <w:rPr>
        <w:rFonts w:ascii="Effra Light" w:hAnsi="Effra Light"/>
        <w:sz w:val="14"/>
        <w:szCs w:val="14"/>
      </w:rPr>
      <w:t>T +</w:t>
    </w:r>
    <w:r w:rsidR="0033084C" w:rsidRPr="007E790A">
      <w:rPr>
        <w:rFonts w:ascii="Effra Light" w:hAnsi="Effra Light"/>
        <w:sz w:val="14"/>
        <w:szCs w:val="14"/>
      </w:rPr>
      <w:t>41 41 726 01 10</w:t>
    </w:r>
  </w:p>
  <w:p w14:paraId="0EBE3DFC" w14:textId="57D6A98A" w:rsidR="005501E9" w:rsidRPr="007E790A" w:rsidRDefault="005501E9" w:rsidP="003A443E">
    <w:pPr>
      <w:pStyle w:val="Header"/>
      <w:jc w:val="right"/>
      <w:rPr>
        <w:rFonts w:ascii="Effra Light" w:hAnsi="Effra Light"/>
        <w:sz w:val="14"/>
        <w:szCs w:val="14"/>
      </w:rPr>
    </w:pPr>
    <w:r w:rsidRPr="007E790A">
      <w:rPr>
        <w:rFonts w:ascii="Effra Light" w:hAnsi="Effra Light"/>
        <w:sz w:val="14"/>
        <w:szCs w:val="14"/>
      </w:rPr>
      <w:t>www.</w:t>
    </w:r>
    <w:r w:rsidR="0033084C" w:rsidRPr="007E790A">
      <w:rPr>
        <w:rFonts w:ascii="Effra Light" w:hAnsi="Effra Light"/>
        <w:sz w:val="14"/>
        <w:szCs w:val="14"/>
      </w:rPr>
      <w:t>coca-colahellenic.com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0E0"/>
    <w:multiLevelType w:val="hybridMultilevel"/>
    <w:tmpl w:val="8E48E1A4"/>
    <w:lvl w:ilvl="0" w:tplc="02FE4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0EB0373E"/>
    <w:multiLevelType w:val="hybridMultilevel"/>
    <w:tmpl w:val="46A6AED8"/>
    <w:lvl w:ilvl="0" w:tplc="3B385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721621"/>
    <w:multiLevelType w:val="hybridMultilevel"/>
    <w:tmpl w:val="42A41C58"/>
    <w:name w:val="UnnamedList3195"/>
    <w:lvl w:ilvl="0" w:tplc="CE2AA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0B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01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85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C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CE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2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29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62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711B"/>
    <w:multiLevelType w:val="singleLevel"/>
    <w:tmpl w:val="F42E3E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num w:numId="1" w16cid:durableId="1206797196">
    <w:abstractNumId w:val="3"/>
  </w:num>
  <w:num w:numId="2" w16cid:durableId="69279815">
    <w:abstractNumId w:val="1"/>
  </w:num>
  <w:num w:numId="3" w16cid:durableId="1842964969">
    <w:abstractNumId w:val="0"/>
  </w:num>
  <w:num w:numId="4" w16cid:durableId="26562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63"/>
    <w:rsid w:val="00083DF3"/>
    <w:rsid w:val="00085A24"/>
    <w:rsid w:val="000E0B1E"/>
    <w:rsid w:val="000F1F12"/>
    <w:rsid w:val="00122641"/>
    <w:rsid w:val="001229F3"/>
    <w:rsid w:val="00167FBE"/>
    <w:rsid w:val="001F72B1"/>
    <w:rsid w:val="0024366E"/>
    <w:rsid w:val="002A1322"/>
    <w:rsid w:val="002B133F"/>
    <w:rsid w:val="002B46AC"/>
    <w:rsid w:val="002D3AA4"/>
    <w:rsid w:val="002E3D9F"/>
    <w:rsid w:val="002F426C"/>
    <w:rsid w:val="00325C85"/>
    <w:rsid w:val="00327853"/>
    <w:rsid w:val="0033084C"/>
    <w:rsid w:val="00331C44"/>
    <w:rsid w:val="00335A81"/>
    <w:rsid w:val="00336B08"/>
    <w:rsid w:val="00397E42"/>
    <w:rsid w:val="003A443E"/>
    <w:rsid w:val="003C60C8"/>
    <w:rsid w:val="003D6605"/>
    <w:rsid w:val="00416912"/>
    <w:rsid w:val="004215BD"/>
    <w:rsid w:val="00456F34"/>
    <w:rsid w:val="00483A7E"/>
    <w:rsid w:val="004A4D5E"/>
    <w:rsid w:val="004A6E7C"/>
    <w:rsid w:val="004B2846"/>
    <w:rsid w:val="004C30B0"/>
    <w:rsid w:val="004C58CC"/>
    <w:rsid w:val="004E0F05"/>
    <w:rsid w:val="00504D79"/>
    <w:rsid w:val="005136C2"/>
    <w:rsid w:val="005501E9"/>
    <w:rsid w:val="005660ED"/>
    <w:rsid w:val="00615852"/>
    <w:rsid w:val="006A5D57"/>
    <w:rsid w:val="006B3316"/>
    <w:rsid w:val="006C42DF"/>
    <w:rsid w:val="006E0702"/>
    <w:rsid w:val="00712C8B"/>
    <w:rsid w:val="007137E3"/>
    <w:rsid w:val="00736F8E"/>
    <w:rsid w:val="007B1A9F"/>
    <w:rsid w:val="007E790A"/>
    <w:rsid w:val="00826F63"/>
    <w:rsid w:val="008677B3"/>
    <w:rsid w:val="00871089"/>
    <w:rsid w:val="008A6469"/>
    <w:rsid w:val="008B5EDF"/>
    <w:rsid w:val="008C0E4F"/>
    <w:rsid w:val="008C4B5A"/>
    <w:rsid w:val="00946CA0"/>
    <w:rsid w:val="009B5E40"/>
    <w:rsid w:val="009D1B78"/>
    <w:rsid w:val="00A07348"/>
    <w:rsid w:val="00A225E5"/>
    <w:rsid w:val="00A551C3"/>
    <w:rsid w:val="00A65AFD"/>
    <w:rsid w:val="00A7211A"/>
    <w:rsid w:val="00A73057"/>
    <w:rsid w:val="00A90D6F"/>
    <w:rsid w:val="00AA56E7"/>
    <w:rsid w:val="00AE6193"/>
    <w:rsid w:val="00B00763"/>
    <w:rsid w:val="00B05596"/>
    <w:rsid w:val="00B826B8"/>
    <w:rsid w:val="00BD248D"/>
    <w:rsid w:val="00BE1BE8"/>
    <w:rsid w:val="00BF277E"/>
    <w:rsid w:val="00C070EE"/>
    <w:rsid w:val="00C138F6"/>
    <w:rsid w:val="00C372A5"/>
    <w:rsid w:val="00C50D15"/>
    <w:rsid w:val="00C526F5"/>
    <w:rsid w:val="00C82DB5"/>
    <w:rsid w:val="00C921CE"/>
    <w:rsid w:val="00CB551A"/>
    <w:rsid w:val="00D03BA4"/>
    <w:rsid w:val="00D3220A"/>
    <w:rsid w:val="00DC69D7"/>
    <w:rsid w:val="00DC7CEF"/>
    <w:rsid w:val="00DE497C"/>
    <w:rsid w:val="00DF15DC"/>
    <w:rsid w:val="00E20B66"/>
    <w:rsid w:val="00E31148"/>
    <w:rsid w:val="00E463D2"/>
    <w:rsid w:val="00E76AB7"/>
    <w:rsid w:val="00EA5D00"/>
    <w:rsid w:val="00EB42CB"/>
    <w:rsid w:val="00EF40BB"/>
    <w:rsid w:val="00F47DE7"/>
    <w:rsid w:val="00F56EE9"/>
    <w:rsid w:val="00F65B50"/>
    <w:rsid w:val="00F71157"/>
    <w:rsid w:val="00FB4B05"/>
    <w:rsid w:val="00FB60BE"/>
    <w:rsid w:val="00FD3278"/>
    <w:rsid w:val="00FE274E"/>
    <w:rsid w:val="04409FB3"/>
    <w:rsid w:val="18691D49"/>
    <w:rsid w:val="1D3C8E6C"/>
    <w:rsid w:val="25FAD161"/>
    <w:rsid w:val="2674908A"/>
    <w:rsid w:val="2A596358"/>
    <w:rsid w:val="35FBC725"/>
    <w:rsid w:val="3D319F00"/>
    <w:rsid w:val="46E55512"/>
    <w:rsid w:val="47764207"/>
    <w:rsid w:val="4CC953FD"/>
    <w:rsid w:val="597A4938"/>
    <w:rsid w:val="6218A3CC"/>
    <w:rsid w:val="76A6754C"/>
    <w:rsid w:val="78A74E50"/>
    <w:rsid w:val="7F0D3D89"/>
    <w:rsid w:val="7FD9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B0BC9"/>
  <w15:chartTrackingRefBased/>
  <w15:docId w15:val="{33F170A7-5C7F-144D-AD24-044C91E9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463D2"/>
    <w:pPr>
      <w:keepNext/>
      <w:jc w:val="both"/>
      <w:outlineLvl w:val="5"/>
    </w:pPr>
    <w:rPr>
      <w:rFonts w:ascii="Times New Roman" w:eastAsia="Batang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763"/>
  </w:style>
  <w:style w:type="paragraph" w:styleId="Footer">
    <w:name w:val="footer"/>
    <w:basedOn w:val="Normal"/>
    <w:link w:val="FooterChar"/>
    <w:uiPriority w:val="99"/>
    <w:unhideWhenUsed/>
    <w:rsid w:val="00B00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763"/>
  </w:style>
  <w:style w:type="character" w:customStyle="1" w:styleId="Heading6Char">
    <w:name w:val="Heading 6 Char"/>
    <w:basedOn w:val="DefaultParagraphFont"/>
    <w:link w:val="Heading6"/>
    <w:rsid w:val="00E463D2"/>
    <w:rPr>
      <w:rFonts w:ascii="Times New Roman" w:eastAsia="Batang" w:hAnsi="Times New Roman" w:cs="Times New Roman"/>
      <w:lang w:val="en-GB"/>
    </w:rPr>
  </w:style>
  <w:style w:type="character" w:customStyle="1" w:styleId="Defterm">
    <w:name w:val="Defterm"/>
    <w:rsid w:val="00E463D2"/>
    <w:rPr>
      <w:b/>
      <w:color w:val="000000"/>
      <w:sz w:val="22"/>
    </w:rPr>
  </w:style>
  <w:style w:type="character" w:styleId="Hyperlink">
    <w:name w:val="Hyperlink"/>
    <w:aliases w:val="Δεσμός"/>
    <w:uiPriority w:val="99"/>
    <w:unhideWhenUsed/>
    <w:rsid w:val="00CB551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B551A"/>
    <w:pPr>
      <w:spacing w:after="120"/>
      <w:ind w:left="283"/>
    </w:pPr>
    <w:rPr>
      <w:rFonts w:ascii="Times New Roman" w:eastAsia="MS Mincho" w:hAnsi="Times New Roman" w:cs="Times New Roman"/>
      <w:lang w:val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551A"/>
    <w:rPr>
      <w:rFonts w:ascii="Times New Roman" w:eastAsia="MS Mincho" w:hAnsi="Times New Roman" w:cs="Times New Roman"/>
      <w:lang w:val="el-GR"/>
    </w:rPr>
  </w:style>
  <w:style w:type="paragraph" w:styleId="NormalWeb">
    <w:name w:val="Normal (Web)"/>
    <w:basedOn w:val="Normal"/>
    <w:uiPriority w:val="99"/>
    <w:unhideWhenUsed/>
    <w:rsid w:val="00CB551A"/>
    <w:rPr>
      <w:rFonts w:ascii="Times New Roman" w:eastAsia="MS Mincho" w:hAnsi="Times New Roman" w:cs="Times New Roman"/>
      <w:lang w:val="el-GR"/>
    </w:rPr>
  </w:style>
  <w:style w:type="character" w:customStyle="1" w:styleId="bg">
    <w:name w:val="bg"/>
    <w:basedOn w:val="DefaultParagraphFont"/>
    <w:rsid w:val="00CB551A"/>
  </w:style>
  <w:style w:type="character" w:customStyle="1" w:styleId="ui-provider">
    <w:name w:val="ui-provider"/>
    <w:basedOn w:val="DefaultParagraphFont"/>
    <w:rsid w:val="00E31148"/>
  </w:style>
  <w:style w:type="character" w:styleId="CommentReference">
    <w:name w:val="annotation reference"/>
    <w:basedOn w:val="DefaultParagraphFont"/>
    <w:uiPriority w:val="99"/>
    <w:semiHidden/>
    <w:unhideWhenUsed/>
    <w:rsid w:val="008C0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4F"/>
    <w:rPr>
      <w:b/>
      <w:bCs/>
      <w:sz w:val="20"/>
      <w:szCs w:val="20"/>
    </w:rPr>
  </w:style>
  <w:style w:type="paragraph" w:customStyle="1" w:styleId="BodyText">
    <w:name w:val="#BodyText"/>
    <w:basedOn w:val="Normal"/>
    <w:link w:val="BodyTextChar"/>
    <w:qFormat/>
    <w:rsid w:val="00FE274E"/>
    <w:pPr>
      <w:spacing w:after="240"/>
      <w:jc w:val="both"/>
    </w:pPr>
    <w:rPr>
      <w:rFonts w:ascii="Arial" w:eastAsia="Times New Roman" w:hAnsi="Arial" w:cs="Times New Roman"/>
      <w:sz w:val="20"/>
      <w:szCs w:val="20"/>
      <w:lang w:val="en-GB" w:eastAsia="en-CA"/>
    </w:rPr>
  </w:style>
  <w:style w:type="character" w:customStyle="1" w:styleId="BodyTextChar">
    <w:name w:val="#BodyText Char"/>
    <w:basedOn w:val="DefaultParagraphFont"/>
    <w:link w:val="BodyText"/>
    <w:rsid w:val="00FE274E"/>
    <w:rPr>
      <w:rFonts w:ascii="Arial" w:eastAsia="Times New Roman" w:hAnsi="Arial" w:cs="Times New Roman"/>
      <w:sz w:val="20"/>
      <w:szCs w:val="20"/>
      <w:lang w:val="en-GB" w:eastAsia="en-CA"/>
    </w:rPr>
  </w:style>
  <w:style w:type="paragraph" w:customStyle="1" w:styleId="fd">
    <w:name w:val="fd"/>
    <w:basedOn w:val="Normal"/>
    <w:rsid w:val="00FE27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g">
    <w:name w:val="eg"/>
    <w:basedOn w:val="DefaultParagraphFont"/>
    <w:rsid w:val="00FE274E"/>
  </w:style>
  <w:style w:type="paragraph" w:customStyle="1" w:styleId="fi">
    <w:name w:val="fi"/>
    <w:basedOn w:val="Normal"/>
    <w:rsid w:val="00FE27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dw">
    <w:name w:val="dw"/>
    <w:basedOn w:val="DefaultParagraphFont"/>
    <w:rsid w:val="00FE274E"/>
  </w:style>
  <w:style w:type="paragraph" w:customStyle="1" w:styleId="ig">
    <w:name w:val="ig"/>
    <w:basedOn w:val="Normal"/>
    <w:rsid w:val="00504D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m">
    <w:name w:val="hm"/>
    <w:basedOn w:val="DefaultParagraphFont"/>
    <w:rsid w:val="00504D79"/>
  </w:style>
  <w:style w:type="character" w:customStyle="1" w:styleId="gz">
    <w:name w:val="gz"/>
    <w:basedOn w:val="DefaultParagraphFont"/>
    <w:rsid w:val="00504D79"/>
  </w:style>
  <w:style w:type="paragraph" w:styleId="Revision">
    <w:name w:val="Revision"/>
    <w:hidden/>
    <w:uiPriority w:val="99"/>
    <w:semiHidden/>
    <w:rsid w:val="00C526F5"/>
  </w:style>
  <w:style w:type="table" w:styleId="TableGrid">
    <w:name w:val="Table Grid"/>
    <w:basedOn w:val="TableNormal"/>
    <w:uiPriority w:val="39"/>
    <w:rsid w:val="00AA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4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a-colahellenic.com/en/investor-relations/results-reports-presentat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ca-colahelleni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ister-conf.media-server.com/register/BI3c79aa76aa9f4cbcbc4c5e9f5984be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ge.media-server.com/mmc/p/qqy64dzc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UK!762139728.2</documentid>
  <senderid>DEBW</senderid>
  <senderemail>DEBORAH.WILCHER@NORTONROSEFULBRIGHT.COM</senderemail>
  <lastmodified>2025-03-10T10:29:00.0000000+00:00</lastmodified>
  <database>UK</database>
</properties>
</file>

<file path=customXml/itemProps1.xml><?xml version="1.0" encoding="utf-8"?>
<ds:datastoreItem xmlns:ds="http://schemas.openxmlformats.org/officeDocument/2006/customXml" ds:itemID="{0F63D3FD-3E57-4983-A911-2648FE616378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24" baseType="variant">
      <vt:variant>
        <vt:i4>3080297</vt:i4>
      </vt:variant>
      <vt:variant>
        <vt:i4>9</vt:i4>
      </vt:variant>
      <vt:variant>
        <vt:i4>0</vt:i4>
      </vt:variant>
      <vt:variant>
        <vt:i4>5</vt:i4>
      </vt:variant>
      <vt:variant>
        <vt:lpwstr>https://www.coca-colahellenic.com/</vt:lpwstr>
      </vt:variant>
      <vt:variant>
        <vt:lpwstr/>
      </vt:variant>
      <vt:variant>
        <vt:i4>2752560</vt:i4>
      </vt:variant>
      <vt:variant>
        <vt:i4>6</vt:i4>
      </vt:variant>
      <vt:variant>
        <vt:i4>0</vt:i4>
      </vt:variant>
      <vt:variant>
        <vt:i4>5</vt:i4>
      </vt:variant>
      <vt:variant>
        <vt:lpwstr>https://www.coca-colahellenic.com/en/investor-relations/order-a-report</vt:lpwstr>
      </vt:variant>
      <vt:variant>
        <vt:lpwstr/>
      </vt:variant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https://www.coca-colahellenic.com/en/investor-relations/results-reports-presentations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Livaniou</dc:creator>
  <cp:lastModifiedBy>Maria Livaniou</cp:lastModifiedBy>
  <cp:revision>4</cp:revision>
  <cp:lastPrinted>2025-04-02T09:10:00Z</cp:lastPrinted>
  <dcterms:created xsi:type="dcterms:W3CDTF">2025-04-01T10:57:00Z</dcterms:created>
  <dcterms:modified xsi:type="dcterms:W3CDTF">2025-04-02T09:13:00Z</dcterms:modified>
</cp:coreProperties>
</file>