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F32CC6" w:rsidRDefault="00CB6708" w:rsidP="00820504">
      <w:pPr>
        <w:pStyle w:val="DateNew"/>
        <w:rPr>
          <w:lang w:val="en-US"/>
        </w:rPr>
      </w:pPr>
      <w:r w:rsidRPr="00C748C3">
        <w:rPr>
          <w:noProof/>
          <w:lang w:val="en-US"/>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30DF4" w:rsidRPr="00CB6708" w:rsidRDefault="00630DF4"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630DF4" w:rsidRPr="00CB6708" w:rsidRDefault="00630DF4" w:rsidP="00035040">
                      <w:pPr>
                        <w:pStyle w:val="Subtitle"/>
                      </w:pPr>
                      <w:r>
                        <w:rPr>
                          <w:lang w:val="en-US"/>
                        </w:rPr>
                        <w:t>Announcement Release</w:t>
                      </w:r>
                    </w:p>
                  </w:txbxContent>
                </v:textbox>
              </v:shape>
            </w:pict>
          </mc:Fallback>
        </mc:AlternateContent>
      </w:r>
      <w:r w:rsidR="000B5B1C">
        <w:rPr>
          <w:noProof/>
          <w:lang w:val="en-US"/>
        </w:rPr>
        <w:t>October</w:t>
      </w:r>
      <w:r w:rsidR="00675058" w:rsidRPr="00C748C3">
        <w:rPr>
          <w:lang w:val="en-GB"/>
        </w:rPr>
        <w:t xml:space="preserve"> </w:t>
      </w:r>
      <w:r w:rsidR="00F87D39">
        <w:rPr>
          <w:lang w:val="en-GB"/>
        </w:rPr>
        <w:t>4</w:t>
      </w:r>
      <w:r w:rsidR="005B3DBD" w:rsidRPr="00C748C3">
        <w:rPr>
          <w:lang w:val="en-US"/>
        </w:rPr>
        <w:t>,</w:t>
      </w:r>
      <w:r w:rsidRPr="00C748C3">
        <w:rPr>
          <w:lang w:val="en-US"/>
        </w:rPr>
        <w:t xml:space="preserve"> </w:t>
      </w:r>
      <w:r w:rsidR="001A492B" w:rsidRPr="00C748C3">
        <w:rPr>
          <w:lang w:val="en-US"/>
        </w:rPr>
        <w:t>201</w:t>
      </w:r>
      <w:r w:rsidR="00F87D39">
        <w:rPr>
          <w:lang w:val="en-US"/>
        </w:rPr>
        <w:t>9</w:t>
      </w:r>
    </w:p>
    <w:p w:rsidR="0051381C" w:rsidRPr="00F32CC6" w:rsidRDefault="006D09E0" w:rsidP="0051381C">
      <w:pPr>
        <w:pStyle w:val="Title"/>
        <w:tabs>
          <w:tab w:val="left" w:pos="6198"/>
        </w:tabs>
        <w:rPr>
          <w:iCs/>
          <w:lang w:val="en-US"/>
        </w:rPr>
      </w:pPr>
      <w:r w:rsidRPr="006D09E0">
        <w:rPr>
          <w:iCs/>
          <w:lang w:val="en-GB"/>
        </w:rPr>
        <w:t>ΑξIAnumbers Monthly Publication</w:t>
      </w:r>
      <w:r w:rsidR="0051381C" w:rsidRPr="00F32CC6">
        <w:rPr>
          <w:iCs/>
          <w:lang w:val="en-US"/>
        </w:rPr>
        <w:t xml:space="preserve"> </w:t>
      </w:r>
    </w:p>
    <w:p w:rsidR="006D09E0" w:rsidRPr="006D09E0" w:rsidRDefault="006D09E0" w:rsidP="006D09E0">
      <w:pPr>
        <w:rPr>
          <w:iCs/>
          <w:lang w:val="en-GB"/>
        </w:rPr>
      </w:pPr>
      <w:r w:rsidRPr="006D09E0">
        <w:rPr>
          <w:b/>
          <w:iCs/>
          <w:lang w:val="en-GB"/>
        </w:rPr>
        <w:t>Athens Exchange Group (ATHEX Group)</w:t>
      </w:r>
      <w:r w:rsidRPr="006D09E0">
        <w:rPr>
          <w:b/>
          <w:bCs/>
          <w:iCs/>
          <w:lang w:val="en-GB"/>
        </w:rPr>
        <w:t xml:space="preserve"> publishes its Monthly Statistics Bulletin for</w:t>
      </w:r>
      <w:r w:rsidR="00CB7C2E">
        <w:rPr>
          <w:b/>
          <w:bCs/>
          <w:iCs/>
          <w:lang w:val="en-GB"/>
        </w:rPr>
        <w:t xml:space="preserve"> </w:t>
      </w:r>
      <w:r w:rsidR="000B5B1C" w:rsidRPr="000B5B1C">
        <w:rPr>
          <w:b/>
          <w:iCs/>
          <w:lang w:val="en-GB"/>
        </w:rPr>
        <w:t>September 2019</w:t>
      </w:r>
      <w:r w:rsidRPr="00CB7C2E">
        <w:rPr>
          <w:b/>
          <w:iCs/>
          <w:lang w:val="en-GB"/>
        </w:rPr>
        <w:t>.</w:t>
      </w:r>
    </w:p>
    <w:p w:rsidR="006D09E0" w:rsidRPr="00815319" w:rsidRDefault="006D09E0" w:rsidP="006D09E0">
      <w:pPr>
        <w:rPr>
          <w:b/>
          <w:bCs/>
          <w:iCs/>
          <w:lang w:val="en-GB"/>
        </w:rPr>
      </w:pPr>
      <w:r w:rsidRPr="00815319">
        <w:rPr>
          <w:b/>
          <w:bCs/>
          <w:iCs/>
          <w:lang w:val="en-GB"/>
        </w:rPr>
        <w:t>Summary of basic statistical information for</w:t>
      </w:r>
      <w:r w:rsidR="00D429C2">
        <w:rPr>
          <w:b/>
          <w:bCs/>
          <w:iCs/>
          <w:lang w:val="en-GB"/>
        </w:rPr>
        <w:t xml:space="preserve"> </w:t>
      </w:r>
      <w:r w:rsidR="000B5B1C" w:rsidRPr="000B5B1C">
        <w:rPr>
          <w:b/>
          <w:bCs/>
          <w:iCs/>
          <w:lang w:val="en-GB"/>
        </w:rPr>
        <w:t>September 2019</w:t>
      </w:r>
      <w:r w:rsidRPr="00815319">
        <w:rPr>
          <w:b/>
          <w:bCs/>
          <w:iCs/>
          <w:lang w:val="en-GB"/>
        </w:rPr>
        <w:t>:</w:t>
      </w:r>
    </w:p>
    <w:p w:rsidR="00CE44A0" w:rsidRPr="00815319" w:rsidRDefault="00CE44A0" w:rsidP="001039FB">
      <w:pPr>
        <w:numPr>
          <w:ilvl w:val="0"/>
          <w:numId w:val="13"/>
        </w:numPr>
        <w:rPr>
          <w:b/>
          <w:bCs/>
          <w:iCs/>
          <w:lang w:val="en-GB"/>
        </w:rPr>
      </w:pPr>
      <w:r w:rsidRPr="00815319">
        <w:rPr>
          <w:b/>
          <w:bCs/>
          <w:iCs/>
          <w:lang w:val="en-GB"/>
        </w:rPr>
        <w:t xml:space="preserve">Total </w:t>
      </w:r>
      <w:r w:rsidR="00714F6D">
        <w:rPr>
          <w:b/>
          <w:bCs/>
          <w:iCs/>
          <w:lang w:val="en-GB"/>
        </w:rPr>
        <w:t>Athens Stock Exchange (</w:t>
      </w:r>
      <w:r w:rsidRPr="00815319">
        <w:rPr>
          <w:b/>
          <w:bCs/>
          <w:iCs/>
          <w:lang w:val="en-GB"/>
        </w:rPr>
        <w:t>ATHEX</w:t>
      </w:r>
      <w:r w:rsidR="00714F6D">
        <w:rPr>
          <w:b/>
          <w:bCs/>
          <w:iCs/>
          <w:lang w:val="en-GB"/>
        </w:rPr>
        <w:t xml:space="preserve">) </w:t>
      </w:r>
      <w:r w:rsidRPr="00815319">
        <w:rPr>
          <w:b/>
          <w:bCs/>
          <w:iCs/>
          <w:lang w:val="en-GB"/>
        </w:rPr>
        <w:t>capitalization closed up at €</w:t>
      </w:r>
      <w:r w:rsidR="000B5B1C" w:rsidRPr="000B5B1C">
        <w:rPr>
          <w:b/>
          <w:bCs/>
          <w:iCs/>
          <w:lang w:val="en-GB"/>
        </w:rPr>
        <w:t>45.75</w:t>
      </w:r>
      <w:r w:rsidR="003C62BB">
        <w:rPr>
          <w:b/>
          <w:bCs/>
          <w:iCs/>
          <w:lang w:val="en-GB"/>
        </w:rPr>
        <w:t xml:space="preserve"> </w:t>
      </w:r>
      <w:r w:rsidRPr="00815319">
        <w:rPr>
          <w:b/>
          <w:bCs/>
          <w:iCs/>
          <w:lang w:val="en-GB"/>
        </w:rPr>
        <w:t xml:space="preserve">billion, </w:t>
      </w:r>
      <w:r w:rsidR="00966C3E">
        <w:rPr>
          <w:b/>
          <w:bCs/>
          <w:iCs/>
          <w:lang w:val="en-GB"/>
        </w:rPr>
        <w:t>decreased</w:t>
      </w:r>
      <w:r w:rsidR="00352FF0">
        <w:rPr>
          <w:b/>
          <w:bCs/>
          <w:iCs/>
          <w:lang w:val="en-GB"/>
        </w:rPr>
        <w:t xml:space="preserve"> </w:t>
      </w:r>
      <w:r w:rsidRPr="00815319">
        <w:rPr>
          <w:b/>
          <w:bCs/>
          <w:iCs/>
          <w:lang w:val="en-GB"/>
        </w:rPr>
        <w:t xml:space="preserve">by </w:t>
      </w:r>
      <w:r w:rsidR="000B5B1C" w:rsidRPr="000B5B1C">
        <w:rPr>
          <w:b/>
          <w:bCs/>
          <w:iCs/>
          <w:lang w:val="en-GB"/>
        </w:rPr>
        <w:t>3.3%</w:t>
      </w:r>
      <w:r w:rsidR="00352FF0">
        <w:rPr>
          <w:b/>
          <w:bCs/>
          <w:iCs/>
          <w:lang w:val="en-GB"/>
        </w:rPr>
        <w:t xml:space="preserve"> </w:t>
      </w:r>
      <w:r w:rsidRPr="00815319">
        <w:rPr>
          <w:b/>
          <w:bCs/>
          <w:iCs/>
          <w:lang w:val="en-GB"/>
        </w:rPr>
        <w:t xml:space="preserve">since the previous month. In case that HFSF was not counted there was a </w:t>
      </w:r>
      <w:r w:rsidR="00966C3E">
        <w:rPr>
          <w:b/>
          <w:bCs/>
          <w:iCs/>
          <w:lang w:val="en-GB"/>
        </w:rPr>
        <w:t>decrease</w:t>
      </w:r>
      <w:r w:rsidR="001039FB">
        <w:rPr>
          <w:b/>
          <w:bCs/>
          <w:iCs/>
          <w:lang w:val="en-GB"/>
        </w:rPr>
        <w:t xml:space="preserve"> </w:t>
      </w:r>
      <w:r w:rsidRPr="00815319">
        <w:rPr>
          <w:b/>
          <w:bCs/>
          <w:iCs/>
          <w:lang w:val="en-GB"/>
        </w:rPr>
        <w:t xml:space="preserve">of </w:t>
      </w:r>
      <w:r w:rsidR="000B5B1C" w:rsidRPr="000B5B1C">
        <w:rPr>
          <w:b/>
          <w:bCs/>
          <w:iCs/>
          <w:lang w:val="en-GB"/>
        </w:rPr>
        <w:t>4.8%</w:t>
      </w:r>
      <w:r w:rsidR="00352FF0">
        <w:rPr>
          <w:b/>
          <w:bCs/>
          <w:iCs/>
          <w:lang w:val="en-GB"/>
        </w:rPr>
        <w:t>.</w:t>
      </w:r>
      <w:r w:rsidR="006D3F54">
        <w:rPr>
          <w:b/>
          <w:bCs/>
          <w:iCs/>
          <w:lang w:val="en-GB"/>
        </w:rPr>
        <w:t xml:space="preserve"> </w:t>
      </w:r>
    </w:p>
    <w:p w:rsidR="00CE44A0" w:rsidRPr="00815319" w:rsidRDefault="00CE44A0" w:rsidP="00CE44A0">
      <w:pPr>
        <w:numPr>
          <w:ilvl w:val="0"/>
          <w:numId w:val="13"/>
        </w:numPr>
        <w:rPr>
          <w:b/>
          <w:bCs/>
          <w:iCs/>
          <w:lang w:val="en-GB"/>
        </w:rPr>
      </w:pPr>
      <w:r w:rsidRPr="00815319">
        <w:rPr>
          <w:b/>
          <w:bCs/>
          <w:iCs/>
          <w:lang w:val="en-GB"/>
        </w:rPr>
        <w:t xml:space="preserve">Capital inflows from foreign investors in the Greek capital, during </w:t>
      </w:r>
      <w:r w:rsidR="000B5B1C" w:rsidRPr="000B5B1C">
        <w:rPr>
          <w:b/>
          <w:bCs/>
          <w:iCs/>
          <w:lang w:val="en-GB"/>
        </w:rPr>
        <w:t>September</w:t>
      </w:r>
      <w:r w:rsidRPr="00815319">
        <w:rPr>
          <w:b/>
          <w:bCs/>
          <w:iCs/>
          <w:lang w:val="en-GB"/>
        </w:rPr>
        <w:t xml:space="preserve">, </w:t>
      </w:r>
      <w:r w:rsidR="000B5B1C" w:rsidRPr="000B5B1C">
        <w:rPr>
          <w:b/>
          <w:bCs/>
          <w:iCs/>
          <w:lang w:val="en-GB"/>
        </w:rPr>
        <w:t>exceeded</w:t>
      </w:r>
      <w:r w:rsidR="0079101B">
        <w:rPr>
          <w:b/>
          <w:bCs/>
          <w:iCs/>
          <w:lang w:val="en-GB"/>
        </w:rPr>
        <w:t xml:space="preserve"> </w:t>
      </w:r>
      <w:r w:rsidRPr="00815319">
        <w:rPr>
          <w:b/>
          <w:bCs/>
          <w:iCs/>
          <w:lang w:val="en-GB"/>
        </w:rPr>
        <w:t>outflows.</w:t>
      </w:r>
    </w:p>
    <w:p w:rsidR="00CE44A0" w:rsidRPr="00815319" w:rsidRDefault="00CE44A0" w:rsidP="00CE44A0">
      <w:pPr>
        <w:numPr>
          <w:ilvl w:val="0"/>
          <w:numId w:val="13"/>
        </w:numPr>
        <w:rPr>
          <w:b/>
          <w:bCs/>
          <w:iCs/>
          <w:lang w:val="en-GB"/>
        </w:rPr>
      </w:pPr>
      <w:r w:rsidRPr="00815319">
        <w:rPr>
          <w:b/>
          <w:bCs/>
          <w:iCs/>
          <w:lang w:val="en-GB"/>
        </w:rPr>
        <w:t xml:space="preserve">Participation of foreign investors in the total market capitalization reached </w:t>
      </w:r>
      <w:r w:rsidR="000B5B1C" w:rsidRPr="000B5B1C">
        <w:rPr>
          <w:b/>
          <w:bCs/>
          <w:iCs/>
          <w:lang w:val="en-GB"/>
        </w:rPr>
        <w:t>67.2%</w:t>
      </w:r>
      <w:r w:rsidR="00CB25D7">
        <w:rPr>
          <w:b/>
          <w:bCs/>
          <w:iCs/>
          <w:lang w:val="en-GB"/>
        </w:rPr>
        <w:t xml:space="preserve"> </w:t>
      </w:r>
      <w:r w:rsidRPr="00815319">
        <w:rPr>
          <w:b/>
          <w:bCs/>
          <w:iCs/>
          <w:lang w:val="en-GB"/>
        </w:rPr>
        <w:t xml:space="preserve">compared to </w:t>
      </w:r>
      <w:r w:rsidR="000B5B1C" w:rsidRPr="000B5B1C">
        <w:rPr>
          <w:b/>
          <w:bCs/>
          <w:iCs/>
          <w:lang w:val="en-GB"/>
        </w:rPr>
        <w:t>67.9%</w:t>
      </w:r>
      <w:r w:rsidR="00CB25D7">
        <w:rPr>
          <w:b/>
          <w:bCs/>
          <w:iCs/>
          <w:lang w:val="en-GB"/>
        </w:rPr>
        <w:t xml:space="preserve"> </w:t>
      </w:r>
      <w:r w:rsidRPr="00815319">
        <w:rPr>
          <w:b/>
          <w:bCs/>
          <w:iCs/>
          <w:lang w:val="en-GB"/>
        </w:rPr>
        <w:t xml:space="preserve">at the end of previous month, </w:t>
      </w:r>
      <w:r w:rsidR="000B5B1C" w:rsidRPr="000B5B1C">
        <w:rPr>
          <w:b/>
          <w:bCs/>
          <w:iCs/>
          <w:lang w:val="en-GB"/>
        </w:rPr>
        <w:t>decreased</w:t>
      </w:r>
      <w:r w:rsidR="00CB25D7">
        <w:rPr>
          <w:b/>
          <w:bCs/>
          <w:iCs/>
          <w:lang w:val="en-GB"/>
        </w:rPr>
        <w:t xml:space="preserve"> </w:t>
      </w:r>
      <w:r w:rsidRPr="00815319">
        <w:rPr>
          <w:b/>
          <w:bCs/>
          <w:iCs/>
          <w:lang w:val="en-GB"/>
        </w:rPr>
        <w:t xml:space="preserve">by </w:t>
      </w:r>
      <w:r w:rsidR="00AC404F">
        <w:rPr>
          <w:b/>
          <w:bCs/>
          <w:iCs/>
          <w:lang w:val="en-GB"/>
        </w:rPr>
        <w:t>0.7</w:t>
      </w:r>
      <w:r w:rsidR="000B5B1C" w:rsidRPr="000B5B1C">
        <w:rPr>
          <w:b/>
          <w:bCs/>
          <w:iCs/>
          <w:lang w:val="en-GB"/>
        </w:rPr>
        <w:t>%</w:t>
      </w:r>
      <w:r w:rsidR="00CB25D7">
        <w:rPr>
          <w:b/>
          <w:bCs/>
          <w:iCs/>
          <w:lang w:val="en-GB"/>
        </w:rPr>
        <w:t xml:space="preserve">. </w:t>
      </w:r>
      <w:r w:rsidRPr="00815319">
        <w:rPr>
          <w:b/>
          <w:bCs/>
          <w:iCs/>
          <w:lang w:val="en-GB"/>
        </w:rPr>
        <w:t>In case the participation of HFSF capitalization is counted (€</w:t>
      </w:r>
      <w:r w:rsidR="000B5B1C" w:rsidRPr="000B5B1C">
        <w:rPr>
          <w:b/>
          <w:bCs/>
          <w:iCs/>
          <w:lang w:val="en-GB"/>
        </w:rPr>
        <w:t>1,723.33</w:t>
      </w:r>
      <w:r w:rsidR="00CB25D7">
        <w:rPr>
          <w:b/>
          <w:bCs/>
          <w:iCs/>
          <w:lang w:val="en-GB"/>
        </w:rPr>
        <w:t xml:space="preserve"> million or </w:t>
      </w:r>
      <w:r w:rsidR="000B5B1C" w:rsidRPr="000B5B1C">
        <w:rPr>
          <w:b/>
          <w:bCs/>
          <w:iCs/>
          <w:lang w:val="en-GB"/>
        </w:rPr>
        <w:t>3.8</w:t>
      </w:r>
      <w:bookmarkStart w:id="0" w:name="_GoBack"/>
      <w:bookmarkEnd w:id="0"/>
      <w:r w:rsidR="000B5B1C" w:rsidRPr="000B5B1C">
        <w:rPr>
          <w:b/>
          <w:bCs/>
          <w:iCs/>
          <w:lang w:val="en-GB"/>
        </w:rPr>
        <w:t>%</w:t>
      </w:r>
      <w:r w:rsidRPr="00815319">
        <w:rPr>
          <w:b/>
          <w:bCs/>
          <w:iCs/>
          <w:lang w:val="en-GB"/>
        </w:rPr>
        <w:t xml:space="preserve">) the participation of foreign investors amounts to </w:t>
      </w:r>
      <w:r w:rsidR="000B5B1C" w:rsidRPr="000B5B1C">
        <w:rPr>
          <w:b/>
          <w:bCs/>
          <w:iCs/>
          <w:lang w:val="en-GB"/>
        </w:rPr>
        <w:t>64.7%</w:t>
      </w:r>
      <w:r w:rsidR="00CB25D7">
        <w:rPr>
          <w:b/>
          <w:bCs/>
          <w:iCs/>
          <w:lang w:val="en-GB"/>
        </w:rPr>
        <w:t xml:space="preserve"> </w:t>
      </w:r>
      <w:r w:rsidRPr="00815319">
        <w:rPr>
          <w:b/>
          <w:bCs/>
          <w:iCs/>
          <w:lang w:val="en-GB"/>
        </w:rPr>
        <w:t xml:space="preserve">compared to </w:t>
      </w:r>
      <w:r w:rsidR="000B5B1C" w:rsidRPr="000B5B1C">
        <w:rPr>
          <w:b/>
          <w:bCs/>
          <w:iCs/>
          <w:lang w:val="en-GB"/>
        </w:rPr>
        <w:t>65.5%</w:t>
      </w:r>
      <w:r w:rsidR="00CB25D7">
        <w:rPr>
          <w:b/>
          <w:bCs/>
          <w:iCs/>
          <w:lang w:val="en-GB"/>
        </w:rPr>
        <w:t xml:space="preserve"> </w:t>
      </w:r>
      <w:r w:rsidRPr="00815319">
        <w:rPr>
          <w:b/>
          <w:bCs/>
          <w:iCs/>
          <w:lang w:val="en-GB"/>
        </w:rPr>
        <w:t xml:space="preserve">at the end of previous month </w:t>
      </w:r>
      <w:r w:rsidR="000B5B1C" w:rsidRPr="000B5B1C">
        <w:rPr>
          <w:b/>
          <w:bCs/>
          <w:iCs/>
          <w:lang w:val="en-GB"/>
        </w:rPr>
        <w:t>decreased</w:t>
      </w:r>
      <w:r w:rsidR="00CB25D7">
        <w:rPr>
          <w:b/>
          <w:bCs/>
          <w:iCs/>
          <w:lang w:val="en-GB"/>
        </w:rPr>
        <w:t xml:space="preserve"> </w:t>
      </w:r>
      <w:r w:rsidRPr="00815319">
        <w:rPr>
          <w:b/>
          <w:bCs/>
          <w:iCs/>
          <w:lang w:val="en-GB"/>
        </w:rPr>
        <w:t xml:space="preserve">by </w:t>
      </w:r>
      <w:r w:rsidR="00AC404F">
        <w:rPr>
          <w:b/>
          <w:bCs/>
          <w:iCs/>
          <w:lang w:val="en-GB"/>
        </w:rPr>
        <w:t>0.8</w:t>
      </w:r>
      <w:r w:rsidR="000B5B1C" w:rsidRPr="000B5B1C">
        <w:rPr>
          <w:b/>
          <w:bCs/>
          <w:iCs/>
          <w:lang w:val="en-GB"/>
        </w:rPr>
        <w:t>%</w:t>
      </w:r>
      <w:r w:rsidR="00CB25D7">
        <w:rPr>
          <w:b/>
          <w:bCs/>
          <w:iCs/>
          <w:lang w:val="en-GB"/>
        </w:rPr>
        <w:t>.</w:t>
      </w:r>
    </w:p>
    <w:p w:rsidR="00CE44A0" w:rsidRPr="00815319" w:rsidRDefault="00CE44A0" w:rsidP="00CE44A0">
      <w:pPr>
        <w:numPr>
          <w:ilvl w:val="0"/>
          <w:numId w:val="13"/>
        </w:numPr>
        <w:rPr>
          <w:b/>
          <w:bCs/>
          <w:iCs/>
          <w:lang w:val="en-GB"/>
        </w:rPr>
      </w:pPr>
      <w:r w:rsidRPr="00815319">
        <w:rPr>
          <w:b/>
          <w:bCs/>
          <w:iCs/>
          <w:lang w:val="en-GB"/>
        </w:rPr>
        <w:t>Total turnover €</w:t>
      </w:r>
      <w:r w:rsidR="000B5B1C" w:rsidRPr="000B5B1C">
        <w:rPr>
          <w:b/>
          <w:bCs/>
          <w:iCs/>
          <w:lang w:val="en-GB"/>
        </w:rPr>
        <w:t>1.32</w:t>
      </w:r>
      <w:r w:rsidR="00361D05">
        <w:rPr>
          <w:b/>
          <w:bCs/>
          <w:iCs/>
          <w:lang w:val="en-GB"/>
        </w:rPr>
        <w:t xml:space="preserve"> </w:t>
      </w:r>
      <w:r w:rsidRPr="00815319">
        <w:rPr>
          <w:b/>
          <w:bCs/>
          <w:iCs/>
          <w:lang w:val="en-GB"/>
        </w:rPr>
        <w:t>billion (</w:t>
      </w:r>
      <w:r w:rsidR="000B5B1C" w:rsidRPr="000B5B1C">
        <w:rPr>
          <w:b/>
          <w:bCs/>
          <w:iCs/>
          <w:lang w:val="en-GB"/>
        </w:rPr>
        <w:t>decreased</w:t>
      </w:r>
      <w:r w:rsidR="00361D05">
        <w:rPr>
          <w:b/>
          <w:bCs/>
          <w:iCs/>
          <w:lang w:val="en-GB"/>
        </w:rPr>
        <w:t xml:space="preserve"> </w:t>
      </w:r>
      <w:r w:rsidRPr="00815319">
        <w:rPr>
          <w:b/>
          <w:bCs/>
          <w:iCs/>
          <w:lang w:val="en-GB"/>
        </w:rPr>
        <w:t xml:space="preserve">by </w:t>
      </w:r>
      <w:r w:rsidR="000B5B1C" w:rsidRPr="000B5B1C">
        <w:rPr>
          <w:b/>
          <w:bCs/>
          <w:iCs/>
          <w:lang w:val="en-GB"/>
        </w:rPr>
        <w:t>4.9%</w:t>
      </w:r>
      <w:r w:rsidR="00361D05">
        <w:rPr>
          <w:b/>
          <w:bCs/>
          <w:iCs/>
          <w:lang w:val="en-GB"/>
        </w:rPr>
        <w:t xml:space="preserve"> </w:t>
      </w:r>
      <w:r w:rsidRPr="00815319">
        <w:rPr>
          <w:b/>
          <w:bCs/>
          <w:iCs/>
          <w:lang w:val="en-GB"/>
        </w:rPr>
        <w:t xml:space="preserve">compared to the previous month and </w:t>
      </w:r>
      <w:r w:rsidR="000B5B1C" w:rsidRPr="000B5B1C">
        <w:rPr>
          <w:b/>
          <w:bCs/>
          <w:iCs/>
          <w:lang w:val="en-GB"/>
        </w:rPr>
        <w:t>increased</w:t>
      </w:r>
      <w:r w:rsidR="00361D05">
        <w:rPr>
          <w:b/>
          <w:bCs/>
          <w:iCs/>
          <w:lang w:val="en-GB"/>
        </w:rPr>
        <w:t xml:space="preserve"> </w:t>
      </w:r>
      <w:r w:rsidRPr="00815319">
        <w:rPr>
          <w:b/>
          <w:bCs/>
          <w:iCs/>
          <w:lang w:val="en-GB"/>
        </w:rPr>
        <w:t xml:space="preserve">by </w:t>
      </w:r>
      <w:r w:rsidR="000B5B1C" w:rsidRPr="000B5B1C">
        <w:rPr>
          <w:b/>
          <w:bCs/>
          <w:iCs/>
          <w:lang w:val="en-GB"/>
        </w:rPr>
        <w:t>29.2</w:t>
      </w:r>
      <w:r w:rsidR="000B5B1C" w:rsidRPr="000B5B1C">
        <w:rPr>
          <w:rFonts w:ascii="Arial" w:eastAsiaTheme="minorEastAsia" w:hAnsi="Arial" w:cs="Arial"/>
          <w:color w:val="000000"/>
          <w:sz w:val="20"/>
          <w:szCs w:val="20"/>
          <w:lang w:val="en-US" w:eastAsia="el-GR"/>
        </w:rPr>
        <w:t>%</w:t>
      </w:r>
      <w:r w:rsidR="00361D05">
        <w:rPr>
          <w:b/>
          <w:bCs/>
          <w:iCs/>
          <w:lang w:val="en-GB"/>
        </w:rPr>
        <w:t xml:space="preserve"> </w:t>
      </w:r>
      <w:r w:rsidRPr="00815319">
        <w:rPr>
          <w:b/>
          <w:bCs/>
          <w:iCs/>
          <w:lang w:val="en-GB"/>
        </w:rPr>
        <w:t>compared to the same month of the previous year).</w:t>
      </w:r>
    </w:p>
    <w:p w:rsidR="00CE44A0" w:rsidRPr="00937527" w:rsidRDefault="00CE44A0" w:rsidP="00CE44A0">
      <w:pPr>
        <w:numPr>
          <w:ilvl w:val="0"/>
          <w:numId w:val="13"/>
        </w:numPr>
        <w:rPr>
          <w:b/>
          <w:bCs/>
          <w:iCs/>
          <w:lang w:val="en-GB"/>
        </w:rPr>
      </w:pPr>
      <w:r w:rsidRPr="00937527">
        <w:rPr>
          <w:b/>
          <w:bCs/>
          <w:iCs/>
          <w:lang w:val="en-GB"/>
        </w:rPr>
        <w:t xml:space="preserve">Total number of securities transferred due to settlement of stock exchange transactions amounted at </w:t>
      </w:r>
      <w:r w:rsidR="00966C3E" w:rsidRPr="00966C3E">
        <w:rPr>
          <w:b/>
          <w:bCs/>
          <w:iCs/>
          <w:lang w:val="en-US"/>
        </w:rPr>
        <w:t>574.369.559</w:t>
      </w:r>
      <w:r w:rsidR="00966C3E">
        <w:rPr>
          <w:b/>
          <w:bCs/>
          <w:iCs/>
          <w:lang w:val="en-US"/>
        </w:rPr>
        <w:t xml:space="preserve"> </w:t>
      </w:r>
      <w:r w:rsidRPr="00937527">
        <w:rPr>
          <w:b/>
          <w:bCs/>
          <w:iCs/>
          <w:lang w:val="en-GB"/>
        </w:rPr>
        <w:t xml:space="preserve">items </w:t>
      </w:r>
      <w:r w:rsidR="00966C3E">
        <w:rPr>
          <w:b/>
          <w:bCs/>
          <w:iCs/>
          <w:lang w:val="en-GB"/>
        </w:rPr>
        <w:t>decreased</w:t>
      </w:r>
      <w:r w:rsidRPr="00937527">
        <w:rPr>
          <w:b/>
          <w:bCs/>
          <w:iCs/>
          <w:lang w:val="en-GB"/>
        </w:rPr>
        <w:t xml:space="preserve"> by </w:t>
      </w:r>
      <w:r w:rsidR="00966C3E">
        <w:rPr>
          <w:b/>
          <w:bCs/>
          <w:iCs/>
          <w:lang w:val="en-GB"/>
        </w:rPr>
        <w:t>11</w:t>
      </w:r>
      <w:r w:rsidR="00937527" w:rsidRPr="00937527">
        <w:rPr>
          <w:b/>
          <w:bCs/>
          <w:iCs/>
          <w:lang w:val="en-GB"/>
        </w:rPr>
        <w:t>,</w:t>
      </w:r>
      <w:r w:rsidR="00966C3E">
        <w:rPr>
          <w:b/>
          <w:bCs/>
          <w:iCs/>
          <w:lang w:val="en-GB"/>
        </w:rPr>
        <w:t>7</w:t>
      </w:r>
      <w:r w:rsidR="00937527" w:rsidRPr="00937527">
        <w:rPr>
          <w:b/>
          <w:bCs/>
          <w:iCs/>
          <w:lang w:val="en-GB"/>
        </w:rPr>
        <w:t xml:space="preserve">% compared to last month </w:t>
      </w:r>
      <w:r w:rsidRPr="00937527">
        <w:rPr>
          <w:b/>
          <w:bCs/>
          <w:iCs/>
          <w:lang w:val="en-GB"/>
        </w:rPr>
        <w:t xml:space="preserve"> and </w:t>
      </w:r>
      <w:r w:rsidR="00937527" w:rsidRPr="00937527">
        <w:rPr>
          <w:b/>
          <w:bCs/>
          <w:iCs/>
          <w:lang w:val="en-GB"/>
        </w:rPr>
        <w:t>increased</w:t>
      </w:r>
      <w:r w:rsidRPr="00937527">
        <w:rPr>
          <w:b/>
          <w:bCs/>
          <w:iCs/>
          <w:lang w:val="en-GB"/>
        </w:rPr>
        <w:t xml:space="preserve"> by </w:t>
      </w:r>
      <w:r w:rsidR="00966C3E">
        <w:rPr>
          <w:b/>
          <w:bCs/>
          <w:iCs/>
          <w:lang w:val="en-GB"/>
        </w:rPr>
        <w:t>2</w:t>
      </w:r>
      <w:r w:rsidR="00937527" w:rsidRPr="00937527">
        <w:rPr>
          <w:b/>
          <w:bCs/>
          <w:iCs/>
          <w:lang w:val="en-GB"/>
        </w:rPr>
        <w:t>4.</w:t>
      </w:r>
      <w:r w:rsidR="00966C3E">
        <w:rPr>
          <w:b/>
          <w:bCs/>
          <w:iCs/>
          <w:lang w:val="en-GB"/>
        </w:rPr>
        <w:t>3</w:t>
      </w:r>
      <w:r w:rsidRPr="00937527">
        <w:rPr>
          <w:b/>
          <w:bCs/>
          <w:iCs/>
          <w:lang w:val="en-GB"/>
        </w:rPr>
        <w:t>% compared to</w:t>
      </w:r>
      <w:r w:rsidR="00937527" w:rsidRPr="00937527">
        <w:rPr>
          <w:b/>
          <w:bCs/>
          <w:iCs/>
          <w:lang w:val="en-GB"/>
        </w:rPr>
        <w:t xml:space="preserve"> </w:t>
      </w:r>
      <w:r w:rsidR="00966C3E">
        <w:rPr>
          <w:b/>
          <w:bCs/>
          <w:iCs/>
          <w:lang w:val="en-GB"/>
        </w:rPr>
        <w:t>September</w:t>
      </w:r>
      <w:r w:rsidRPr="00937527">
        <w:rPr>
          <w:b/>
          <w:bCs/>
          <w:iCs/>
          <w:lang w:val="en-GB"/>
        </w:rPr>
        <w:t xml:space="preserve"> 201</w:t>
      </w:r>
      <w:r w:rsidR="00937527" w:rsidRPr="00937527">
        <w:rPr>
          <w:b/>
          <w:bCs/>
          <w:iCs/>
          <w:lang w:val="en-GB"/>
        </w:rPr>
        <w:t>8.</w:t>
      </w:r>
    </w:p>
    <w:p w:rsidR="00CE44A0" w:rsidRPr="00815319" w:rsidRDefault="00CE44A0" w:rsidP="00CE44A0">
      <w:pPr>
        <w:numPr>
          <w:ilvl w:val="0"/>
          <w:numId w:val="13"/>
        </w:numPr>
        <w:rPr>
          <w:b/>
          <w:bCs/>
          <w:iCs/>
          <w:lang w:val="en-GB"/>
        </w:rPr>
      </w:pPr>
      <w:r w:rsidRPr="00815319">
        <w:rPr>
          <w:b/>
          <w:bCs/>
          <w:iCs/>
          <w:lang w:val="en-GB"/>
        </w:rPr>
        <w:t xml:space="preserve">Foreign investors in </w:t>
      </w:r>
      <w:r w:rsidR="000B5B1C" w:rsidRPr="000B5B1C">
        <w:rPr>
          <w:b/>
          <w:bCs/>
          <w:iCs/>
          <w:lang w:val="en-GB"/>
        </w:rPr>
        <w:t>September 2019</w:t>
      </w:r>
      <w:r w:rsidR="00BD66A8">
        <w:rPr>
          <w:b/>
          <w:bCs/>
          <w:iCs/>
          <w:lang w:val="en-GB"/>
        </w:rPr>
        <w:t xml:space="preserve"> </w:t>
      </w:r>
      <w:r w:rsidRPr="00815319">
        <w:rPr>
          <w:b/>
          <w:bCs/>
          <w:iCs/>
          <w:lang w:val="en-GB"/>
        </w:rPr>
        <w:t xml:space="preserve">constituted </w:t>
      </w:r>
      <w:r w:rsidR="000B5B1C" w:rsidRPr="000B5B1C">
        <w:rPr>
          <w:b/>
          <w:bCs/>
          <w:iCs/>
          <w:lang w:val="en-GB"/>
        </w:rPr>
        <w:t>51.8%</w:t>
      </w:r>
      <w:r w:rsidR="00BD66A8">
        <w:rPr>
          <w:b/>
          <w:bCs/>
          <w:iCs/>
          <w:lang w:val="en-GB"/>
        </w:rPr>
        <w:t xml:space="preserve"> </w:t>
      </w:r>
      <w:r w:rsidRPr="00815319">
        <w:rPr>
          <w:b/>
          <w:bCs/>
          <w:iCs/>
          <w:lang w:val="en-GB"/>
        </w:rPr>
        <w:t>of total turnover.</w:t>
      </w:r>
    </w:p>
    <w:p w:rsidR="00CE44A0" w:rsidRPr="00815319" w:rsidRDefault="00CE44A0" w:rsidP="00CE44A0">
      <w:pPr>
        <w:numPr>
          <w:ilvl w:val="0"/>
          <w:numId w:val="13"/>
        </w:numPr>
        <w:rPr>
          <w:b/>
          <w:bCs/>
          <w:iCs/>
          <w:lang w:val="en-GB"/>
        </w:rPr>
      </w:pPr>
      <w:r w:rsidRPr="00815319">
        <w:rPr>
          <w:b/>
          <w:bCs/>
          <w:iCs/>
          <w:lang w:val="en-GB"/>
        </w:rPr>
        <w:t xml:space="preserve">Active investors’ Accounts number reached </w:t>
      </w:r>
      <w:r w:rsidR="000B5B1C" w:rsidRPr="000B5B1C">
        <w:rPr>
          <w:b/>
          <w:bCs/>
          <w:iCs/>
          <w:lang w:val="en-GB"/>
        </w:rPr>
        <w:t>18.44</w:t>
      </w:r>
      <w:r w:rsidR="00BD66A8">
        <w:rPr>
          <w:b/>
          <w:bCs/>
          <w:iCs/>
          <w:lang w:val="en-GB"/>
        </w:rPr>
        <w:t xml:space="preserve"> </w:t>
      </w:r>
      <w:r w:rsidRPr="00815319">
        <w:rPr>
          <w:b/>
          <w:bCs/>
          <w:iCs/>
          <w:lang w:val="en-GB"/>
        </w:rPr>
        <w:t xml:space="preserve">thousand (previous month: </w:t>
      </w:r>
      <w:r w:rsidR="000B5B1C" w:rsidRPr="000B5B1C">
        <w:rPr>
          <w:b/>
          <w:bCs/>
          <w:iCs/>
          <w:lang w:val="en-GB"/>
        </w:rPr>
        <w:t>20.14</w:t>
      </w:r>
      <w:r w:rsidR="00BD66A8">
        <w:rPr>
          <w:b/>
          <w:bCs/>
          <w:iCs/>
          <w:lang w:val="en-GB"/>
        </w:rPr>
        <w:t xml:space="preserve"> </w:t>
      </w:r>
      <w:r w:rsidRPr="00815319">
        <w:rPr>
          <w:b/>
          <w:bCs/>
          <w:iCs/>
          <w:lang w:val="en-GB"/>
        </w:rPr>
        <w:t>thousand).</w:t>
      </w:r>
    </w:p>
    <w:p w:rsidR="00CE44A0" w:rsidRPr="00815319" w:rsidRDefault="00966C3E" w:rsidP="00CE44A0">
      <w:pPr>
        <w:numPr>
          <w:ilvl w:val="0"/>
          <w:numId w:val="13"/>
        </w:numPr>
        <w:rPr>
          <w:b/>
          <w:bCs/>
          <w:iCs/>
          <w:lang w:val="en-GB"/>
        </w:rPr>
      </w:pPr>
      <w:r>
        <w:rPr>
          <w:b/>
          <w:bCs/>
          <w:iCs/>
          <w:lang w:val="en-GB"/>
        </w:rPr>
        <w:t>582</w:t>
      </w:r>
      <w:r w:rsidR="00CE44A0" w:rsidRPr="00815319">
        <w:rPr>
          <w:b/>
          <w:bCs/>
          <w:iCs/>
          <w:lang w:val="en-GB"/>
        </w:rPr>
        <w:t xml:space="preserve"> New investors’ Accounts (previous month: </w:t>
      </w:r>
      <w:r>
        <w:rPr>
          <w:b/>
          <w:bCs/>
          <w:iCs/>
          <w:lang w:val="en-GB"/>
        </w:rPr>
        <w:t>626</w:t>
      </w:r>
      <w:r w:rsidR="00CE44A0" w:rsidRPr="00815319">
        <w:rPr>
          <w:b/>
          <w:bCs/>
          <w:iCs/>
          <w:lang w:val="en-GB"/>
        </w:rPr>
        <w:t xml:space="preserve"> Accounts).</w:t>
      </w:r>
    </w:p>
    <w:p w:rsidR="00BD5FC0" w:rsidRDefault="00BD5FC0" w:rsidP="00CE44A0">
      <w:pPr>
        <w:rPr>
          <w:b/>
          <w:bCs/>
          <w:iCs/>
          <w:lang w:val="en-GB"/>
        </w:rPr>
      </w:pPr>
    </w:p>
    <w:p w:rsidR="00BD5FC0" w:rsidRDefault="00BD5FC0" w:rsidP="00CE44A0">
      <w:pPr>
        <w:rPr>
          <w:b/>
          <w:bCs/>
          <w:iCs/>
          <w:lang w:val="en-GB"/>
        </w:rPr>
      </w:pPr>
    </w:p>
    <w:p w:rsidR="00CE44A0" w:rsidRPr="00CE44A0" w:rsidRDefault="00CE44A0" w:rsidP="00CE44A0">
      <w:pPr>
        <w:rPr>
          <w:bCs/>
          <w:iCs/>
          <w:lang w:val="en-GB"/>
        </w:rPr>
      </w:pPr>
      <w:r w:rsidRPr="00CE44A0">
        <w:rPr>
          <w:bCs/>
          <w:iCs/>
          <w:lang w:val="en-GB"/>
        </w:rPr>
        <w:lastRenderedPageBreak/>
        <w:t xml:space="preserve">Transactions Value in </w:t>
      </w:r>
      <w:r w:rsidR="000B5B1C" w:rsidRPr="000B5B1C">
        <w:rPr>
          <w:bCs/>
          <w:iCs/>
          <w:lang w:val="en-GB"/>
        </w:rPr>
        <w:t>September 2019</w:t>
      </w:r>
      <w:r w:rsidR="00D50B3D">
        <w:rPr>
          <w:bCs/>
          <w:iCs/>
          <w:lang w:val="en-GB"/>
        </w:rPr>
        <w:t xml:space="preserve"> </w:t>
      </w:r>
      <w:r w:rsidRPr="00CE44A0">
        <w:rPr>
          <w:bCs/>
          <w:iCs/>
          <w:lang w:val="en-GB"/>
        </w:rPr>
        <w:t xml:space="preserve">reached </w:t>
      </w:r>
      <w:r w:rsidRPr="00C83956">
        <w:rPr>
          <w:b/>
          <w:bCs/>
          <w:iCs/>
          <w:lang w:val="en-GB"/>
        </w:rPr>
        <w:t>€</w:t>
      </w:r>
      <w:r w:rsidR="000B5B1C" w:rsidRPr="000B5B1C">
        <w:rPr>
          <w:b/>
          <w:bCs/>
          <w:iCs/>
          <w:lang w:val="en-GB"/>
        </w:rPr>
        <w:t>1,315.10</w:t>
      </w:r>
      <w:r w:rsidR="00D50B3D">
        <w:rPr>
          <w:bCs/>
          <w:iCs/>
          <w:lang w:val="en-GB"/>
        </w:rPr>
        <w:t xml:space="preserve"> </w:t>
      </w:r>
      <w:r w:rsidRPr="00CE44A0">
        <w:rPr>
          <w:bCs/>
          <w:iCs/>
          <w:lang w:val="en-GB"/>
        </w:rPr>
        <w:t xml:space="preserve">million (see Chart 1), </w:t>
      </w:r>
      <w:r w:rsidR="000B5B1C" w:rsidRPr="000B5B1C">
        <w:rPr>
          <w:bCs/>
          <w:iCs/>
          <w:lang w:val="en-GB"/>
        </w:rPr>
        <w:t>decreased</w:t>
      </w:r>
      <w:r w:rsidR="00D50B3D">
        <w:rPr>
          <w:bCs/>
          <w:iCs/>
          <w:lang w:val="en-GB"/>
        </w:rPr>
        <w:t xml:space="preserve"> </w:t>
      </w:r>
      <w:r w:rsidRPr="00CE44A0">
        <w:rPr>
          <w:bCs/>
          <w:iCs/>
          <w:lang w:val="en-GB"/>
        </w:rPr>
        <w:t xml:space="preserve">by </w:t>
      </w:r>
      <w:r w:rsidR="000B5B1C" w:rsidRPr="000B5B1C">
        <w:rPr>
          <w:bCs/>
          <w:iCs/>
          <w:lang w:val="en-GB"/>
        </w:rPr>
        <w:t>4.9%</w:t>
      </w:r>
      <w:r w:rsidR="00D50B3D">
        <w:rPr>
          <w:bCs/>
          <w:iCs/>
          <w:lang w:val="en-GB"/>
        </w:rPr>
        <w:t xml:space="preserve"> </w:t>
      </w:r>
      <w:r w:rsidRPr="00CE44A0">
        <w:rPr>
          <w:bCs/>
          <w:iCs/>
          <w:lang w:val="en-GB"/>
        </w:rPr>
        <w:t>since the previous month when transactions value reached €</w:t>
      </w:r>
      <w:r w:rsidR="000B5B1C" w:rsidRPr="000B5B1C">
        <w:rPr>
          <w:bCs/>
          <w:iCs/>
          <w:lang w:val="en-GB"/>
        </w:rPr>
        <w:t>1,382.98</w:t>
      </w:r>
      <w:r w:rsidR="00D50B3D">
        <w:rPr>
          <w:bCs/>
          <w:iCs/>
          <w:lang w:val="en-GB"/>
        </w:rPr>
        <w:t xml:space="preserve"> </w:t>
      </w:r>
      <w:r w:rsidRPr="00CE44A0">
        <w:rPr>
          <w:bCs/>
          <w:iCs/>
          <w:lang w:val="en-GB"/>
        </w:rPr>
        <w:t>million. Compared to the same month of the previous year when transactions value was €</w:t>
      </w:r>
      <w:r w:rsidR="000B5B1C" w:rsidRPr="000B5B1C">
        <w:rPr>
          <w:bCs/>
          <w:iCs/>
          <w:lang w:val="en-GB"/>
        </w:rPr>
        <w:t>1,018.05</w:t>
      </w:r>
      <w:r w:rsidR="00D50B3D">
        <w:rPr>
          <w:bCs/>
          <w:iCs/>
          <w:lang w:val="en-GB"/>
        </w:rPr>
        <w:t xml:space="preserve"> </w:t>
      </w:r>
      <w:r w:rsidRPr="00CE44A0">
        <w:rPr>
          <w:bCs/>
          <w:iCs/>
          <w:lang w:val="en-GB"/>
        </w:rPr>
        <w:t>million marked a</w:t>
      </w:r>
      <w:r w:rsidR="00937527">
        <w:rPr>
          <w:bCs/>
          <w:iCs/>
          <w:lang w:val="en-GB"/>
        </w:rPr>
        <w:t>n</w:t>
      </w:r>
      <w:r w:rsidRPr="00CE44A0">
        <w:rPr>
          <w:bCs/>
          <w:iCs/>
          <w:lang w:val="en-GB"/>
        </w:rPr>
        <w:t xml:space="preserve"> </w:t>
      </w:r>
      <w:r w:rsidR="000B5B1C" w:rsidRPr="000B5B1C">
        <w:rPr>
          <w:bCs/>
          <w:iCs/>
          <w:lang w:val="en-GB"/>
        </w:rPr>
        <w:t>increase</w:t>
      </w:r>
      <w:r w:rsidR="00D50B3D">
        <w:rPr>
          <w:bCs/>
          <w:iCs/>
          <w:lang w:val="en-GB"/>
        </w:rPr>
        <w:t xml:space="preserve"> </w:t>
      </w:r>
      <w:r w:rsidRPr="00CE44A0">
        <w:rPr>
          <w:bCs/>
          <w:iCs/>
          <w:lang w:val="en-GB"/>
        </w:rPr>
        <w:t xml:space="preserve">of </w:t>
      </w:r>
      <w:r w:rsidR="000B5B1C" w:rsidRPr="000B5B1C">
        <w:rPr>
          <w:bCs/>
          <w:iCs/>
          <w:lang w:val="en-GB"/>
        </w:rPr>
        <w:t>29.2</w:t>
      </w:r>
      <w:r w:rsidR="000B5B1C" w:rsidRPr="000B5B1C">
        <w:rPr>
          <w:rFonts w:ascii="Arial" w:eastAsiaTheme="minorEastAsia" w:hAnsi="Arial" w:cs="Arial"/>
          <w:color w:val="000000"/>
          <w:sz w:val="20"/>
          <w:szCs w:val="20"/>
          <w:lang w:val="en-US" w:eastAsia="el-GR"/>
        </w:rPr>
        <w:t>%</w:t>
      </w:r>
      <w:r w:rsidRPr="00CE44A0">
        <w:rPr>
          <w:bCs/>
          <w:iCs/>
          <w:lang w:val="en-GB"/>
        </w:rPr>
        <w:t>.</w:t>
      </w:r>
    </w:p>
    <w:p w:rsidR="00CE44A0" w:rsidRDefault="00966C3E" w:rsidP="002A6569">
      <w:pPr>
        <w:rPr>
          <w:rFonts w:ascii="Arial" w:hAnsi="Arial" w:cs="Times New Roman"/>
          <w:b/>
          <w:i/>
          <w:sz w:val="18"/>
          <w:szCs w:val="18"/>
          <w:lang w:val="en-GB"/>
        </w:rPr>
      </w:pPr>
      <w:r>
        <w:rPr>
          <w:noProof/>
          <w:lang w:val="en-US"/>
        </w:rPr>
        <w:drawing>
          <wp:inline distT="0" distB="0" distL="0" distR="0" wp14:anchorId="70351986" wp14:editId="56A974FC">
            <wp:extent cx="5314950" cy="1584325"/>
            <wp:effectExtent l="57150" t="57150" r="95250" b="11112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2A6569" w:rsidRPr="002A6569" w:rsidRDefault="002A6569" w:rsidP="002A6569">
      <w:pPr>
        <w:rPr>
          <w:lang w:val="en-GB" w:eastAsia="el-GR"/>
        </w:rPr>
      </w:pPr>
      <w:r w:rsidRPr="002A6569">
        <w:rPr>
          <w:lang w:val="en-GB" w:eastAsia="el-GR"/>
        </w:rPr>
        <w:t xml:space="preserve">Correspondingly, </w:t>
      </w:r>
      <w:r w:rsidRPr="002A6569">
        <w:rPr>
          <w:b/>
          <w:lang w:val="en-GB" w:eastAsia="el-GR"/>
        </w:rPr>
        <w:t>Average Daily Value (ADV) of Transactions</w:t>
      </w:r>
      <w:r w:rsidRPr="002A6569">
        <w:rPr>
          <w:lang w:val="en-GB" w:eastAsia="el-GR"/>
        </w:rPr>
        <w:t xml:space="preserve"> in </w:t>
      </w:r>
      <w:r w:rsidR="000B5B1C" w:rsidRPr="000B5B1C">
        <w:rPr>
          <w:lang w:val="en-GB" w:eastAsia="el-GR"/>
        </w:rPr>
        <w:t>September 2019</w:t>
      </w:r>
      <w:r w:rsidR="003000EB" w:rsidRPr="003000EB">
        <w:rPr>
          <w:lang w:val="en-US" w:eastAsia="el-GR"/>
        </w:rPr>
        <w:t xml:space="preserve"> </w:t>
      </w:r>
      <w:r w:rsidRPr="002A6569">
        <w:rPr>
          <w:lang w:val="en-GB" w:eastAsia="el-GR"/>
        </w:rPr>
        <w:t xml:space="preserve">was </w:t>
      </w:r>
      <w:r w:rsidRPr="003000EB">
        <w:rPr>
          <w:lang w:val="en-GB" w:eastAsia="el-GR"/>
        </w:rPr>
        <w:t>€</w:t>
      </w:r>
      <w:r w:rsidR="000B5B1C" w:rsidRPr="000B5B1C">
        <w:rPr>
          <w:lang w:val="en-GB" w:eastAsia="el-GR"/>
        </w:rPr>
        <w:t>68.01</w:t>
      </w:r>
      <w:r w:rsidR="003000EB" w:rsidRPr="003000EB">
        <w:rPr>
          <w:b/>
          <w:lang w:val="en-US" w:eastAsia="el-GR"/>
        </w:rPr>
        <w:t xml:space="preserve"> </w:t>
      </w:r>
      <w:r w:rsidRPr="002A6569">
        <w:rPr>
          <w:b/>
          <w:lang w:val="en-GB" w:eastAsia="el-GR"/>
        </w:rPr>
        <w:t>million</w:t>
      </w:r>
      <w:r w:rsidRPr="002A6569">
        <w:rPr>
          <w:lang w:val="en-GB" w:eastAsia="el-GR"/>
        </w:rPr>
        <w:t xml:space="preserve"> which is </w:t>
      </w:r>
      <w:r w:rsidR="000B5B1C" w:rsidRPr="000B5B1C">
        <w:rPr>
          <w:lang w:val="en-GB" w:eastAsia="el-GR"/>
        </w:rPr>
        <w:t>decreased</w:t>
      </w:r>
      <w:r w:rsidR="003000EB" w:rsidRPr="003000EB">
        <w:rPr>
          <w:lang w:val="en-US" w:eastAsia="el-GR"/>
        </w:rPr>
        <w:t xml:space="preserve"> </w:t>
      </w:r>
      <w:r w:rsidRPr="002A6569">
        <w:rPr>
          <w:lang w:val="en-GB" w:eastAsia="el-GR"/>
        </w:rPr>
        <w:t>compared to the previous month (€</w:t>
      </w:r>
      <w:r w:rsidR="000B5B1C" w:rsidRPr="000B5B1C">
        <w:rPr>
          <w:lang w:val="en-GB" w:eastAsia="el-GR"/>
        </w:rPr>
        <w:t>70,26</w:t>
      </w:r>
      <w:r w:rsidR="003000EB" w:rsidRPr="003000EB">
        <w:rPr>
          <w:lang w:val="en-US" w:eastAsia="el-GR"/>
        </w:rPr>
        <w:t xml:space="preserve"> </w:t>
      </w:r>
      <w:r w:rsidRPr="002A6569">
        <w:rPr>
          <w:lang w:val="en-GB" w:eastAsia="el-GR"/>
        </w:rPr>
        <w:t xml:space="preserve">million) and </w:t>
      </w:r>
      <w:r w:rsidR="000B5B1C" w:rsidRPr="000B5B1C">
        <w:rPr>
          <w:lang w:val="en-GB" w:eastAsia="el-GR"/>
        </w:rPr>
        <w:t>increased</w:t>
      </w:r>
      <w:r w:rsidR="003000EB" w:rsidRPr="003000EB">
        <w:rPr>
          <w:lang w:val="en-GB" w:eastAsia="el-GR"/>
        </w:rPr>
        <w:t xml:space="preserve"> </w:t>
      </w:r>
      <w:r w:rsidRPr="002A6569">
        <w:rPr>
          <w:lang w:val="en-GB" w:eastAsia="el-GR"/>
        </w:rPr>
        <w:t>compared to the same month of the previous year (€</w:t>
      </w:r>
      <w:r w:rsidR="000B5B1C" w:rsidRPr="000B5B1C">
        <w:rPr>
          <w:lang w:val="en-GB" w:eastAsia="el-GR"/>
        </w:rPr>
        <w:t>50,90</w:t>
      </w:r>
      <w:r w:rsidR="003000EB" w:rsidRPr="003000EB">
        <w:rPr>
          <w:lang w:val="en-US" w:eastAsia="el-GR"/>
        </w:rPr>
        <w:t xml:space="preserve"> </w:t>
      </w:r>
      <w:r w:rsidRPr="002A6569">
        <w:rPr>
          <w:lang w:val="en-GB" w:eastAsia="el-GR"/>
        </w:rPr>
        <w:t>million).</w:t>
      </w:r>
    </w:p>
    <w:p w:rsidR="002A6569" w:rsidRPr="002A6569" w:rsidRDefault="002A6569" w:rsidP="002A6569">
      <w:pPr>
        <w:rPr>
          <w:lang w:val="en-GB" w:eastAsia="el-GR"/>
        </w:rPr>
      </w:pPr>
      <w:r w:rsidRPr="002A6569">
        <w:rPr>
          <w:lang w:val="en-GB" w:eastAsia="el-GR"/>
        </w:rPr>
        <w:t>The number of</w:t>
      </w:r>
      <w:r w:rsidRPr="002A6569">
        <w:rPr>
          <w:b/>
          <w:lang w:val="en-GB" w:eastAsia="el-GR"/>
        </w:rPr>
        <w:t xml:space="preserve"> Active Investors Accounts for </w:t>
      </w:r>
      <w:r w:rsidR="000B5B1C" w:rsidRPr="000B5B1C">
        <w:rPr>
          <w:b/>
          <w:lang w:val="en-GB" w:eastAsia="el-GR"/>
        </w:rPr>
        <w:t>September</w:t>
      </w:r>
      <w:r w:rsidR="003000EB" w:rsidRPr="003000EB">
        <w:rPr>
          <w:b/>
          <w:lang w:val="en-US" w:eastAsia="el-GR"/>
        </w:rPr>
        <w:t xml:space="preserve"> </w:t>
      </w:r>
      <w:r w:rsidRPr="002A6569">
        <w:rPr>
          <w:b/>
          <w:lang w:val="en-GB" w:eastAsia="el-GR"/>
        </w:rPr>
        <w:t>reached</w:t>
      </w:r>
      <w:r w:rsidRPr="002A6569">
        <w:rPr>
          <w:lang w:val="en-GB" w:eastAsia="el-GR"/>
        </w:rPr>
        <w:t xml:space="preserve"> </w:t>
      </w:r>
      <w:r w:rsidR="000B5B1C" w:rsidRPr="000B5B1C">
        <w:rPr>
          <w:b/>
          <w:lang w:val="en-GB" w:eastAsia="el-GR"/>
        </w:rPr>
        <w:t>18.440</w:t>
      </w:r>
      <w:r w:rsidR="003000EB" w:rsidRPr="003000EB">
        <w:rPr>
          <w:lang w:val="en-US" w:eastAsia="el-GR"/>
        </w:rPr>
        <w:t xml:space="preserve"> </w:t>
      </w:r>
      <w:r w:rsidRPr="002A6569">
        <w:rPr>
          <w:lang w:val="en-GB" w:eastAsia="el-GR"/>
        </w:rPr>
        <w:t xml:space="preserve">accounts compared to </w:t>
      </w:r>
      <w:r w:rsidR="000B5B1C" w:rsidRPr="000B5B1C">
        <w:rPr>
          <w:lang w:val="en-GB" w:eastAsia="el-GR"/>
        </w:rPr>
        <w:t>20,135</w:t>
      </w:r>
      <w:r w:rsidR="003000EB" w:rsidRPr="003000EB">
        <w:rPr>
          <w:lang w:val="en-US" w:eastAsia="el-GR"/>
        </w:rPr>
        <w:t xml:space="preserve"> </w:t>
      </w:r>
      <w:r w:rsidRPr="002A6569">
        <w:rPr>
          <w:lang w:val="en-GB" w:eastAsia="el-GR"/>
        </w:rPr>
        <w:t>of the previous month (</w:t>
      </w:r>
      <w:r w:rsidR="000B5B1C" w:rsidRPr="000B5B1C">
        <w:rPr>
          <w:lang w:val="en-GB" w:eastAsia="el-GR"/>
        </w:rPr>
        <w:t>September 2018</w:t>
      </w:r>
      <w:r w:rsidRPr="002A6569">
        <w:rPr>
          <w:lang w:val="en-GB" w:eastAsia="el-GR"/>
        </w:rPr>
        <w:t>:</w:t>
      </w:r>
      <w:r w:rsidR="003000EB" w:rsidRPr="003000EB">
        <w:rPr>
          <w:lang w:val="en-US" w:eastAsia="el-GR"/>
        </w:rPr>
        <w:t xml:space="preserve"> </w:t>
      </w:r>
      <w:r w:rsidR="000B5B1C" w:rsidRPr="000B5B1C">
        <w:rPr>
          <w:lang w:val="en-GB" w:eastAsia="el-GR"/>
        </w:rPr>
        <w:t>15,473</w:t>
      </w:r>
      <w:r w:rsidRPr="002A6569">
        <w:rPr>
          <w:lang w:val="en-GB" w:eastAsia="el-GR"/>
        </w:rPr>
        <w:t xml:space="preserve">). </w:t>
      </w:r>
    </w:p>
    <w:p w:rsidR="002A6569" w:rsidRPr="0062618C" w:rsidRDefault="002A6569" w:rsidP="002A6569">
      <w:pPr>
        <w:rPr>
          <w:lang w:val="en-US" w:eastAsia="el-GR"/>
        </w:rPr>
      </w:pPr>
      <w:r w:rsidRPr="002A6569">
        <w:rPr>
          <w:lang w:val="en-GB" w:eastAsia="el-GR"/>
        </w:rPr>
        <w:t xml:space="preserve">In </w:t>
      </w:r>
      <w:r w:rsidR="000B5B1C" w:rsidRPr="000B5B1C">
        <w:rPr>
          <w:lang w:val="en-GB" w:eastAsia="el-GR"/>
        </w:rPr>
        <w:t>September 2019</w:t>
      </w:r>
      <w:r w:rsidR="003000EB" w:rsidRPr="003000EB">
        <w:rPr>
          <w:lang w:val="en-US" w:eastAsia="el-GR"/>
        </w:rPr>
        <w:t xml:space="preserve"> </w:t>
      </w:r>
      <w:r w:rsidRPr="002A6569">
        <w:rPr>
          <w:lang w:val="en-GB" w:eastAsia="el-GR"/>
        </w:rPr>
        <w:t xml:space="preserve">there were </w:t>
      </w:r>
      <w:r w:rsidR="00966C3E">
        <w:rPr>
          <w:lang w:val="en-GB" w:eastAsia="el-GR"/>
        </w:rPr>
        <w:t>582</w:t>
      </w:r>
      <w:r w:rsidRPr="002A6569">
        <w:rPr>
          <w:b/>
          <w:lang w:val="en-GB" w:eastAsia="el-GR"/>
        </w:rPr>
        <w:t xml:space="preserve"> new Investor Accounts</w:t>
      </w:r>
      <w:r w:rsidRPr="002A6569">
        <w:rPr>
          <w:lang w:val="en-GB" w:eastAsia="el-GR"/>
        </w:rPr>
        <w:t xml:space="preserve"> created against the</w:t>
      </w:r>
      <w:r w:rsidR="00295115">
        <w:rPr>
          <w:lang w:val="en-GB" w:eastAsia="el-GR"/>
        </w:rPr>
        <w:t xml:space="preserve"> </w:t>
      </w:r>
      <w:r w:rsidR="00966C3E">
        <w:rPr>
          <w:lang w:val="en-GB" w:eastAsia="el-GR"/>
        </w:rPr>
        <w:t>626</w:t>
      </w:r>
      <w:r w:rsidR="00C83956">
        <w:rPr>
          <w:lang w:val="en-GB" w:eastAsia="el-GR"/>
        </w:rPr>
        <w:t xml:space="preserve"> </w:t>
      </w:r>
      <w:r w:rsidRPr="002A6569">
        <w:rPr>
          <w:lang w:val="en-GB" w:eastAsia="el-GR"/>
        </w:rPr>
        <w:t>new Accounts that had been created during the previous month.</w:t>
      </w:r>
      <w:r w:rsidR="003000EB" w:rsidRPr="003000EB">
        <w:rPr>
          <w:lang w:val="en-US" w:eastAsia="el-GR"/>
        </w:rPr>
        <w:t xml:space="preserve"> </w:t>
      </w:r>
    </w:p>
    <w:p w:rsidR="002A6569" w:rsidRPr="002A6569" w:rsidRDefault="002A6569" w:rsidP="002A6569">
      <w:pPr>
        <w:rPr>
          <w:b/>
          <w:lang w:val="en-GB" w:eastAsia="el-GR"/>
        </w:rPr>
      </w:pPr>
      <w:r w:rsidRPr="002A6569">
        <w:rPr>
          <w:b/>
          <w:lang w:val="en-GB" w:eastAsia="el-GR"/>
        </w:rPr>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0B5B1C" w:rsidRPr="000B5B1C">
        <w:rPr>
          <w:lang w:val="en-GB" w:eastAsia="el-GR"/>
        </w:rPr>
        <w:t>September</w:t>
      </w:r>
      <w:r w:rsidR="00C53D21">
        <w:rPr>
          <w:lang w:val="en-GB" w:eastAsia="el-GR"/>
        </w:rPr>
        <w:t xml:space="preserve"> </w:t>
      </w:r>
      <w:r w:rsidRPr="002A6569">
        <w:rPr>
          <w:lang w:val="en-GB" w:eastAsia="el-GR"/>
        </w:rPr>
        <w:t xml:space="preserve">reached </w:t>
      </w:r>
      <w:r w:rsidRPr="002A6569">
        <w:rPr>
          <w:b/>
          <w:lang w:val="en-GB" w:eastAsia="el-GR"/>
        </w:rPr>
        <w:t>€</w:t>
      </w:r>
      <w:r w:rsidR="000B5B1C" w:rsidRPr="000B5B1C">
        <w:rPr>
          <w:b/>
          <w:lang w:val="en-GB" w:eastAsia="el-GR"/>
        </w:rPr>
        <w:t>45.75</w:t>
      </w:r>
      <w:r w:rsidR="00C53D21">
        <w:rPr>
          <w:b/>
          <w:lang w:val="en-GB" w:eastAsia="el-GR"/>
        </w:rPr>
        <w:t xml:space="preserve"> </w:t>
      </w:r>
      <w:r w:rsidRPr="002A6569">
        <w:rPr>
          <w:b/>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0B5B1C" w:rsidRPr="000B5B1C">
        <w:rPr>
          <w:lang w:val="en-US"/>
        </w:rPr>
        <w:t>47.30</w:t>
      </w:r>
      <w:r w:rsidR="002E2E6E">
        <w:rPr>
          <w:lang w:val="en-GB" w:eastAsia="el-GR"/>
        </w:rPr>
        <w:t xml:space="preserve"> </w:t>
      </w:r>
      <w:r w:rsidRPr="002A6569">
        <w:rPr>
          <w:lang w:val="en-GB" w:eastAsia="el-GR"/>
        </w:rPr>
        <w:t xml:space="preserve">billion, there was a </w:t>
      </w:r>
      <w:r w:rsidR="000B5B1C" w:rsidRPr="000B5B1C">
        <w:rPr>
          <w:lang w:val="en-US"/>
        </w:rPr>
        <w:t>decrease</w:t>
      </w:r>
      <w:r w:rsidR="00014ED0">
        <w:rPr>
          <w:lang w:val="en-GB" w:eastAsia="el-GR"/>
        </w:rPr>
        <w:t xml:space="preserve"> </w:t>
      </w:r>
      <w:r w:rsidRPr="002A6569">
        <w:rPr>
          <w:lang w:val="en-GB" w:eastAsia="el-GR"/>
        </w:rPr>
        <w:t xml:space="preserve">of </w:t>
      </w:r>
      <w:r w:rsidR="000B5B1C" w:rsidRPr="000B5B1C">
        <w:rPr>
          <w:lang w:val="en-GB" w:eastAsia="el-GR"/>
        </w:rPr>
        <w:t>3.3%</w:t>
      </w:r>
      <w:r w:rsidRPr="002A6569">
        <w:rPr>
          <w:lang w:val="en-GB" w:eastAsia="el-GR"/>
        </w:rPr>
        <w:t xml:space="preserve">, whilst compared to market capitalization at the end of </w:t>
      </w:r>
      <w:r w:rsidR="000B5B1C" w:rsidRPr="000B5B1C">
        <w:rPr>
          <w:lang w:val="en-US"/>
        </w:rPr>
        <w:t>September 2018</w:t>
      </w:r>
      <w:r w:rsidR="00F4494B">
        <w:rPr>
          <w:lang w:val="en-GB" w:eastAsia="el-GR"/>
        </w:rPr>
        <w:t xml:space="preserve"> </w:t>
      </w:r>
      <w:r w:rsidRPr="002A6569">
        <w:rPr>
          <w:lang w:val="en-GB" w:eastAsia="el-GR"/>
        </w:rPr>
        <w:t>which was €</w:t>
      </w:r>
      <w:r w:rsidR="000B5B1C" w:rsidRPr="000B5B1C">
        <w:rPr>
          <w:lang w:val="en-US"/>
        </w:rPr>
        <w:t>39.25</w:t>
      </w:r>
      <w:r w:rsidRPr="002A6569">
        <w:rPr>
          <w:lang w:val="en-GB" w:eastAsia="el-GR"/>
        </w:rPr>
        <w:t xml:space="preserve"> billion, the </w:t>
      </w:r>
      <w:r w:rsidR="000B5B1C" w:rsidRPr="000B5B1C">
        <w:rPr>
          <w:lang w:val="en-US"/>
        </w:rPr>
        <w:t>increase</w:t>
      </w:r>
      <w:r w:rsidR="00F4494B">
        <w:rPr>
          <w:lang w:val="en-GB" w:eastAsia="el-GR"/>
        </w:rPr>
        <w:t xml:space="preserve"> </w:t>
      </w:r>
      <w:r w:rsidRPr="002A6569">
        <w:rPr>
          <w:lang w:val="en-GB" w:eastAsia="el-GR"/>
        </w:rPr>
        <w:t xml:space="preserve">was </w:t>
      </w:r>
      <w:r w:rsidR="000B5B1C" w:rsidRPr="000B5B1C">
        <w:rPr>
          <w:lang w:val="en-US"/>
        </w:rPr>
        <w:t>16.6%</w:t>
      </w:r>
      <w:r w:rsidRPr="002A6569">
        <w:rPr>
          <w:lang w:val="en-GB" w:eastAsia="el-GR"/>
        </w:rPr>
        <w:t>.</w:t>
      </w:r>
    </w:p>
    <w:p w:rsidR="00295115" w:rsidRDefault="00295115" w:rsidP="00815319">
      <w:pPr>
        <w:jc w:val="center"/>
        <w:rPr>
          <w:rFonts w:ascii="Arial" w:hAnsi="Arial" w:cs="Times New Roman"/>
          <w:b/>
          <w:sz w:val="18"/>
          <w:szCs w:val="18"/>
          <w:lang w:val="en-GB"/>
        </w:rPr>
      </w:pPr>
      <w:r>
        <w:rPr>
          <w:noProof/>
          <w:lang w:val="en-US"/>
        </w:rPr>
        <w:drawing>
          <wp:inline distT="0" distB="0" distL="0" distR="0" wp14:anchorId="0A9161AC" wp14:editId="1F21441F">
            <wp:extent cx="5314950" cy="1591310"/>
            <wp:effectExtent l="57150" t="57150" r="95250" b="1041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2A6569" w:rsidRDefault="002A6569" w:rsidP="002A6569">
      <w:pPr>
        <w:rPr>
          <w:lang w:val="en-GB" w:eastAsia="el-GR"/>
        </w:rPr>
      </w:pPr>
    </w:p>
    <w:p w:rsidR="00815319" w:rsidRPr="002A6569" w:rsidRDefault="00815319" w:rsidP="002A6569">
      <w:pPr>
        <w:rPr>
          <w:lang w:val="en-GB" w:eastAsia="el-GR"/>
        </w:rPr>
      </w:pPr>
    </w:p>
    <w:p w:rsidR="002A6569" w:rsidRPr="00FC18A9" w:rsidRDefault="002A6569" w:rsidP="002A6569">
      <w:pPr>
        <w:rPr>
          <w:b/>
          <w:color w:val="auto"/>
          <w:lang w:val="en-GB" w:eastAsia="el-GR"/>
        </w:rPr>
      </w:pPr>
      <w:r w:rsidRPr="002A6569">
        <w:rPr>
          <w:b/>
          <w:lang w:val="en-GB" w:eastAsia="el-GR"/>
        </w:rPr>
        <w:t xml:space="preserve">Trade Analysis based on origin of investors </w:t>
      </w:r>
    </w:p>
    <w:p w:rsidR="002A6569" w:rsidRPr="00630DF4" w:rsidRDefault="00630DF4" w:rsidP="00BD3EC9">
      <w:pPr>
        <w:rPr>
          <w:lang w:val="en-GB" w:eastAsia="el-GR"/>
        </w:rPr>
      </w:pPr>
      <w:r w:rsidRPr="00630DF4">
        <w:rPr>
          <w:lang w:val="en-GB" w:eastAsia="el-GR"/>
        </w:rPr>
        <w:t>In September 2019</w:t>
      </w:r>
      <w:r w:rsidR="002A6569" w:rsidRPr="00630DF4">
        <w:rPr>
          <w:lang w:val="en-GB" w:eastAsia="el-GR"/>
        </w:rPr>
        <w:t xml:space="preserve">, </w:t>
      </w:r>
      <w:r w:rsidR="002A6569" w:rsidRPr="00630DF4">
        <w:rPr>
          <w:b/>
          <w:lang w:val="en-GB" w:eastAsia="el-GR"/>
        </w:rPr>
        <w:t xml:space="preserve">international investors as a whole accounted for </w:t>
      </w:r>
      <w:r w:rsidRPr="00630DF4">
        <w:rPr>
          <w:b/>
          <w:lang w:val="en-GB" w:eastAsia="el-GR"/>
        </w:rPr>
        <w:t>inflows</w:t>
      </w:r>
      <w:r w:rsidR="002A6569" w:rsidRPr="00630DF4">
        <w:rPr>
          <w:b/>
          <w:lang w:val="en-GB" w:eastAsia="el-GR"/>
        </w:rPr>
        <w:t xml:space="preserve"> which reached €</w:t>
      </w:r>
      <w:r w:rsidRPr="00630DF4">
        <w:rPr>
          <w:b/>
          <w:lang w:val="en-GB" w:eastAsia="el-GR"/>
        </w:rPr>
        <w:t>50</w:t>
      </w:r>
      <w:r w:rsidR="00295115" w:rsidRPr="00630DF4">
        <w:rPr>
          <w:b/>
          <w:lang w:val="en-GB" w:eastAsia="el-GR"/>
        </w:rPr>
        <w:t>,</w:t>
      </w:r>
      <w:r w:rsidRPr="00630DF4">
        <w:rPr>
          <w:b/>
          <w:lang w:val="en-GB" w:eastAsia="el-GR"/>
        </w:rPr>
        <w:t>95</w:t>
      </w:r>
      <w:r w:rsidR="002A6569" w:rsidRPr="00630DF4">
        <w:rPr>
          <w:b/>
          <w:lang w:val="en-GB" w:eastAsia="el-GR"/>
        </w:rPr>
        <w:t xml:space="preserve"> mil.</w:t>
      </w:r>
      <w:r w:rsidR="002A6569" w:rsidRPr="00630DF4">
        <w:rPr>
          <w:lang w:val="en-GB" w:eastAsia="el-GR"/>
        </w:rPr>
        <w:t xml:space="preserve"> The </w:t>
      </w:r>
      <w:r w:rsidR="002A6569" w:rsidRPr="00630DF4">
        <w:rPr>
          <w:b/>
          <w:lang w:val="en-GB" w:eastAsia="el-GR"/>
        </w:rPr>
        <w:t>largest inflows</w:t>
      </w:r>
      <w:r w:rsidR="002A6569" w:rsidRPr="00630DF4">
        <w:rPr>
          <w:lang w:val="en-GB" w:eastAsia="el-GR"/>
        </w:rPr>
        <w:t xml:space="preserve"> derived from</w:t>
      </w:r>
      <w:r w:rsidRPr="00630DF4">
        <w:rPr>
          <w:lang w:val="en-GB" w:eastAsia="el-GR"/>
        </w:rPr>
        <w:t xml:space="preserve"> Deposit-taking corporations (€57.29 millions), Institutions and bodies of the European Union</w:t>
      </w:r>
      <w:r w:rsidRPr="00630DF4">
        <w:rPr>
          <w:lang w:val="en-GB" w:eastAsia="el-GR"/>
        </w:rPr>
        <w:tab/>
        <w:t xml:space="preserve">(€22.22 millions), </w:t>
      </w:r>
      <w:r w:rsidR="00BD3EC9" w:rsidRPr="00630DF4">
        <w:rPr>
          <w:lang w:val="en-GB" w:eastAsia="el-GR"/>
        </w:rPr>
        <w:t>No</w:t>
      </w:r>
      <w:r w:rsidRPr="00630DF4">
        <w:rPr>
          <w:lang w:val="en-GB" w:eastAsia="el-GR"/>
        </w:rPr>
        <w:t xml:space="preserve">n Financial Corporations (€3.31 </w:t>
      </w:r>
      <w:r w:rsidR="00BD3EC9" w:rsidRPr="00630DF4">
        <w:rPr>
          <w:lang w:val="en-GB" w:eastAsia="el-GR"/>
        </w:rPr>
        <w:t>millions</w:t>
      </w:r>
      <w:r w:rsidRPr="00630DF4">
        <w:rPr>
          <w:lang w:val="en-GB" w:eastAsia="el-GR"/>
        </w:rPr>
        <w:t>) and</w:t>
      </w:r>
      <w:r w:rsidR="00BD3EC9" w:rsidRPr="00630DF4">
        <w:rPr>
          <w:lang w:val="en-GB" w:eastAsia="el-GR"/>
        </w:rPr>
        <w:t xml:space="preserve"> </w:t>
      </w:r>
      <w:r w:rsidRPr="00630DF4">
        <w:rPr>
          <w:lang w:val="en-GB" w:eastAsia="el-GR"/>
        </w:rPr>
        <w:t>Central Government (€1.73 millions),</w:t>
      </w:r>
      <w:r w:rsidR="00BD3EC9" w:rsidRPr="00630DF4">
        <w:rPr>
          <w:lang w:val="en-GB" w:eastAsia="el-GR"/>
        </w:rPr>
        <w:t xml:space="preserve"> </w:t>
      </w:r>
      <w:r w:rsidR="002A6569" w:rsidRPr="00630DF4">
        <w:rPr>
          <w:lang w:val="en-GB" w:eastAsia="el-GR"/>
        </w:rPr>
        <w:t xml:space="preserve">while the </w:t>
      </w:r>
      <w:r w:rsidR="002A6569" w:rsidRPr="00630DF4">
        <w:rPr>
          <w:b/>
          <w:lang w:val="en-GB" w:eastAsia="el-GR"/>
        </w:rPr>
        <w:t>largest outflows</w:t>
      </w:r>
      <w:r w:rsidR="002A6569" w:rsidRPr="00630DF4">
        <w:rPr>
          <w:lang w:val="en-GB" w:eastAsia="el-GR"/>
        </w:rPr>
        <w:t xml:space="preserve"> derived from </w:t>
      </w:r>
      <w:r w:rsidR="00BD3EC9" w:rsidRPr="00630DF4">
        <w:rPr>
          <w:lang w:val="en-GB" w:eastAsia="el-GR"/>
        </w:rPr>
        <w:t>Other Fin</w:t>
      </w:r>
      <w:r>
        <w:rPr>
          <w:lang w:val="en-GB" w:eastAsia="el-GR"/>
        </w:rPr>
        <w:t>ancial Intermediates (€17,96</w:t>
      </w:r>
      <w:r w:rsidR="00BD3EC9" w:rsidRPr="00630DF4">
        <w:rPr>
          <w:lang w:val="en-GB" w:eastAsia="el-GR"/>
        </w:rPr>
        <w:t xml:space="preserve"> millions),</w:t>
      </w:r>
      <w:r>
        <w:rPr>
          <w:lang w:val="en-GB" w:eastAsia="el-GR"/>
        </w:rPr>
        <w:t xml:space="preserve"> </w:t>
      </w:r>
      <w:r w:rsidRPr="00630DF4">
        <w:rPr>
          <w:lang w:val="en-GB" w:eastAsia="el-GR"/>
        </w:rPr>
        <w:t>Non-MMF Investment Funds</w:t>
      </w:r>
      <w:r>
        <w:rPr>
          <w:lang w:val="en-GB" w:eastAsia="el-GR"/>
        </w:rPr>
        <w:t xml:space="preserve"> (€11.24 millions), Households (€2</w:t>
      </w:r>
      <w:r w:rsidR="00BD3EC9" w:rsidRPr="00630DF4">
        <w:rPr>
          <w:lang w:val="en-GB" w:eastAsia="el-GR"/>
        </w:rPr>
        <w:t>,</w:t>
      </w:r>
      <w:r>
        <w:rPr>
          <w:lang w:val="en-GB" w:eastAsia="el-GR"/>
        </w:rPr>
        <w:t>79</w:t>
      </w:r>
      <w:r w:rsidR="00BD3EC9" w:rsidRPr="00630DF4">
        <w:rPr>
          <w:lang w:val="en-GB" w:eastAsia="el-GR"/>
        </w:rPr>
        <w:t xml:space="preserve"> millions), Money Market Funds (€1,</w:t>
      </w:r>
      <w:r>
        <w:rPr>
          <w:lang w:val="en-GB" w:eastAsia="el-GR"/>
        </w:rPr>
        <w:t>48</w:t>
      </w:r>
      <w:r w:rsidR="00BD3EC9" w:rsidRPr="00630DF4">
        <w:rPr>
          <w:lang w:val="en-GB" w:eastAsia="el-GR"/>
        </w:rPr>
        <w:t xml:space="preserve"> millions) and Pension Funds (€1,48 millions),</w:t>
      </w:r>
    </w:p>
    <w:p w:rsidR="002A6569" w:rsidRPr="002A6569" w:rsidRDefault="002A6569" w:rsidP="002A6569">
      <w:pPr>
        <w:rPr>
          <w:lang w:val="en-GB" w:eastAsia="el-GR"/>
        </w:rPr>
      </w:pPr>
      <w:r w:rsidRPr="00C4374C">
        <w:rPr>
          <w:b/>
          <w:lang w:val="en-GB" w:eastAsia="el-GR"/>
        </w:rPr>
        <w:t xml:space="preserve">Greek investors were net </w:t>
      </w:r>
      <w:r w:rsidR="00D80D54" w:rsidRPr="00C4374C">
        <w:rPr>
          <w:b/>
          <w:lang w:val="en-GB" w:eastAsia="el-GR"/>
        </w:rPr>
        <w:t>sellers</w:t>
      </w:r>
      <w:r w:rsidRPr="00C4374C">
        <w:rPr>
          <w:b/>
          <w:lang w:val="en-GB" w:eastAsia="el-GR"/>
        </w:rPr>
        <w:t xml:space="preserve"> by €</w:t>
      </w:r>
      <w:r w:rsidR="00D80D54" w:rsidRPr="00C4374C">
        <w:rPr>
          <w:b/>
          <w:lang w:val="en-GB" w:eastAsia="el-GR"/>
        </w:rPr>
        <w:t>50,95</w:t>
      </w:r>
      <w:r w:rsidRPr="00C4374C">
        <w:rPr>
          <w:b/>
          <w:lang w:val="en-GB" w:eastAsia="el-GR"/>
        </w:rPr>
        <w:t xml:space="preserve"> million</w:t>
      </w:r>
      <w:r w:rsidRPr="00C4374C">
        <w:rPr>
          <w:lang w:val="en-GB" w:eastAsia="el-GR"/>
        </w:rPr>
        <w:t xml:space="preserve">, with </w:t>
      </w:r>
      <w:r w:rsidRPr="00C4374C">
        <w:rPr>
          <w:b/>
          <w:lang w:val="en-GB" w:eastAsia="el-GR"/>
        </w:rPr>
        <w:t>largest outflows</w:t>
      </w:r>
      <w:r w:rsidRPr="00C4374C">
        <w:rPr>
          <w:lang w:val="en-GB" w:eastAsia="el-GR"/>
        </w:rPr>
        <w:t xml:space="preserve"> which related to </w:t>
      </w:r>
      <w:r w:rsidR="00D80D54" w:rsidRPr="00C4374C">
        <w:rPr>
          <w:lang w:val="en-GB" w:eastAsia="el-GR"/>
        </w:rPr>
        <w:t xml:space="preserve">Households </w:t>
      </w:r>
      <w:r w:rsidR="00BD3EC9" w:rsidRPr="00C4374C">
        <w:rPr>
          <w:lang w:val="en-GB" w:eastAsia="el-GR"/>
        </w:rPr>
        <w:t>(€</w:t>
      </w:r>
      <w:r w:rsidR="00D80D54" w:rsidRPr="00C4374C">
        <w:rPr>
          <w:lang w:val="en-GB" w:eastAsia="el-GR"/>
        </w:rPr>
        <w:t>36</w:t>
      </w:r>
      <w:r w:rsidR="00BD3EC9" w:rsidRPr="00C4374C">
        <w:rPr>
          <w:lang w:val="en-GB" w:eastAsia="el-GR"/>
        </w:rPr>
        <w:t>,</w:t>
      </w:r>
      <w:r w:rsidR="00D80D54" w:rsidRPr="00C4374C">
        <w:rPr>
          <w:lang w:val="en-GB" w:eastAsia="el-GR"/>
        </w:rPr>
        <w:t>7</w:t>
      </w:r>
      <w:r w:rsidR="00BD3EC9" w:rsidRPr="00C4374C">
        <w:rPr>
          <w:lang w:val="en-GB" w:eastAsia="el-GR"/>
        </w:rPr>
        <w:t>1 millions)</w:t>
      </w:r>
      <w:r w:rsidR="00D80D54" w:rsidRPr="00C4374C">
        <w:rPr>
          <w:lang w:val="en-GB" w:eastAsia="el-GR"/>
        </w:rPr>
        <w:t>, Deposit-Taking Corporations (€19,41 millions)</w:t>
      </w:r>
      <w:r w:rsidR="00C4374C" w:rsidRPr="00C4374C">
        <w:rPr>
          <w:lang w:val="en-GB" w:eastAsia="el-GR"/>
        </w:rPr>
        <w:t xml:space="preserve"> and Other Financial Intermediaries (€12,01 millions), </w:t>
      </w:r>
      <w:r w:rsidRPr="00C4374C">
        <w:rPr>
          <w:lang w:val="en-GB" w:eastAsia="el-GR"/>
        </w:rPr>
        <w:t xml:space="preserve">and </w:t>
      </w:r>
      <w:r w:rsidRPr="00C4374C">
        <w:rPr>
          <w:b/>
          <w:lang w:val="en-GB" w:eastAsia="el-GR"/>
        </w:rPr>
        <w:t xml:space="preserve">largest inflows </w:t>
      </w:r>
      <w:r w:rsidRPr="00C4374C">
        <w:rPr>
          <w:lang w:val="en-GB" w:eastAsia="el-GR"/>
        </w:rPr>
        <w:t>which related to</w:t>
      </w:r>
      <w:r w:rsidR="00C4374C" w:rsidRPr="00C4374C">
        <w:rPr>
          <w:lang w:val="en-GB" w:eastAsia="el-GR"/>
        </w:rPr>
        <w:t xml:space="preserve"> Non-MMF Investment Funds (€1</w:t>
      </w:r>
      <w:r w:rsidR="00090440" w:rsidRPr="00C4374C">
        <w:rPr>
          <w:lang w:val="en-GB" w:eastAsia="el-GR"/>
        </w:rPr>
        <w:t>3,</w:t>
      </w:r>
      <w:r w:rsidR="00C4374C" w:rsidRPr="00C4374C">
        <w:rPr>
          <w:lang w:val="en-GB" w:eastAsia="el-GR"/>
        </w:rPr>
        <w:t>05</w:t>
      </w:r>
      <w:r w:rsidR="00090440" w:rsidRPr="00C4374C">
        <w:rPr>
          <w:lang w:val="en-GB" w:eastAsia="el-GR"/>
        </w:rPr>
        <w:t xml:space="preserve"> millions), Money Market Funds (</w:t>
      </w:r>
      <w:r w:rsidR="00C4374C" w:rsidRPr="00C4374C">
        <w:rPr>
          <w:lang w:val="en-GB" w:eastAsia="el-GR"/>
        </w:rPr>
        <w:t>€1,72 millions) and Non-Profit Institutions serving Households (€1.26 millions)</w:t>
      </w:r>
      <w:r w:rsidR="00090440" w:rsidRPr="00C4374C">
        <w:rPr>
          <w:lang w:val="en-GB" w:eastAsia="el-GR"/>
        </w:rPr>
        <w:t xml:space="preserve"> </w:t>
      </w:r>
      <w:r w:rsidRPr="00C4374C">
        <w:rPr>
          <w:lang w:val="en-GB" w:eastAsia="el-GR"/>
        </w:rPr>
        <w:t>.</w:t>
      </w:r>
    </w:p>
    <w:p w:rsidR="002A6569" w:rsidRPr="002A6569" w:rsidRDefault="002A6569" w:rsidP="002A6569">
      <w:pPr>
        <w:rPr>
          <w:lang w:val="en-GB" w:eastAsia="el-GR"/>
        </w:rPr>
      </w:pPr>
      <w:r w:rsidRPr="002A6569">
        <w:rPr>
          <w:b/>
          <w:lang w:val="en-GB" w:eastAsia="el-GR"/>
        </w:rPr>
        <w:t xml:space="preserve">International investors in </w:t>
      </w:r>
      <w:r w:rsidR="000B5B1C" w:rsidRPr="000B5B1C">
        <w:rPr>
          <w:b/>
          <w:lang w:val="en-GB" w:eastAsia="el-GR"/>
        </w:rPr>
        <w:t>September 2019</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0B5B1C" w:rsidRPr="000B5B1C">
        <w:rPr>
          <w:b/>
          <w:lang w:val="en-US"/>
        </w:rPr>
        <w:t>51.8%</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0B5B1C" w:rsidRPr="000B5B1C">
        <w:rPr>
          <w:lang w:val="en-US"/>
        </w:rPr>
        <w:t>50.3%</w:t>
      </w:r>
      <w:r w:rsidRPr="002A6569">
        <w:rPr>
          <w:lang w:val="en-GB" w:eastAsia="el-GR"/>
        </w:rPr>
        <w:t xml:space="preserve">, while in </w:t>
      </w:r>
      <w:r w:rsidR="000B5B1C" w:rsidRPr="000B5B1C">
        <w:rPr>
          <w:lang w:val="en-US"/>
        </w:rPr>
        <w:t>September 2018</w:t>
      </w:r>
      <w:r w:rsidR="00C86EF0">
        <w:rPr>
          <w:lang w:val="en-GB" w:eastAsia="el-GR"/>
        </w:rPr>
        <w:t xml:space="preserve"> </w:t>
      </w:r>
      <w:r w:rsidRPr="002A6569">
        <w:rPr>
          <w:lang w:val="en-GB" w:eastAsia="el-GR"/>
        </w:rPr>
        <w:t xml:space="preserve">they had accounted for </w:t>
      </w:r>
      <w:r w:rsidR="000B5B1C" w:rsidRPr="000B5B1C">
        <w:rPr>
          <w:lang w:val="en-US"/>
        </w:rPr>
        <w:t>55.6%</w:t>
      </w:r>
      <w:r w:rsidRPr="002A6569">
        <w:rPr>
          <w:lang w:val="en-GB" w:eastAsia="el-GR"/>
        </w:rPr>
        <w:t xml:space="preserve"> of the transactions’ value). </w:t>
      </w:r>
    </w:p>
    <w:p w:rsidR="002A6569" w:rsidRPr="002A6569" w:rsidRDefault="002A6569" w:rsidP="002A6569">
      <w:pPr>
        <w:rPr>
          <w:lang w:val="en-GB" w:eastAsia="el-GR"/>
        </w:rPr>
      </w:pPr>
      <w:r w:rsidRPr="002A6569">
        <w:rPr>
          <w:b/>
          <w:lang w:val="en-GB" w:eastAsia="el-GR"/>
        </w:rPr>
        <w:t xml:space="preserve">Greek Retail investors (households) in </w:t>
      </w:r>
      <w:r w:rsidR="000B5B1C" w:rsidRPr="000B5B1C">
        <w:rPr>
          <w:b/>
          <w:lang w:val="en-US"/>
        </w:rPr>
        <w:t>September 2019</w:t>
      </w:r>
      <w:r w:rsidR="00DE70D3">
        <w:rPr>
          <w:b/>
          <w:lang w:val="en-GB" w:eastAsia="el-GR"/>
        </w:rPr>
        <w:t xml:space="preserve"> </w:t>
      </w:r>
      <w:r w:rsidR="00C4374C">
        <w:rPr>
          <w:b/>
          <w:lang w:val="en-GB" w:eastAsia="el-GR"/>
        </w:rPr>
        <w:t>accounted for 22,1</w:t>
      </w:r>
      <w:r w:rsidRPr="002A6569">
        <w:rPr>
          <w:b/>
          <w:lang w:val="en-GB" w:eastAsia="el-GR"/>
        </w:rPr>
        <w:t>%</w:t>
      </w:r>
      <w:r w:rsidRPr="002A6569">
        <w:rPr>
          <w:lang w:val="en-GB" w:eastAsia="el-GR"/>
        </w:rPr>
        <w:t xml:space="preserve"> of the transactions’ value (in the previous month they realized </w:t>
      </w:r>
      <w:r w:rsidR="00C4374C">
        <w:rPr>
          <w:lang w:val="en-GB" w:eastAsia="el-GR"/>
        </w:rPr>
        <w:t>24,0</w:t>
      </w:r>
      <w:r w:rsidR="00C4374C" w:rsidRPr="00C4374C">
        <w:rPr>
          <w:lang w:val="en-GB" w:eastAsia="el-GR"/>
        </w:rPr>
        <w:t>%</w:t>
      </w:r>
      <w:r w:rsidRPr="002A6569">
        <w:rPr>
          <w:lang w:val="en-GB" w:eastAsia="el-GR"/>
        </w:rPr>
        <w:t xml:space="preserve"> of the transactions’ value, while in </w:t>
      </w:r>
      <w:r w:rsidR="000B5B1C" w:rsidRPr="000B5B1C">
        <w:rPr>
          <w:lang w:val="en-GB" w:eastAsia="el-GR"/>
        </w:rPr>
        <w:t>September 2018</w:t>
      </w:r>
      <w:r w:rsidRPr="002A6569">
        <w:rPr>
          <w:lang w:val="en-GB" w:eastAsia="el-GR"/>
        </w:rPr>
        <w:t xml:space="preserve"> they had accounted for </w:t>
      </w:r>
      <w:r w:rsidR="000B5B1C" w:rsidRPr="000B5B1C">
        <w:rPr>
          <w:lang w:val="en-US"/>
        </w:rPr>
        <w:t>17.2%</w:t>
      </w:r>
      <w:r w:rsidR="00B265BA">
        <w:rPr>
          <w:lang w:val="en-GB" w:eastAsia="el-GR"/>
        </w:rPr>
        <w:t xml:space="preserve"> </w:t>
      </w:r>
      <w:r w:rsidRPr="002A6569">
        <w:rPr>
          <w:lang w:val="en-GB" w:eastAsia="el-GR"/>
        </w:rPr>
        <w:t>of the transactions’ value). (see Chart 3)</w:t>
      </w:r>
    </w:p>
    <w:p w:rsidR="00C4374C" w:rsidRDefault="00C4374C" w:rsidP="0062618C">
      <w:pPr>
        <w:jc w:val="center"/>
        <w:rPr>
          <w:rFonts w:ascii="Arial" w:hAnsi="Arial" w:cs="Times New Roman"/>
          <w:b/>
          <w:sz w:val="18"/>
          <w:szCs w:val="18"/>
          <w:lang w:val="en-GB"/>
        </w:rPr>
      </w:pPr>
      <w:r>
        <w:rPr>
          <w:noProof/>
          <w:lang w:val="en-US"/>
        </w:rPr>
        <w:drawing>
          <wp:inline distT="0" distB="0" distL="0" distR="0" wp14:anchorId="278F42C6" wp14:editId="6AAF9E4C">
            <wp:extent cx="5314950" cy="1583055"/>
            <wp:effectExtent l="57150" t="57150" r="95250" b="11239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A6569" w:rsidRDefault="002A6569" w:rsidP="0062618C">
      <w:pPr>
        <w:jc w:val="center"/>
        <w:rPr>
          <w:rFonts w:ascii="Arial" w:hAnsi="Arial" w:cs="Times New Roman"/>
          <w:b/>
          <w:i/>
          <w:sz w:val="18"/>
          <w:szCs w:val="18"/>
          <w:lang w:val="en-GB"/>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F468E8" w:rsidRPr="002A6569" w:rsidRDefault="00F468E8" w:rsidP="0062618C">
      <w:pPr>
        <w:jc w:val="center"/>
        <w:rPr>
          <w:rFonts w:ascii="Times New Roman" w:hAnsi="Times New Roman" w:cs="Times New Roman"/>
          <w:sz w:val="24"/>
          <w:szCs w:val="24"/>
          <w:lang w:val="en-GB" w:eastAsia="el-GR"/>
        </w:rPr>
      </w:pPr>
    </w:p>
    <w:p w:rsidR="002A6569" w:rsidRPr="002A6569" w:rsidRDefault="002A6569" w:rsidP="002A6569">
      <w:pPr>
        <w:rPr>
          <w:b/>
          <w:lang w:val="en-GB" w:eastAsia="el-GR"/>
        </w:rPr>
      </w:pPr>
      <w:r w:rsidRPr="002A6569">
        <w:rPr>
          <w:b/>
          <w:lang w:val="en-GB" w:eastAsia="el-GR"/>
        </w:rPr>
        <w:t>Investors’ Participation in the Athens Stock Exchange</w:t>
      </w:r>
    </w:p>
    <w:p w:rsidR="002A6569" w:rsidRPr="002A6569" w:rsidRDefault="002A6569" w:rsidP="002A6569">
      <w:pPr>
        <w:rPr>
          <w:lang w:val="en-GB" w:eastAsia="el-GR"/>
        </w:rPr>
      </w:pPr>
      <w:r w:rsidRPr="002A6569">
        <w:rPr>
          <w:b/>
          <w:lang w:val="en-GB" w:eastAsia="el-GR"/>
        </w:rPr>
        <w:lastRenderedPageBreak/>
        <w:t>The participation of international investors</w:t>
      </w:r>
      <w:r w:rsidRPr="002A6569">
        <w:rPr>
          <w:lang w:val="en-GB" w:eastAsia="el-GR"/>
        </w:rPr>
        <w:t xml:space="preserve"> in the capitalization of the Greek Exchange at the end of the month -if HFSF participation was included – would account to </w:t>
      </w:r>
      <w:r w:rsidR="000B5B1C" w:rsidRPr="000B5B1C">
        <w:rPr>
          <w:b/>
          <w:lang w:val="en-US"/>
        </w:rPr>
        <w:t>64.7%</w:t>
      </w:r>
      <w:r w:rsidRPr="002A6569">
        <w:rPr>
          <w:b/>
          <w:lang w:val="en-GB" w:eastAsia="el-GR"/>
        </w:rPr>
        <w:t xml:space="preserve">, </w:t>
      </w:r>
      <w:r w:rsidR="000B5B1C" w:rsidRPr="000B5B1C">
        <w:rPr>
          <w:lang w:val="en-US"/>
        </w:rPr>
        <w:t>decreased</w:t>
      </w:r>
      <w:r w:rsidRPr="002A6569">
        <w:rPr>
          <w:lang w:val="en-GB" w:eastAsia="el-GR"/>
        </w:rPr>
        <w:t xml:space="preserve"> compared to the percentage that was at the end of</w:t>
      </w:r>
      <w:r w:rsidR="00CE5363">
        <w:rPr>
          <w:lang w:val="en-GB" w:eastAsia="el-GR"/>
        </w:rPr>
        <w:t xml:space="preserve"> </w:t>
      </w:r>
      <w:r w:rsidR="000B5B1C" w:rsidRPr="000B5B1C">
        <w:rPr>
          <w:lang w:val="en-US"/>
        </w:rPr>
        <w:t>August 2019</w:t>
      </w:r>
      <w:r w:rsidRPr="002A6569">
        <w:rPr>
          <w:lang w:val="en-GB" w:eastAsia="el-GR"/>
        </w:rPr>
        <w:t>.</w:t>
      </w:r>
      <w:r w:rsidRPr="002A6569">
        <w:rPr>
          <w:b/>
          <w:lang w:val="en-GB" w:eastAsia="el-GR"/>
        </w:rPr>
        <w:t xml:space="preserve"> </w:t>
      </w:r>
      <w:r w:rsidRPr="002A6569">
        <w:rPr>
          <w:lang w:val="en-GB" w:eastAsia="el-GR"/>
        </w:rPr>
        <w:t xml:space="preserve">If HFSF participation was not included the percentage would account to </w:t>
      </w:r>
      <w:r w:rsidR="000B5B1C" w:rsidRPr="000B5B1C">
        <w:rPr>
          <w:b/>
          <w:lang w:val="en-US"/>
        </w:rPr>
        <w:t>67.2%</w:t>
      </w:r>
      <w:r w:rsidR="00CF4CCE">
        <w:rPr>
          <w:lang w:val="en-GB" w:eastAsia="el-GR"/>
        </w:rPr>
        <w:t xml:space="preserve"> </w:t>
      </w:r>
      <w:r w:rsidRPr="002A6569">
        <w:rPr>
          <w:b/>
          <w:lang w:val="en-GB" w:eastAsia="el-GR"/>
        </w:rPr>
        <w:t xml:space="preserve">from </w:t>
      </w:r>
      <w:r w:rsidR="000B5B1C" w:rsidRPr="000B5B1C">
        <w:rPr>
          <w:b/>
          <w:lang w:val="en-GB" w:eastAsia="el-GR"/>
        </w:rPr>
        <w:t>67.9%</w:t>
      </w:r>
      <w:r w:rsidR="00CF4CCE">
        <w:rPr>
          <w:b/>
          <w:lang w:val="en-GB" w:eastAsia="el-GR"/>
        </w:rPr>
        <w:t xml:space="preserve"> </w:t>
      </w:r>
      <w:r w:rsidRPr="002A6569">
        <w:rPr>
          <w:lang w:val="en-GB" w:eastAsia="el-GR"/>
        </w:rPr>
        <w:t>that was at the end of</w:t>
      </w:r>
      <w:r w:rsidR="00CF4CCE">
        <w:rPr>
          <w:lang w:val="en-GB" w:eastAsia="el-GR"/>
        </w:rPr>
        <w:t xml:space="preserve"> </w:t>
      </w:r>
      <w:r w:rsidR="000B5B1C" w:rsidRPr="000B5B1C">
        <w:rPr>
          <w:lang w:val="en-US"/>
        </w:rPr>
        <w:t>August 2019</w:t>
      </w:r>
      <w:r w:rsidRPr="002A6569">
        <w:rPr>
          <w:lang w:val="en-GB" w:eastAsia="el-GR"/>
        </w:rPr>
        <w:t>.</w:t>
      </w:r>
      <w:r w:rsidRPr="002A6569">
        <w:rPr>
          <w:b/>
          <w:lang w:val="en-GB" w:eastAsia="el-GR"/>
        </w:rPr>
        <w:t xml:space="preserve"> </w:t>
      </w:r>
      <w:r w:rsidRPr="002A6569">
        <w:rPr>
          <w:lang w:val="en-GB" w:eastAsia="el-GR"/>
        </w:rPr>
        <w:t>At the end of</w:t>
      </w:r>
      <w:r w:rsidR="009D5665">
        <w:rPr>
          <w:lang w:val="en-GB" w:eastAsia="el-GR"/>
        </w:rPr>
        <w:t xml:space="preserve"> </w:t>
      </w:r>
      <w:r w:rsidR="000B5B1C" w:rsidRPr="000B5B1C">
        <w:rPr>
          <w:lang w:val="en-US"/>
        </w:rPr>
        <w:t>September 2018</w:t>
      </w:r>
      <w:r w:rsidRPr="002A6569">
        <w:rPr>
          <w:lang w:val="en-GB" w:eastAsia="el-GR"/>
        </w:rPr>
        <w:t xml:space="preserve">, foreign investors’ participation was </w:t>
      </w:r>
      <w:r w:rsidR="000B5B1C" w:rsidRPr="000B5B1C">
        <w:rPr>
          <w:b/>
          <w:lang w:val="en-US"/>
        </w:rPr>
        <w:t>63.8%</w:t>
      </w:r>
      <w:r w:rsidR="009D5665">
        <w:rPr>
          <w:lang w:val="en-GB" w:eastAsia="el-GR"/>
        </w:rPr>
        <w:t xml:space="preserve"> </w:t>
      </w:r>
      <w:r w:rsidRPr="002A6569">
        <w:rPr>
          <w:lang w:val="en-GB" w:eastAsia="el-GR"/>
        </w:rPr>
        <w:t xml:space="preserve">(with the HFSF participation) and </w:t>
      </w:r>
      <w:r w:rsidR="000B5B1C" w:rsidRPr="000B5B1C">
        <w:rPr>
          <w:b/>
          <w:lang w:val="en-US"/>
        </w:rPr>
        <w:t>65.6%</w:t>
      </w:r>
      <w:r w:rsidR="009D5665">
        <w:rPr>
          <w:lang w:val="en-GB" w:eastAsia="el-GR"/>
        </w:rPr>
        <w:t xml:space="preserve"> </w:t>
      </w:r>
      <w:r w:rsidRPr="002A6569">
        <w:rPr>
          <w:lang w:val="en-GB" w:eastAsia="el-GR"/>
        </w:rPr>
        <w:t xml:space="preserve">(without the HFSF participation). (see chart 4). </w:t>
      </w:r>
    </w:p>
    <w:p w:rsidR="002A6569" w:rsidRPr="002A6569" w:rsidRDefault="002A6569" w:rsidP="002A6569">
      <w:pPr>
        <w:rPr>
          <w:lang w:val="en-GB" w:eastAsia="el-GR"/>
        </w:rPr>
      </w:pPr>
      <w:r w:rsidRPr="002A6569">
        <w:rPr>
          <w:lang w:val="en-GB" w:eastAsia="el-GR"/>
        </w:rPr>
        <w:t xml:space="preserve">The </w:t>
      </w:r>
      <w:r w:rsidRPr="002A6569">
        <w:rPr>
          <w:b/>
          <w:lang w:val="en-GB" w:eastAsia="el-GR"/>
        </w:rPr>
        <w:t>Greek investors</w:t>
      </w:r>
      <w:r w:rsidRPr="002A6569">
        <w:rPr>
          <w:lang w:val="en-GB" w:eastAsia="el-GR"/>
        </w:rPr>
        <w:t xml:space="preserve"> at the end of the month held </w:t>
      </w:r>
      <w:r w:rsidR="00F468E8">
        <w:rPr>
          <w:b/>
          <w:lang w:val="en-GB" w:eastAsia="el-GR"/>
        </w:rPr>
        <w:t>35.3</w:t>
      </w:r>
      <w:r w:rsidRPr="002A6569">
        <w:rPr>
          <w:b/>
          <w:lang w:val="en-GB" w:eastAsia="el-GR"/>
        </w:rPr>
        <w:t>%</w:t>
      </w:r>
      <w:r w:rsidRPr="002A6569">
        <w:rPr>
          <w:lang w:val="en-GB" w:eastAsia="el-GR"/>
        </w:rPr>
        <w:t xml:space="preserve"> of the total capitalization of the ATHEX listed stocks.</w:t>
      </w:r>
    </w:p>
    <w:p w:rsidR="002A6569" w:rsidRPr="002A6569" w:rsidRDefault="002A6569" w:rsidP="002A6569">
      <w:pPr>
        <w:rPr>
          <w:lang w:val="en-GB" w:eastAsia="el-GR"/>
        </w:rPr>
      </w:pPr>
    </w:p>
    <w:p w:rsidR="002A6569" w:rsidRPr="002A6569" w:rsidRDefault="00F468E8" w:rsidP="002A6569">
      <w:pPr>
        <w:rPr>
          <w:rFonts w:ascii="Times New Roman" w:hAnsi="Times New Roman" w:cs="Times New Roman"/>
          <w:noProof/>
          <w:sz w:val="24"/>
          <w:szCs w:val="24"/>
          <w:lang w:val="en-GB" w:eastAsia="el-GR"/>
        </w:rPr>
      </w:pPr>
      <w:r>
        <w:rPr>
          <w:noProof/>
          <w:lang w:val="en-US"/>
        </w:rPr>
        <w:drawing>
          <wp:inline distT="0" distB="0" distL="0" distR="0" wp14:anchorId="0B204B8B" wp14:editId="16F773C7">
            <wp:extent cx="5314950" cy="2228215"/>
            <wp:effectExtent l="76200" t="57150" r="95250" b="11493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6569" w:rsidRPr="0062618C" w:rsidRDefault="002A6569" w:rsidP="0062618C">
      <w:pPr>
        <w:jc w:val="center"/>
        <w:rPr>
          <w:rFonts w:ascii="Times New Roman" w:hAnsi="Times New Roman" w:cs="Times New Roman"/>
          <w:i/>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4</w:t>
      </w:r>
      <w:r w:rsidRPr="0062618C">
        <w:rPr>
          <w:rFonts w:ascii="Arial" w:hAnsi="Arial" w:cs="Times New Roman"/>
          <w:b/>
          <w:i/>
          <w:sz w:val="18"/>
          <w:szCs w:val="18"/>
          <w:lang w:val="en-GB"/>
        </w:rPr>
        <w:fldChar w:fldCharType="end"/>
      </w:r>
    </w:p>
    <w:p w:rsidR="002A6569" w:rsidRPr="002A6569" w:rsidRDefault="002A6569" w:rsidP="002A6569">
      <w:pPr>
        <w:rPr>
          <w:sz w:val="16"/>
          <w:szCs w:val="16"/>
          <w:lang w:val="en-GB" w:eastAsia="el-GR"/>
        </w:rPr>
      </w:pPr>
      <w:r w:rsidRPr="002A6569">
        <w:rPr>
          <w:b/>
          <w:sz w:val="16"/>
          <w:szCs w:val="16"/>
          <w:u w:val="single"/>
          <w:lang w:val="en-GB" w:eastAsia="el-GR"/>
        </w:rPr>
        <w:t>Important Note:</w:t>
      </w:r>
      <w:r w:rsidRPr="002A6569">
        <w:rPr>
          <w:sz w:val="16"/>
          <w:szCs w:val="16"/>
          <w:lang w:val="en-GB" w:eastAsia="el-GR"/>
        </w:rPr>
        <w:t xml:space="preserve"> In the chart above the percentage that remains refers to Other Not Identified Investors and it is below 2%.</w:t>
      </w:r>
    </w:p>
    <w:p w:rsidR="00451183" w:rsidRDefault="00451183" w:rsidP="00451183">
      <w:pPr>
        <w:rPr>
          <w:lang w:val="en-GB"/>
        </w:rPr>
      </w:pPr>
    </w:p>
    <w:p w:rsidR="002A6569" w:rsidRPr="006D09E0" w:rsidRDefault="00211EC1" w:rsidP="00211EC1">
      <w:pPr>
        <w:jc w:val="left"/>
        <w:rPr>
          <w:lang w:val="en-US"/>
        </w:rPr>
      </w:pPr>
      <w:r>
        <w:rPr>
          <w:lang w:val="en-GB"/>
        </w:rPr>
        <w:br w:type="page"/>
      </w:r>
    </w:p>
    <w:p w:rsidR="006D09E0" w:rsidRPr="006D09E0" w:rsidRDefault="006D09E0" w:rsidP="006D09E0">
      <w:pPr>
        <w:pBdr>
          <w:bottom w:val="single" w:sz="24" w:space="1" w:color="006EAB"/>
        </w:pBdr>
        <w:rPr>
          <w:b/>
          <w:sz w:val="24"/>
          <w:lang w:val="en-US"/>
        </w:rPr>
      </w:pPr>
      <w:r w:rsidRPr="006D09E0">
        <w:rPr>
          <w:b/>
          <w:sz w:val="24"/>
          <w:lang w:val="en-US"/>
        </w:rPr>
        <w:lastRenderedPageBreak/>
        <w:t xml:space="preserve">Athens Exchange Publications </w:t>
      </w:r>
    </w:p>
    <w:p w:rsidR="006D09E0" w:rsidRPr="00CC537C" w:rsidRDefault="006D09E0" w:rsidP="006D09E0">
      <w:pPr>
        <w:spacing w:after="0"/>
        <w:rPr>
          <w:sz w:val="20"/>
          <w:szCs w:val="20"/>
          <w:lang w:val="en-US"/>
        </w:rPr>
      </w:pPr>
      <w:r w:rsidRPr="00CC537C">
        <w:rPr>
          <w:sz w:val="20"/>
          <w:szCs w:val="20"/>
          <w:lang w:val="en-US"/>
        </w:rPr>
        <w:t xml:space="preserve">Visit the relevant </w:t>
      </w:r>
      <w:hyperlink r:id="rId12" w:history="1">
        <w:r w:rsidRPr="00CC537C">
          <w:rPr>
            <w:color w:val="0563C1"/>
            <w:sz w:val="20"/>
            <w:szCs w:val="20"/>
            <w:u w:val="single"/>
            <w:lang w:val="en-US"/>
          </w:rPr>
          <w:t>link</w:t>
        </w:r>
      </w:hyperlink>
      <w:r w:rsidRPr="00CC537C">
        <w:rPr>
          <w:sz w:val="20"/>
          <w:szCs w:val="20"/>
          <w:lang w:val="en-US"/>
        </w:rPr>
        <w:t>.</w:t>
      </w:r>
    </w:p>
    <w:p w:rsidR="006D09E0" w:rsidRDefault="006D09E0" w:rsidP="009975F9">
      <w:pPr>
        <w:spacing w:after="0"/>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3" w:history="1">
        <w:r w:rsidR="009975F9" w:rsidRPr="00D62EE2">
          <w:rPr>
            <w:rStyle w:val="Hyperlink"/>
            <w:sz w:val="20"/>
            <w:szCs w:val="20"/>
            <w:lang w:val="it-IT"/>
          </w:rPr>
          <w:t>Information-Services-Dpt@athexgroup.gr</w:t>
        </w:r>
      </w:hyperlink>
    </w:p>
    <w:p w:rsidR="007B5C0E" w:rsidRDefault="007B5C0E" w:rsidP="009975F9">
      <w:pPr>
        <w:spacing w:after="0"/>
        <w:rPr>
          <w:rStyle w:val="Hyperlink"/>
          <w:sz w:val="20"/>
          <w:szCs w:val="20"/>
          <w:lang w:val="it-IT"/>
        </w:rPr>
      </w:pPr>
    </w:p>
    <w:p w:rsidR="007B5C0E" w:rsidRPr="006D09E0" w:rsidRDefault="007B5C0E" w:rsidP="009975F9">
      <w:pPr>
        <w:spacing w:after="0"/>
        <w:rPr>
          <w:lang w:val="en-US"/>
        </w:rPr>
      </w:pPr>
    </w:p>
    <w:p w:rsidR="00834FE7" w:rsidRPr="003A1E42" w:rsidRDefault="00834FE7" w:rsidP="00834FE7">
      <w:pPr>
        <w:pStyle w:val="NormalStrong"/>
        <w:rPr>
          <w:rFonts w:cs="Arial"/>
          <w:szCs w:val="24"/>
          <w:lang w:val="en-US"/>
        </w:rPr>
      </w:pPr>
      <w:r w:rsidRPr="003A1E42">
        <w:rPr>
          <w:rFonts w:cs="Arial"/>
          <w:szCs w:val="24"/>
          <w:lang w:val="en-US"/>
        </w:rPr>
        <w:t>About Athens Exchange Group</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CC537C">
      <w:pPr>
        <w:pBdr>
          <w:bottom w:val="single" w:sz="4" w:space="1" w:color="006EAB"/>
        </w:pBdr>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4"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5"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787BB3">
      <w:headerReference w:type="default" r:id="rId16"/>
      <w:footerReference w:type="default" r:id="rId17"/>
      <w:pgSz w:w="11906" w:h="16838"/>
      <w:pgMar w:top="297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DF4" w:rsidRDefault="00630DF4" w:rsidP="00035040">
      <w:r>
        <w:separator/>
      </w:r>
    </w:p>
  </w:endnote>
  <w:endnote w:type="continuationSeparator" w:id="0">
    <w:p w:rsidR="00630DF4" w:rsidRDefault="00630DF4"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DF4" w:rsidRPr="00AA5329" w:rsidRDefault="00630DF4"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AC404F">
              <w:rPr>
                <w:noProof/>
                <w:sz w:val="16"/>
                <w:szCs w:val="16"/>
                <w:lang w:val="en-US"/>
              </w:rPr>
              <w:t>1</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DF4" w:rsidRDefault="00630DF4" w:rsidP="00035040">
      <w:r>
        <w:separator/>
      </w:r>
    </w:p>
  </w:footnote>
  <w:footnote w:type="continuationSeparator" w:id="0">
    <w:p w:rsidR="00630DF4" w:rsidRDefault="00630DF4"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DF4" w:rsidRDefault="00630DF4" w:rsidP="00035040">
    <w:pPr>
      <w:pStyle w:val="Header"/>
    </w:pPr>
    <w:r>
      <w:rPr>
        <w:noProof/>
        <w:lang w:val="en-US"/>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14ED0"/>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3A7C"/>
    <w:rsid w:val="003E4BE4"/>
    <w:rsid w:val="003E5065"/>
    <w:rsid w:val="003F4E95"/>
    <w:rsid w:val="00405690"/>
    <w:rsid w:val="00451183"/>
    <w:rsid w:val="00471EEA"/>
    <w:rsid w:val="004814C3"/>
    <w:rsid w:val="004A2A15"/>
    <w:rsid w:val="004A6465"/>
    <w:rsid w:val="004D0B91"/>
    <w:rsid w:val="004D54F5"/>
    <w:rsid w:val="004D71F4"/>
    <w:rsid w:val="004F0DF8"/>
    <w:rsid w:val="004F7441"/>
    <w:rsid w:val="0051043C"/>
    <w:rsid w:val="0051381C"/>
    <w:rsid w:val="0052639C"/>
    <w:rsid w:val="005421C4"/>
    <w:rsid w:val="00544FB7"/>
    <w:rsid w:val="005820A1"/>
    <w:rsid w:val="00584FDD"/>
    <w:rsid w:val="00585102"/>
    <w:rsid w:val="005902FD"/>
    <w:rsid w:val="00590843"/>
    <w:rsid w:val="005A6FCE"/>
    <w:rsid w:val="005B3DBD"/>
    <w:rsid w:val="005E2CD8"/>
    <w:rsid w:val="005F04F5"/>
    <w:rsid w:val="006020BD"/>
    <w:rsid w:val="00625430"/>
    <w:rsid w:val="0062618C"/>
    <w:rsid w:val="00630DF4"/>
    <w:rsid w:val="00632EF9"/>
    <w:rsid w:val="00637A64"/>
    <w:rsid w:val="00655394"/>
    <w:rsid w:val="00656955"/>
    <w:rsid w:val="00670B50"/>
    <w:rsid w:val="00675058"/>
    <w:rsid w:val="00676AEA"/>
    <w:rsid w:val="006904FB"/>
    <w:rsid w:val="006C5F50"/>
    <w:rsid w:val="006D09E0"/>
    <w:rsid w:val="006D3F54"/>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A0DE3"/>
    <w:rsid w:val="007A43DA"/>
    <w:rsid w:val="007A4D08"/>
    <w:rsid w:val="007B5C0E"/>
    <w:rsid w:val="007C1C13"/>
    <w:rsid w:val="007E5505"/>
    <w:rsid w:val="0080368E"/>
    <w:rsid w:val="008068DE"/>
    <w:rsid w:val="00815319"/>
    <w:rsid w:val="00816FD9"/>
    <w:rsid w:val="00820504"/>
    <w:rsid w:val="00834FE7"/>
    <w:rsid w:val="008659E7"/>
    <w:rsid w:val="00870B13"/>
    <w:rsid w:val="00887493"/>
    <w:rsid w:val="00892D52"/>
    <w:rsid w:val="008941DB"/>
    <w:rsid w:val="0089765B"/>
    <w:rsid w:val="008A3BE7"/>
    <w:rsid w:val="008C113A"/>
    <w:rsid w:val="008C68C3"/>
    <w:rsid w:val="00937527"/>
    <w:rsid w:val="00943160"/>
    <w:rsid w:val="00954780"/>
    <w:rsid w:val="00961033"/>
    <w:rsid w:val="00966C3E"/>
    <w:rsid w:val="00972192"/>
    <w:rsid w:val="009817D7"/>
    <w:rsid w:val="009824B4"/>
    <w:rsid w:val="009975F9"/>
    <w:rsid w:val="009A441E"/>
    <w:rsid w:val="009C01A1"/>
    <w:rsid w:val="009D5665"/>
    <w:rsid w:val="009D62EA"/>
    <w:rsid w:val="009F08CB"/>
    <w:rsid w:val="00A02896"/>
    <w:rsid w:val="00A212BA"/>
    <w:rsid w:val="00A24B53"/>
    <w:rsid w:val="00A36C1D"/>
    <w:rsid w:val="00A40EC3"/>
    <w:rsid w:val="00A837EB"/>
    <w:rsid w:val="00A86CA7"/>
    <w:rsid w:val="00AA5329"/>
    <w:rsid w:val="00AA5D2C"/>
    <w:rsid w:val="00AB4961"/>
    <w:rsid w:val="00AC404F"/>
    <w:rsid w:val="00AD55D5"/>
    <w:rsid w:val="00AD66E7"/>
    <w:rsid w:val="00AE7984"/>
    <w:rsid w:val="00AF6F21"/>
    <w:rsid w:val="00B03981"/>
    <w:rsid w:val="00B12D2B"/>
    <w:rsid w:val="00B265BA"/>
    <w:rsid w:val="00B266FC"/>
    <w:rsid w:val="00B312A3"/>
    <w:rsid w:val="00B34348"/>
    <w:rsid w:val="00B40A17"/>
    <w:rsid w:val="00B534BE"/>
    <w:rsid w:val="00B5605E"/>
    <w:rsid w:val="00B7599D"/>
    <w:rsid w:val="00B77321"/>
    <w:rsid w:val="00B872AF"/>
    <w:rsid w:val="00BA102F"/>
    <w:rsid w:val="00BB2823"/>
    <w:rsid w:val="00BD3EC9"/>
    <w:rsid w:val="00BD5FC0"/>
    <w:rsid w:val="00BD66A8"/>
    <w:rsid w:val="00C06314"/>
    <w:rsid w:val="00C13F9F"/>
    <w:rsid w:val="00C23B24"/>
    <w:rsid w:val="00C36FD7"/>
    <w:rsid w:val="00C4374C"/>
    <w:rsid w:val="00C440D7"/>
    <w:rsid w:val="00C50D2F"/>
    <w:rsid w:val="00C53D21"/>
    <w:rsid w:val="00C63FBD"/>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F5"/>
    <w:rsid w:val="00D14480"/>
    <w:rsid w:val="00D429C2"/>
    <w:rsid w:val="00D467C8"/>
    <w:rsid w:val="00D50B3D"/>
    <w:rsid w:val="00D6548A"/>
    <w:rsid w:val="00D80D54"/>
    <w:rsid w:val="00D8379C"/>
    <w:rsid w:val="00DD0C17"/>
    <w:rsid w:val="00DE0273"/>
    <w:rsid w:val="00DE70D3"/>
    <w:rsid w:val="00DF58FB"/>
    <w:rsid w:val="00E02E2D"/>
    <w:rsid w:val="00E23D98"/>
    <w:rsid w:val="00E35645"/>
    <w:rsid w:val="00E528EB"/>
    <w:rsid w:val="00E54DF1"/>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468E8"/>
    <w:rsid w:val="00F5296F"/>
    <w:rsid w:val="00F554D6"/>
    <w:rsid w:val="00F63B21"/>
    <w:rsid w:val="00F866EA"/>
    <w:rsid w:val="00F87D39"/>
    <w:rsid w:val="00FB252D"/>
    <w:rsid w:val="00FB2652"/>
    <w:rsid w:val="00FC18A9"/>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D4DE72"/>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09866575">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mailto:Information-Services-Dpt@athexgroup.g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thexgroup.gr/el/web/guest/statistics-publication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yperlink" Target="http://www.athexgroup.gr" TargetMode="Externa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www.helex.gr/web/guest/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file:///\\filesrv\data\Operations%20Directorate\Market%20Operation%20&amp;%20Development%20Div\Information%20Services%20Dpt\Info%20Services\AxiaNumbers\AxiaNumbers%20Lab\&#913;&#925;&#913;&#922;&#927;&#921;&#925;&#937;&#931;&#919;\Anakoinwsi_Graphs.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ilesrv\data\Operations%20Directorate\Market%20Operation%20&amp;%20Development%20Div\Information%20Services%20Dpt\Info%20Services\AxiaNumbers\AxiaNumbers%20Lab\&#913;&#925;&#913;&#922;&#927;&#921;&#925;&#937;&#931;&#919;\Anakoinwsi_Graphs.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ilesrv\data\Operations%20Directorate\Market%20Operation%20&amp;%20Development%20Div\Information%20Services%20Dpt\Info%20Services\AxiaNumbers\AxiaNumbers%20Lab\&#913;&#925;&#913;&#922;&#927;&#921;&#925;&#937;&#931;&#919;\Anakoinwsi_Graphs.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ATHEX Transactions Value (mil. €)</a:t>
            </a:r>
          </a:p>
        </c:rich>
      </c:tx>
      <c:layout>
        <c:manualLayout>
          <c:xMode val="edge"/>
          <c:yMode val="edge"/>
          <c:x val="0.36826360937371655"/>
          <c:y val="2.5000000000000001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A608-4963-A3FE-1D597B96AAFC}"/>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A608-4963-A3FE-1D597B96AAFC}"/>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A608-4963-A3FE-1D597B96AAFC}"/>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A608-4963-A3FE-1D597B96AAFC}"/>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A608-4963-A3FE-1D597B96AAFC}"/>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A608-4963-A3FE-1D597B96AAFC}"/>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A608-4963-A3FE-1D597B96AAFC}"/>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Value'!$E$119:$E$131</c:f>
              <c:strCache>
                <c:ptCount val="13"/>
                <c:pt idx="0">
                  <c:v>Sep-2018</c:v>
                </c:pt>
                <c:pt idx="1">
                  <c:v>Oct-2018</c:v>
                </c:pt>
                <c:pt idx="2">
                  <c:v>Nov-2018</c:v>
                </c:pt>
                <c:pt idx="3">
                  <c:v>Dec-2018</c:v>
                </c:pt>
                <c:pt idx="4">
                  <c:v>Jan-2019</c:v>
                </c:pt>
                <c:pt idx="5">
                  <c:v>Feb-2019</c:v>
                </c:pt>
                <c:pt idx="6">
                  <c:v>Mar-2019</c:v>
                </c:pt>
                <c:pt idx="7">
                  <c:v>Apr-2019</c:v>
                </c:pt>
                <c:pt idx="8">
                  <c:v>May-2019</c:v>
                </c:pt>
                <c:pt idx="9">
                  <c:v>Jun-2019</c:v>
                </c:pt>
                <c:pt idx="10">
                  <c:v>Jul-2019</c:v>
                </c:pt>
                <c:pt idx="11">
                  <c:v>Aug-2019</c:v>
                </c:pt>
                <c:pt idx="12">
                  <c:v>Sep-2019</c:v>
                </c:pt>
              </c:strCache>
            </c:strRef>
          </c:cat>
          <c:val>
            <c:numRef>
              <c:f>'Transactions Value'!$I$119:$I$131</c:f>
              <c:numCache>
                <c:formatCode>#,##0.0</c:formatCode>
                <c:ptCount val="13"/>
                <c:pt idx="0">
                  <c:v>1018.0543554799999</c:v>
                </c:pt>
                <c:pt idx="1">
                  <c:v>1089.1106756800002</c:v>
                </c:pt>
                <c:pt idx="2">
                  <c:v>1336.0465733999999</c:v>
                </c:pt>
                <c:pt idx="3">
                  <c:v>758.15962670999988</c:v>
                </c:pt>
                <c:pt idx="4">
                  <c:v>832.91023263999989</c:v>
                </c:pt>
                <c:pt idx="5">
                  <c:v>886.79175278000002</c:v>
                </c:pt>
                <c:pt idx="6">
                  <c:v>1084.1318426499997</c:v>
                </c:pt>
                <c:pt idx="7">
                  <c:v>1115.6775192699999</c:v>
                </c:pt>
                <c:pt idx="8">
                  <c:v>2442.4701254500001</c:v>
                </c:pt>
                <c:pt idx="9">
                  <c:v>1640.0331853500002</c:v>
                </c:pt>
                <c:pt idx="10">
                  <c:v>1731.3053009299999</c:v>
                </c:pt>
                <c:pt idx="11">
                  <c:v>1382.9789882399998</c:v>
                </c:pt>
                <c:pt idx="12">
                  <c:v>1315.09983444</c:v>
                </c:pt>
              </c:numCache>
            </c:numRef>
          </c:val>
          <c:extLst>
            <c:ext xmlns:c16="http://schemas.microsoft.com/office/drawing/2014/chart" uri="{C3380CC4-5D6E-409C-BE32-E72D297353CC}">
              <c16:uniqueId val="{00000007-A608-4963-A3FE-1D597B96AAFC}"/>
            </c:ext>
          </c:extLst>
        </c:ser>
        <c:dLbls>
          <c:showLegendKey val="0"/>
          <c:showVal val="0"/>
          <c:showCatName val="0"/>
          <c:showSerName val="0"/>
          <c:showPercent val="0"/>
          <c:showBubbleSize val="0"/>
        </c:dLbls>
        <c:gapWidth val="150"/>
        <c:axId val="765663456"/>
        <c:axId val="1"/>
      </c:barChart>
      <c:catAx>
        <c:axId val="765663456"/>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65663456"/>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ATHEX Market capitalization (bil. €)</a:t>
            </a:r>
          </a:p>
        </c:rich>
      </c:tx>
      <c:layout>
        <c:manualLayout>
          <c:xMode val="edge"/>
          <c:yMode val="edge"/>
          <c:x val="0.38622754491017963"/>
          <c:y val="2.5000000000000001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C675-4E30-AA37-22C263AC015B}"/>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'!$E$116:$E$128</c:f>
              <c:strCache>
                <c:ptCount val="13"/>
                <c:pt idx="0">
                  <c:v>Jul-2018</c:v>
                </c:pt>
                <c:pt idx="1">
                  <c:v>Aug-2018</c:v>
                </c:pt>
                <c:pt idx="2">
                  <c:v>Sep-2018</c:v>
                </c:pt>
                <c:pt idx="3">
                  <c:v>Oct-2018</c:v>
                </c:pt>
                <c:pt idx="4">
                  <c:v>Nov-2018</c:v>
                </c:pt>
                <c:pt idx="5">
                  <c:v>Dec-2018</c:v>
                </c:pt>
                <c:pt idx="6">
                  <c:v>Jan-2019</c:v>
                </c:pt>
                <c:pt idx="7">
                  <c:v>Feb-2019</c:v>
                </c:pt>
                <c:pt idx="8">
                  <c:v>Mar-2019</c:v>
                </c:pt>
                <c:pt idx="9">
                  <c:v>Apr-2019</c:v>
                </c:pt>
                <c:pt idx="10">
                  <c:v>May-2019</c:v>
                </c:pt>
                <c:pt idx="11">
                  <c:v>Jun-2019</c:v>
                </c:pt>
                <c:pt idx="12">
                  <c:v>Jul-2019</c:v>
                </c:pt>
              </c:strCache>
            </c:strRef>
          </c:cat>
          <c:val>
            <c:numRef>
              <c:f>'Market Cap '!$I$116:$I$128</c:f>
              <c:numCache>
                <c:formatCode>#,##0.0</c:formatCode>
                <c:ptCount val="13"/>
                <c:pt idx="0">
                  <c:v>42.722175485130002</c:v>
                </c:pt>
                <c:pt idx="1">
                  <c:v>41.173955597300001</c:v>
                </c:pt>
                <c:pt idx="2">
                  <c:v>39.250193376040002</c:v>
                </c:pt>
                <c:pt idx="3">
                  <c:v>36.826978370270005</c:v>
                </c:pt>
                <c:pt idx="4">
                  <c:v>36.426238963940008</c:v>
                </c:pt>
                <c:pt idx="5">
                  <c:v>35.214461166900001</c:v>
                </c:pt>
                <c:pt idx="6">
                  <c:v>36.672051701649998</c:v>
                </c:pt>
                <c:pt idx="7">
                  <c:v>39.588526190179998</c:v>
                </c:pt>
                <c:pt idx="8">
                  <c:v>40.479505946709992</c:v>
                </c:pt>
                <c:pt idx="9">
                  <c:v>42.525483929450004</c:v>
                </c:pt>
                <c:pt idx="10">
                  <c:v>44.466313884030001</c:v>
                </c:pt>
                <c:pt idx="11">
                  <c:v>46.570213458529992</c:v>
                </c:pt>
                <c:pt idx="12">
                  <c:v>48.703433125080004</c:v>
                </c:pt>
              </c:numCache>
            </c:numRef>
          </c:val>
          <c:extLst>
            <c:ext xmlns:c16="http://schemas.microsoft.com/office/drawing/2014/chart" uri="{C3380CC4-5D6E-409C-BE32-E72D297353CC}">
              <c16:uniqueId val="{00000002-C675-4E30-AA37-22C263AC015B}"/>
            </c:ext>
          </c:extLst>
        </c:ser>
        <c:dLbls>
          <c:showLegendKey val="0"/>
          <c:showVal val="0"/>
          <c:showCatName val="0"/>
          <c:showSerName val="0"/>
          <c:showPercent val="0"/>
          <c:showBubbleSize val="0"/>
        </c:dLbls>
        <c:gapWidth val="150"/>
        <c:axId val="547503752"/>
        <c:axId val="1"/>
      </c:barChart>
      <c:catAx>
        <c:axId val="547503752"/>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47503752"/>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Investors participation in ATHEX Transactions value (%)</a:t>
            </a:r>
          </a:p>
        </c:rich>
      </c:tx>
      <c:layout>
        <c:manualLayout>
          <c:xMode val="edge"/>
          <c:yMode val="edge"/>
          <c:x val="0.28892215568862273"/>
          <c:y val="2.5125628140703519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Value'!$E$119:$E$131</c:f>
              <c:strCache>
                <c:ptCount val="13"/>
                <c:pt idx="0">
                  <c:v>Sep-2018</c:v>
                </c:pt>
                <c:pt idx="1">
                  <c:v>Oct-2018</c:v>
                </c:pt>
                <c:pt idx="2">
                  <c:v>Nov-2018</c:v>
                </c:pt>
                <c:pt idx="3">
                  <c:v>Dec-2018</c:v>
                </c:pt>
                <c:pt idx="4">
                  <c:v>Jan-2019</c:v>
                </c:pt>
                <c:pt idx="5">
                  <c:v>Feb-2019</c:v>
                </c:pt>
                <c:pt idx="6">
                  <c:v>Mar-2019</c:v>
                </c:pt>
                <c:pt idx="7">
                  <c:v>Apr-2019</c:v>
                </c:pt>
                <c:pt idx="8">
                  <c:v>May-2019</c:v>
                </c:pt>
                <c:pt idx="9">
                  <c:v>Jun-2019</c:v>
                </c:pt>
                <c:pt idx="10">
                  <c:v>Jul-2019</c:v>
                </c:pt>
                <c:pt idx="11">
                  <c:v>Aug-2019</c:v>
                </c:pt>
                <c:pt idx="12">
                  <c:v>Sep-2019</c:v>
                </c:pt>
              </c:strCache>
            </c:strRef>
          </c:cat>
          <c:val>
            <c:numRef>
              <c:f>'Participation in Trans Value'!$L$119:$L$131</c:f>
              <c:numCache>
                <c:formatCode>#,##0.0</c:formatCode>
                <c:ptCount val="13"/>
                <c:pt idx="0">
                  <c:v>44.400836495304418</c:v>
                </c:pt>
                <c:pt idx="1">
                  <c:v>40.102399759538088</c:v>
                </c:pt>
                <c:pt idx="2">
                  <c:v>45.069741478220237</c:v>
                </c:pt>
                <c:pt idx="3">
                  <c:v>42.484874094094451</c:v>
                </c:pt>
                <c:pt idx="4">
                  <c:v>38.597818723035445</c:v>
                </c:pt>
                <c:pt idx="5">
                  <c:v>47.987587800737323</c:v>
                </c:pt>
                <c:pt idx="6">
                  <c:v>44.45814605738903</c:v>
                </c:pt>
                <c:pt idx="7">
                  <c:v>48.657356304015039</c:v>
                </c:pt>
                <c:pt idx="8">
                  <c:v>40.463932702264366</c:v>
                </c:pt>
                <c:pt idx="9">
                  <c:v>50.478110298928286</c:v>
                </c:pt>
                <c:pt idx="10">
                  <c:v>51.319478382739824</c:v>
                </c:pt>
                <c:pt idx="11">
                  <c:v>49.670661001883516</c:v>
                </c:pt>
                <c:pt idx="12">
                  <c:v>48.18539797093338</c:v>
                </c:pt>
              </c:numCache>
            </c:numRef>
          </c:val>
          <c:extLst>
            <c:ext xmlns:c16="http://schemas.microsoft.com/office/drawing/2014/chart" uri="{C3380CC4-5D6E-409C-BE32-E72D297353CC}">
              <c16:uniqueId val="{00000000-DB5A-4CBC-B6E6-907B14493331}"/>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Value'!$E$119:$E$131</c:f>
              <c:strCache>
                <c:ptCount val="13"/>
                <c:pt idx="0">
                  <c:v>Sep-2018</c:v>
                </c:pt>
                <c:pt idx="1">
                  <c:v>Oct-2018</c:v>
                </c:pt>
                <c:pt idx="2">
                  <c:v>Nov-2018</c:v>
                </c:pt>
                <c:pt idx="3">
                  <c:v>Dec-2018</c:v>
                </c:pt>
                <c:pt idx="4">
                  <c:v>Jan-2019</c:v>
                </c:pt>
                <c:pt idx="5">
                  <c:v>Feb-2019</c:v>
                </c:pt>
                <c:pt idx="6">
                  <c:v>Mar-2019</c:v>
                </c:pt>
                <c:pt idx="7">
                  <c:v>Apr-2019</c:v>
                </c:pt>
                <c:pt idx="8">
                  <c:v>May-2019</c:v>
                </c:pt>
                <c:pt idx="9">
                  <c:v>Jun-2019</c:v>
                </c:pt>
                <c:pt idx="10">
                  <c:v>Jul-2019</c:v>
                </c:pt>
                <c:pt idx="11">
                  <c:v>Aug-2019</c:v>
                </c:pt>
                <c:pt idx="12">
                  <c:v>Sep-2019</c:v>
                </c:pt>
              </c:strCache>
            </c:strRef>
          </c:cat>
          <c:val>
            <c:numRef>
              <c:f>'Participation in Trans Value'!$I$119:$I$131</c:f>
              <c:numCache>
                <c:formatCode>#,##0.0</c:formatCode>
                <c:ptCount val="13"/>
                <c:pt idx="0">
                  <c:v>17.222610653468642</c:v>
                </c:pt>
                <c:pt idx="1">
                  <c:v>15.514835662546336</c:v>
                </c:pt>
                <c:pt idx="2">
                  <c:v>13.964634543779596</c:v>
                </c:pt>
                <c:pt idx="3">
                  <c:v>16.924428102537416</c:v>
                </c:pt>
                <c:pt idx="4">
                  <c:v>16.978447700992817</c:v>
                </c:pt>
                <c:pt idx="5">
                  <c:v>20.715769715843837</c:v>
                </c:pt>
                <c:pt idx="6">
                  <c:v>18.943805607903663</c:v>
                </c:pt>
                <c:pt idx="7">
                  <c:v>21.39463801790869</c:v>
                </c:pt>
                <c:pt idx="8">
                  <c:v>13.309457312609194</c:v>
                </c:pt>
                <c:pt idx="9">
                  <c:v>22.241408872598818</c:v>
                </c:pt>
                <c:pt idx="10">
                  <c:v>26.925001893634676</c:v>
                </c:pt>
                <c:pt idx="11">
                  <c:v>23.956430581575919</c:v>
                </c:pt>
                <c:pt idx="12">
                  <c:v>22.084271514160136</c:v>
                </c:pt>
              </c:numCache>
            </c:numRef>
          </c:val>
          <c:extLst>
            <c:ext xmlns:c16="http://schemas.microsoft.com/office/drawing/2014/chart" uri="{C3380CC4-5D6E-409C-BE32-E72D297353CC}">
              <c16:uniqueId val="{00000001-DB5A-4CBC-B6E6-907B14493331}"/>
            </c:ext>
          </c:extLst>
        </c:ser>
        <c:ser>
          <c:idx val="2"/>
          <c:order val="2"/>
          <c:tx>
            <c:strRef>
              <c:f>ANAKOINWSI!$I$7</c:f>
              <c:strCache>
                <c:ptCount val="1"/>
                <c:pt idx="0">
                  <c:v>Foreign Investors</c:v>
                </c:pt>
              </c:strCache>
            </c:strRef>
          </c:tx>
          <c:spPr>
            <a:solidFill>
              <a:srgbClr val="FFFFCC"/>
            </a:solidFill>
            <a:ln>
              <a:solidFill>
                <a:srgbClr val="FFC000"/>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Value'!$E$119:$E$131</c:f>
              <c:strCache>
                <c:ptCount val="13"/>
                <c:pt idx="0">
                  <c:v>Sep-2018</c:v>
                </c:pt>
                <c:pt idx="1">
                  <c:v>Oct-2018</c:v>
                </c:pt>
                <c:pt idx="2">
                  <c:v>Nov-2018</c:v>
                </c:pt>
                <c:pt idx="3">
                  <c:v>Dec-2018</c:v>
                </c:pt>
                <c:pt idx="4">
                  <c:v>Jan-2019</c:v>
                </c:pt>
                <c:pt idx="5">
                  <c:v>Feb-2019</c:v>
                </c:pt>
                <c:pt idx="6">
                  <c:v>Mar-2019</c:v>
                </c:pt>
                <c:pt idx="7">
                  <c:v>Apr-2019</c:v>
                </c:pt>
                <c:pt idx="8">
                  <c:v>May-2019</c:v>
                </c:pt>
                <c:pt idx="9">
                  <c:v>Jun-2019</c:v>
                </c:pt>
                <c:pt idx="10">
                  <c:v>Jul-2019</c:v>
                </c:pt>
                <c:pt idx="11">
                  <c:v>Aug-2019</c:v>
                </c:pt>
                <c:pt idx="12">
                  <c:v>Sep-2019</c:v>
                </c:pt>
              </c:strCache>
            </c:strRef>
          </c:cat>
          <c:val>
            <c:numRef>
              <c:f>'Participation in Trans Value'!$K$119:$K$131</c:f>
              <c:numCache>
                <c:formatCode>#,##0.0</c:formatCode>
                <c:ptCount val="13"/>
                <c:pt idx="0">
                  <c:v>55.596287061523142</c:v>
                </c:pt>
                <c:pt idx="1">
                  <c:v>59.892289859130472</c:v>
                </c:pt>
                <c:pt idx="2">
                  <c:v>54.929285005567166</c:v>
                </c:pt>
                <c:pt idx="3">
                  <c:v>57.512172334624367</c:v>
                </c:pt>
                <c:pt idx="4">
                  <c:v>61.397262789546033</c:v>
                </c:pt>
                <c:pt idx="5">
                  <c:v>52.010016703935456</c:v>
                </c:pt>
                <c:pt idx="6">
                  <c:v>55.54104504745127</c:v>
                </c:pt>
                <c:pt idx="7">
                  <c:v>51.336775083516827</c:v>
                </c:pt>
                <c:pt idx="8">
                  <c:v>59.531442184256335</c:v>
                </c:pt>
                <c:pt idx="9">
                  <c:v>49.51925120202263</c:v>
                </c:pt>
                <c:pt idx="10">
                  <c:v>48.674460555993647</c:v>
                </c:pt>
                <c:pt idx="11">
                  <c:v>50.327938101444929</c:v>
                </c:pt>
                <c:pt idx="12">
                  <c:v>51.813549431793213</c:v>
                </c:pt>
              </c:numCache>
            </c:numRef>
          </c:val>
          <c:extLst>
            <c:ext xmlns:c16="http://schemas.microsoft.com/office/drawing/2014/chart" uri="{C3380CC4-5D6E-409C-BE32-E72D297353CC}">
              <c16:uniqueId val="{00000002-DB5A-4CBC-B6E6-907B14493331}"/>
            </c:ext>
          </c:extLst>
        </c:ser>
        <c:dLbls>
          <c:showLegendKey val="0"/>
          <c:showVal val="0"/>
          <c:showCatName val="0"/>
          <c:showSerName val="0"/>
          <c:showPercent val="0"/>
          <c:showBubbleSize val="0"/>
        </c:dLbls>
        <c:gapWidth val="70"/>
        <c:axId val="765676904"/>
        <c:axId val="1"/>
      </c:barChart>
      <c:catAx>
        <c:axId val="765676904"/>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65676904"/>
        <c:crosses val="autoZero"/>
        <c:crossBetween val="between"/>
      </c:valAx>
      <c:spPr>
        <a:solidFill>
          <a:srgbClr val="FFFFFF"/>
        </a:solidFill>
        <a:ln w="3175">
          <a:solidFill>
            <a:srgbClr val="7A89B0"/>
          </a:solidFill>
          <a:prstDash val="solid"/>
        </a:ln>
      </c:spPr>
    </c:plotArea>
    <c:legend>
      <c:legendPos val="r"/>
      <c:layout>
        <c:manualLayout>
          <c:xMode val="edge"/>
          <c:yMode val="edge"/>
          <c:x val="0.15419161676646706"/>
          <c:y val="0.14070404516018412"/>
          <c:w val="0.76646706586826352"/>
          <c:h val="0.12060354264762133"/>
        </c:manualLayout>
      </c:layout>
      <c:overlay val="0"/>
      <c:spPr>
        <a:noFill/>
        <a:ln w="25400">
          <a:noFill/>
        </a:ln>
      </c:spPr>
      <c:txPr>
        <a:bodyPr/>
        <a:lstStyle/>
        <a:p>
          <a:pPr>
            <a:defRPr sz="700" b="1" i="0" u="none" strike="noStrike" baseline="0">
              <a:solidFill>
                <a:srgbClr val="000000"/>
              </a:solidFill>
              <a:latin typeface="Arial" panose="020B0604020202020204" pitchFamily="34" charset="0"/>
              <a:ea typeface="Arial Narrow"/>
              <a:cs typeface="Arial" panose="020B0604020202020204" pitchFamily="34" charset="0"/>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Investors participation in ATHEX market capitalization (%)</a:t>
            </a:r>
          </a:p>
        </c:rich>
      </c:tx>
      <c:layout>
        <c:manualLayout>
          <c:xMode val="edge"/>
          <c:yMode val="edge"/>
          <c:x val="0.27544903462409664"/>
          <c:y val="2.9999828452815947E-2"/>
        </c:manualLayout>
      </c:layout>
      <c:overlay val="0"/>
      <c:spPr>
        <a:noFill/>
        <a:ln w="25400">
          <a:noFill/>
        </a:ln>
      </c:spPr>
    </c:title>
    <c:autoTitleDeleted val="0"/>
    <c:plotArea>
      <c:layout>
        <c:manualLayout>
          <c:layoutTarget val="inner"/>
          <c:xMode val="edge"/>
          <c:yMode val="edge"/>
          <c:x val="3.7296079745865823E-2"/>
          <c:y val="0.1477681711354708"/>
          <c:w val="0.94028617390568114"/>
          <c:h val="0.69349064210110989"/>
        </c:manualLayout>
      </c:layout>
      <c:lineChart>
        <c:grouping val="standard"/>
        <c:varyColors val="0"/>
        <c:ser>
          <c:idx val="1"/>
          <c:order val="0"/>
          <c:tx>
            <c:strRef>
              <c:f>ANAKOINWSI!$C$5</c:f>
              <c:strCache>
                <c:ptCount val="1"/>
                <c:pt idx="0">
                  <c:v>Domestic</c:v>
                </c:pt>
              </c:strCache>
            </c:strRef>
          </c:tx>
          <c:spPr>
            <a:ln w="25400">
              <a:solidFill>
                <a:srgbClr val="7A89B0"/>
              </a:solidFill>
              <a:prstDash val="solid"/>
            </a:ln>
          </c:spPr>
          <c:marker>
            <c:symbol val="circle"/>
            <c:size val="7"/>
            <c:spPr>
              <a:solidFill>
                <a:srgbClr val="FFFFFF"/>
              </a:solidFill>
              <a:ln>
                <a:solidFill>
                  <a:srgbClr val="7A89B0"/>
                </a:solidFill>
                <a:prstDash val="solid"/>
              </a:ln>
            </c:spPr>
          </c:marker>
          <c:dLbls>
            <c:dLbl>
              <c:idx val="0"/>
              <c:layout>
                <c:manualLayout>
                  <c:x val="-2.9899691033818211E-2"/>
                  <c:y val="5.61469644725781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E66-4A15-AD2B-E87C5A987544}"/>
                </c:ext>
              </c:extLst>
            </c:dLbl>
            <c:dLbl>
              <c:idx val="1"/>
              <c:layout>
                <c:manualLayout>
                  <c:x val="-3.1812312148281355E-2"/>
                  <c:y val="4.933911447343591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7E66-4A15-AD2B-E87C5A987544}"/>
                </c:ext>
              </c:extLst>
            </c:dLbl>
            <c:dLbl>
              <c:idx val="2"/>
              <c:layout>
                <c:manualLayout>
                  <c:x val="-2.9001784328719849E-2"/>
                  <c:y val="5.573010481532945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7E66-4A15-AD2B-E87C5A987544}"/>
                </c:ext>
              </c:extLst>
            </c:dLbl>
            <c:dLbl>
              <c:idx val="3"/>
              <c:layout>
                <c:manualLayout>
                  <c:x val="-2.7758076398401107E-2"/>
                  <c:y val="5.63043590139467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7E66-4A15-AD2B-E87C5A987544}"/>
                </c:ext>
              </c:extLst>
            </c:dLbl>
            <c:dLbl>
              <c:idx val="4"/>
              <c:layout>
                <c:manualLayout>
                  <c:x val="-2.8225867444264238E-2"/>
                  <c:y val="5.250673322697407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7E66-4A15-AD2B-E87C5A987544}"/>
                </c:ext>
              </c:extLst>
            </c:dLbl>
            <c:dLbl>
              <c:idx val="5"/>
              <c:layout>
                <c:manualLayout>
                  <c:x val="-2.656759020383925E-2"/>
                  <c:y val="6.033914878287272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7E66-4A15-AD2B-E87C5A987544}"/>
                </c:ext>
              </c:extLst>
            </c:dLbl>
            <c:dLbl>
              <c:idx val="6"/>
              <c:layout>
                <c:manualLayout>
                  <c:x val="-2.9556550895385676E-2"/>
                  <c:y val="5.58862127528176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7E66-4A15-AD2B-E87C5A987544}"/>
                </c:ext>
              </c:extLst>
            </c:dLbl>
            <c:dLbl>
              <c:idx val="7"/>
              <c:layout>
                <c:manualLayout>
                  <c:x val="-2.8484693148681923E-2"/>
                  <c:y val="4.928722145025989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7E66-4A15-AD2B-E87C5A987544}"/>
                </c:ext>
              </c:extLst>
            </c:dLbl>
            <c:dLbl>
              <c:idx val="8"/>
              <c:layout>
                <c:manualLayout>
                  <c:x val="-2.6250920876085795E-2"/>
                  <c:y val="5.6809136603022663E-2"/>
                </c:manualLayout>
              </c:layout>
              <c:numFmt formatCode="#,##0.0" sourceLinked="0"/>
              <c:spPr>
                <a:noFill/>
                <a:ln w="25400">
                  <a:noFill/>
                </a:ln>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7E66-4A15-AD2B-E87C5A987544}"/>
                </c:ext>
              </c:extLst>
            </c:dLbl>
            <c:dLbl>
              <c:idx val="9"/>
              <c:layout>
                <c:manualLayout>
                  <c:x val="-3.1132054330988777E-2"/>
                  <c:y val="5.737824438611840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7E66-4A15-AD2B-E87C5A987544}"/>
                </c:ext>
              </c:extLst>
            </c:dLbl>
            <c:dLbl>
              <c:idx val="10"/>
              <c:layout>
                <c:manualLayout>
                  <c:x val="-2.7333703084339644E-2"/>
                  <c:y val="6.246247405348841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7E66-4A15-AD2B-E87C5A987544}"/>
                </c:ext>
              </c:extLst>
            </c:dLbl>
            <c:dLbl>
              <c:idx val="11"/>
              <c:layout>
                <c:manualLayout>
                  <c:x val="-2.4879340722751171E-2"/>
                  <c:y val="5.558042989724323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7E66-4A15-AD2B-E87C5A987544}"/>
                </c:ext>
              </c:extLst>
            </c:dLbl>
            <c:dLbl>
              <c:idx val="12"/>
              <c:layout>
                <c:manualLayout>
                  <c:x val="-2.5304694437208154E-2"/>
                  <c:y val="5.428396205376288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7E66-4A15-AD2B-E87C5A987544}"/>
                </c:ext>
              </c:extLst>
            </c:dLbl>
            <c:dLbl>
              <c:idx val="13"/>
              <c:layout>
                <c:manualLayout>
                  <c:xMode val="edge"/>
                  <c:yMode val="edge"/>
                  <c:x val="0.39970059880239522"/>
                  <c:y val="0.25"/>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7E66-4A15-AD2B-E87C5A987544}"/>
                </c:ext>
              </c:extLst>
            </c:dLbl>
            <c:dLbl>
              <c:idx val="14"/>
              <c:layout>
                <c:manualLayout>
                  <c:xMode val="edge"/>
                  <c:yMode val="edge"/>
                  <c:x val="0.42664670658682635"/>
                  <c:y val="0.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7E66-4A15-AD2B-E87C5A987544}"/>
                </c:ext>
              </c:extLst>
            </c:dLbl>
            <c:dLbl>
              <c:idx val="15"/>
              <c:layout>
                <c:manualLayout>
                  <c:xMode val="edge"/>
                  <c:yMode val="edge"/>
                  <c:x val="0.45209580838323354"/>
                  <c:y val="0.28499999999999998"/>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7E66-4A15-AD2B-E87C5A987544}"/>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Cap'!$E$119:$E$131</c:f>
              <c:strCache>
                <c:ptCount val="13"/>
                <c:pt idx="0">
                  <c:v>Sep-2018</c:v>
                </c:pt>
                <c:pt idx="1">
                  <c:v>Oct-2018</c:v>
                </c:pt>
                <c:pt idx="2">
                  <c:v>Nov-2018</c:v>
                </c:pt>
                <c:pt idx="3">
                  <c:v>Dec-2018</c:v>
                </c:pt>
                <c:pt idx="4">
                  <c:v>Jan-2019</c:v>
                </c:pt>
                <c:pt idx="5">
                  <c:v>Feb-2019</c:v>
                </c:pt>
                <c:pt idx="6">
                  <c:v>Mar-2019</c:v>
                </c:pt>
                <c:pt idx="7">
                  <c:v>Apr-2019</c:v>
                </c:pt>
                <c:pt idx="8">
                  <c:v>May-2019</c:v>
                </c:pt>
                <c:pt idx="9">
                  <c:v>Jun-2019</c:v>
                </c:pt>
                <c:pt idx="10">
                  <c:v>Jul-2019</c:v>
                </c:pt>
                <c:pt idx="11">
                  <c:v>Aug-2019</c:v>
                </c:pt>
                <c:pt idx="12">
                  <c:v>Sep-2019</c:v>
                </c:pt>
              </c:strCache>
            </c:strRef>
          </c:cat>
          <c:val>
            <c:numRef>
              <c:f>'Participation in Market Cap'!$I$119:$I$131</c:f>
              <c:numCache>
                <c:formatCode>#,##0.00</c:formatCode>
                <c:ptCount val="13"/>
                <c:pt idx="0">
                  <c:v>36.177522502088188</c:v>
                </c:pt>
                <c:pt idx="1">
                  <c:v>36.160497759328841</c:v>
                </c:pt>
                <c:pt idx="2">
                  <c:v>36.123692856421997</c:v>
                </c:pt>
                <c:pt idx="3">
                  <c:v>36.7040473114183</c:v>
                </c:pt>
                <c:pt idx="4">
                  <c:v>36.206434941769544</c:v>
                </c:pt>
                <c:pt idx="5">
                  <c:v>36.059891298052612</c:v>
                </c:pt>
                <c:pt idx="6">
                  <c:v>35.954107211708433</c:v>
                </c:pt>
                <c:pt idx="7">
                  <c:v>35.784246530940806</c:v>
                </c:pt>
                <c:pt idx="8">
                  <c:v>34.764200067889689</c:v>
                </c:pt>
                <c:pt idx="9">
                  <c:v>35.262018613771573</c:v>
                </c:pt>
                <c:pt idx="10">
                  <c:v>34.36548885548919</c:v>
                </c:pt>
                <c:pt idx="11">
                  <c:v>34.47389330373192</c:v>
                </c:pt>
                <c:pt idx="12">
                  <c:v>35.293998489933067</c:v>
                </c:pt>
              </c:numCache>
            </c:numRef>
          </c:val>
          <c:smooth val="0"/>
          <c:extLst>
            <c:ext xmlns:c16="http://schemas.microsoft.com/office/drawing/2014/chart" uri="{C3380CC4-5D6E-409C-BE32-E72D297353CC}">
              <c16:uniqueId val="{00000010-7E66-4A15-AD2B-E87C5A987544}"/>
            </c:ext>
          </c:extLst>
        </c:ser>
        <c:ser>
          <c:idx val="0"/>
          <c:order val="1"/>
          <c:tx>
            <c:strRef>
              <c:f>ANAKOINWSI!$C$6</c:f>
              <c:strCache>
                <c:ptCount val="1"/>
                <c:pt idx="0">
                  <c:v>Foreign (incl HFSF)</c:v>
                </c:pt>
              </c:strCache>
            </c:strRef>
          </c:tx>
          <c:spPr>
            <a:ln w="25400">
              <a:solidFill>
                <a:schemeClr val="accent2">
                  <a:lumMod val="75000"/>
                </a:schemeClr>
              </a:solidFill>
              <a:prstDash val="solid"/>
            </a:ln>
          </c:spPr>
          <c:marker>
            <c:symbol val="circle"/>
            <c:size val="7"/>
            <c:spPr>
              <a:solidFill>
                <a:srgbClr val="FFFFFF"/>
              </a:solidFill>
              <a:ln>
                <a:solidFill>
                  <a:srgbClr val="800000"/>
                </a:solidFill>
                <a:prstDash val="solid"/>
              </a:ln>
            </c:spPr>
          </c:marker>
          <c:dLbls>
            <c:dLbl>
              <c:idx val="0"/>
              <c:layout>
                <c:manualLayout>
                  <c:x val="-2.7837488830438351E-2"/>
                  <c:y val="5.413814694731786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7E66-4A15-AD2B-E87C5A987544}"/>
                </c:ext>
              </c:extLst>
            </c:dLbl>
            <c:dLbl>
              <c:idx val="1"/>
              <c:layout>
                <c:manualLayout>
                  <c:x val="-2.9420415297607545E-2"/>
                  <c:y val="4.704552862264765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7E66-4A15-AD2B-E87C5A987544}"/>
                </c:ext>
              </c:extLst>
            </c:dLbl>
            <c:dLbl>
              <c:idx val="2"/>
              <c:layout>
                <c:manualLayout>
                  <c:x val="-2.8227268016257839E-2"/>
                  <c:y val="4.997383905443197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7E66-4A15-AD2B-E87C5A987544}"/>
                </c:ext>
              </c:extLst>
            </c:dLbl>
            <c:dLbl>
              <c:idx val="3"/>
              <c:layout>
                <c:manualLayout>
                  <c:x val="-2.7806676246579103E-2"/>
                  <c:y val="4.912725370113049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7E66-4A15-AD2B-E87C5A987544}"/>
                </c:ext>
              </c:extLst>
            </c:dLbl>
            <c:dLbl>
              <c:idx val="4"/>
              <c:layout>
                <c:manualLayout>
                  <c:x val="-2.7776423891517295E-2"/>
                  <c:y val="4.873569725352958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7E66-4A15-AD2B-E87C5A987544}"/>
                </c:ext>
              </c:extLst>
            </c:dLbl>
            <c:dLbl>
              <c:idx val="5"/>
              <c:layout>
                <c:manualLayout>
                  <c:x val="-2.9797589335484612E-2"/>
                  <c:y val="4.456195426552073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7E66-4A15-AD2B-E87C5A987544}"/>
                </c:ext>
              </c:extLst>
            </c:dLbl>
            <c:dLbl>
              <c:idx val="6"/>
              <c:layout>
                <c:manualLayout>
                  <c:x val="-3.0497315103488264E-2"/>
                  <c:y val="5.61469644725781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7-7E66-4A15-AD2B-E87C5A987544}"/>
                </c:ext>
              </c:extLst>
            </c:dLbl>
            <c:dLbl>
              <c:idx val="7"/>
              <c:layout>
                <c:manualLayout>
                  <c:x val="-2.7594069417950291E-2"/>
                  <c:y val="6.042706671469987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8-7E66-4A15-AD2B-E87C5A987544}"/>
                </c:ext>
              </c:extLst>
            </c:dLbl>
            <c:dLbl>
              <c:idx val="8"/>
              <c:layout>
                <c:manualLayout>
                  <c:x val="-2.7630204175385226E-2"/>
                  <c:y val="5.515542174875199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9-7E66-4A15-AD2B-E87C5A987544}"/>
                </c:ext>
              </c:extLst>
            </c:dLbl>
            <c:dLbl>
              <c:idx val="9"/>
              <c:layout>
                <c:manualLayout>
                  <c:x val="-2.5623744737350733E-2"/>
                  <c:y val="5.415487279776302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A-7E66-4A15-AD2B-E87C5A987544}"/>
                </c:ext>
              </c:extLst>
            </c:dLbl>
            <c:dLbl>
              <c:idx val="10"/>
              <c:layout>
                <c:manualLayout>
                  <c:x val="-2.8096594649254757E-2"/>
                  <c:y val="4.991336867205324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B-7E66-4A15-AD2B-E87C5A987544}"/>
                </c:ext>
              </c:extLst>
            </c:dLbl>
            <c:dLbl>
              <c:idx val="11"/>
              <c:layout>
                <c:manualLayout>
                  <c:x val="-2.6624313369580137E-2"/>
                  <c:y val="4.41506698917537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C-7E66-4A15-AD2B-E87C5A987544}"/>
                </c:ext>
              </c:extLst>
            </c:dLbl>
            <c:dLbl>
              <c:idx val="12"/>
              <c:layout>
                <c:manualLayout>
                  <c:x val="-2.249500696084281E-2"/>
                  <c:y val="5.011279227351483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D-7E66-4A15-AD2B-E87C5A987544}"/>
                </c:ext>
              </c:extLst>
            </c:dLbl>
            <c:dLbl>
              <c:idx val="13"/>
              <c:layout>
                <c:manualLayout>
                  <c:x val="-0.49242075433666993"/>
                  <c:y val="0.51500000000000001"/>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7E66-4A15-AD2B-E87C5A987544}"/>
                </c:ext>
              </c:extLst>
            </c:dLbl>
            <c:dLbl>
              <c:idx val="14"/>
              <c:layout>
                <c:manualLayout>
                  <c:x val="-0.52816046744148992"/>
                  <c:y val="0.46"/>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7E66-4A15-AD2B-E87C5A987544}"/>
                </c:ext>
              </c:extLst>
            </c:dLbl>
            <c:dLbl>
              <c:idx val="15"/>
              <c:layout>
                <c:manualLayout>
                  <c:xMode val="edge"/>
                  <c:yMode val="edge"/>
                  <c:x val="0.45508982035928142"/>
                  <c:y val="0.4550000000000000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7E66-4A15-AD2B-E87C5A987544}"/>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Cap'!$E$119:$E$131</c:f>
              <c:strCache>
                <c:ptCount val="13"/>
                <c:pt idx="0">
                  <c:v>Sep-2018</c:v>
                </c:pt>
                <c:pt idx="1">
                  <c:v>Oct-2018</c:v>
                </c:pt>
                <c:pt idx="2">
                  <c:v>Nov-2018</c:v>
                </c:pt>
                <c:pt idx="3">
                  <c:v>Dec-2018</c:v>
                </c:pt>
                <c:pt idx="4">
                  <c:v>Jan-2019</c:v>
                </c:pt>
                <c:pt idx="5">
                  <c:v>Feb-2019</c:v>
                </c:pt>
                <c:pt idx="6">
                  <c:v>Mar-2019</c:v>
                </c:pt>
                <c:pt idx="7">
                  <c:v>Apr-2019</c:v>
                </c:pt>
                <c:pt idx="8">
                  <c:v>May-2019</c:v>
                </c:pt>
                <c:pt idx="9">
                  <c:v>Jun-2019</c:v>
                </c:pt>
                <c:pt idx="10">
                  <c:v>Jul-2019</c:v>
                </c:pt>
                <c:pt idx="11">
                  <c:v>Aug-2019</c:v>
                </c:pt>
                <c:pt idx="12">
                  <c:v>Sep-2019</c:v>
                </c:pt>
              </c:strCache>
            </c:strRef>
          </c:cat>
          <c:val>
            <c:numRef>
              <c:f>'Participation in Market Cap'!$J$119:$J$131</c:f>
              <c:numCache>
                <c:formatCode>#,##0.00</c:formatCode>
                <c:ptCount val="13"/>
                <c:pt idx="0">
                  <c:v>63.774491171196047</c:v>
                </c:pt>
                <c:pt idx="1">
                  <c:v>63.792627932042201</c:v>
                </c:pt>
                <c:pt idx="2">
                  <c:v>63.829451150355922</c:v>
                </c:pt>
                <c:pt idx="3">
                  <c:v>63.259636327586172</c:v>
                </c:pt>
                <c:pt idx="4">
                  <c:v>63.754697155567236</c:v>
                </c:pt>
                <c:pt idx="5">
                  <c:v>63.904221843816437</c:v>
                </c:pt>
                <c:pt idx="6">
                  <c:v>64.010330142964463</c:v>
                </c:pt>
                <c:pt idx="7">
                  <c:v>64.179571993674841</c:v>
                </c:pt>
                <c:pt idx="8">
                  <c:v>65.200884018525727</c:v>
                </c:pt>
                <c:pt idx="9">
                  <c:v>64.701857099843153</c:v>
                </c:pt>
                <c:pt idx="10">
                  <c:v>65.604902451889558</c:v>
                </c:pt>
                <c:pt idx="11">
                  <c:v>65.496689760996063</c:v>
                </c:pt>
                <c:pt idx="12">
                  <c:v>64.676578470241623</c:v>
                </c:pt>
              </c:numCache>
            </c:numRef>
          </c:val>
          <c:smooth val="0"/>
          <c:extLst>
            <c:ext xmlns:c16="http://schemas.microsoft.com/office/drawing/2014/chart" uri="{C3380CC4-5D6E-409C-BE32-E72D297353CC}">
              <c16:uniqueId val="{00000021-7E66-4A15-AD2B-E87C5A987544}"/>
            </c:ext>
          </c:extLst>
        </c:ser>
        <c:ser>
          <c:idx val="2"/>
          <c:order val="2"/>
          <c:tx>
            <c:strRef>
              <c:f>ANAKOINWSI!$C$12</c:f>
              <c:strCache>
                <c:ptCount val="1"/>
                <c:pt idx="0">
                  <c:v>HFSF</c:v>
                </c:pt>
              </c:strCache>
            </c:strRef>
          </c:tx>
          <c:spPr>
            <a:effectLst>
              <a:outerShdw sx="1000" sy="1000" algn="ctr" rotWithShape="0">
                <a:srgbClr val="000000"/>
              </a:outerShdw>
            </a:effectLst>
          </c:spPr>
          <c:marker>
            <c:symbol val="triangle"/>
            <c:size val="7"/>
            <c:spPr>
              <a:gradFill>
                <a:gsLst>
                  <a:gs pos="0">
                    <a:srgbClr val="92D050">
                      <a:lumMod val="76000"/>
                      <a:lumOff val="24000"/>
                    </a:srgbClr>
                  </a:gs>
                  <a:gs pos="26000">
                    <a:schemeClr val="accent3">
                      <a:lumMod val="50000"/>
                    </a:schemeClr>
                  </a:gs>
                  <a:gs pos="100000">
                    <a:srgbClr val="156B13"/>
                  </a:gs>
                </a:gsLst>
                <a:lin ang="5400000" scaled="0"/>
              </a:gradFill>
              <a:effectLst>
                <a:outerShdw sx="1000" sy="1000" algn="ctr" rotWithShape="0">
                  <a:srgbClr val="000000"/>
                </a:outerShdw>
              </a:effectLst>
            </c:spPr>
          </c:marker>
          <c:dLbls>
            <c:dLbl>
              <c:idx val="0"/>
              <c:layout>
                <c:manualLayout>
                  <c:x val="-2.6681036535321032E-2"/>
                  <c:y val="-5.9912854030500992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2-7E66-4A15-AD2B-E87C5A987544}"/>
                </c:ext>
              </c:extLst>
            </c:dLbl>
            <c:dLbl>
              <c:idx val="1"/>
              <c:layout>
                <c:manualLayout>
                  <c:x val="-2.1344717182497332E-2"/>
                  <c:y val="-7.625272331154674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3-7E66-4A15-AD2B-E87C5A987544}"/>
                </c:ext>
              </c:extLst>
            </c:dLbl>
            <c:dLbl>
              <c:idx val="2"/>
              <c:layout>
                <c:manualLayout>
                  <c:x val="-2.3123443614372109E-2"/>
                  <c:y val="-6.5359477124182913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4-7E66-4A15-AD2B-E87C5A987544}"/>
                </c:ext>
              </c:extLst>
            </c:dLbl>
            <c:dLbl>
              <c:idx val="3"/>
              <c:layout>
                <c:manualLayout>
                  <c:x val="-2.4902170046246886E-2"/>
                  <c:y val="-7.080652908582495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5-7E66-4A15-AD2B-E87C5A987544}"/>
                </c:ext>
              </c:extLst>
            </c:dLbl>
            <c:dLbl>
              <c:idx val="4"/>
              <c:layout>
                <c:manualLayout>
                  <c:x val="-2.4902170046246886E-2"/>
                  <c:y val="-5.4467088672739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6-7E66-4A15-AD2B-E87C5A987544}"/>
                </c:ext>
              </c:extLst>
            </c:dLbl>
            <c:dLbl>
              <c:idx val="5"/>
              <c:layout>
                <c:manualLayout>
                  <c:x val="-2.4902170046246886E-2"/>
                  <c:y val="-6.535990599214323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7-7E66-4A15-AD2B-E87C5A987544}"/>
                </c:ext>
              </c:extLst>
            </c:dLbl>
            <c:dLbl>
              <c:idx val="6"/>
              <c:layout>
                <c:manualLayout>
                  <c:x val="-2.8459622909996443E-2"/>
                  <c:y val="-7.62535810474671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8-7E66-4A15-AD2B-E87C5A987544}"/>
                </c:ext>
              </c:extLst>
            </c:dLbl>
            <c:dLbl>
              <c:idx val="7"/>
              <c:layout>
                <c:manualLayout>
                  <c:x val="-2.4902170046246886E-2"/>
                  <c:y val="-5.4467088672739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9-7E66-4A15-AD2B-E87C5A987544}"/>
                </c:ext>
              </c:extLst>
            </c:dLbl>
            <c:dLbl>
              <c:idx val="8"/>
              <c:layout>
                <c:manualLayout>
                  <c:x val="-2.3123443614372109E-2"/>
                  <c:y val="-5.991414063438148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A-7E66-4A15-AD2B-E87C5A987544}"/>
                </c:ext>
              </c:extLst>
            </c:dLbl>
            <c:dLbl>
              <c:idx val="9"/>
              <c:layout>
                <c:manualLayout>
                  <c:x val="-2.6680896478121666E-2"/>
                  <c:y val="-6.5359905992143044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B-7E66-4A15-AD2B-E87C5A987544}"/>
                </c:ext>
              </c:extLst>
            </c:dLbl>
            <c:dLbl>
              <c:idx val="10"/>
              <c:layout>
                <c:manualLayout>
                  <c:x val="-2.4521214463987091E-2"/>
                  <c:y val="-6.5359477124183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C-7E66-4A15-AD2B-E87C5A987544}"/>
                </c:ext>
              </c:extLst>
            </c:dLbl>
            <c:dLbl>
              <c:idx val="11"/>
              <c:layout>
                <c:manualLayout>
                  <c:x val="-2.4271492477527822E-2"/>
                  <c:y val="-6.5359477124183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D-7E66-4A15-AD2B-E87C5A987544}"/>
                </c:ext>
              </c:extLst>
            </c:dLbl>
            <c:dLbl>
              <c:idx val="12"/>
              <c:layout>
                <c:manualLayout>
                  <c:x val="-1.7634461914245649E-2"/>
                  <c:y val="-6.40535741855796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E-7E66-4A15-AD2B-E87C5A987544}"/>
                </c:ext>
              </c:extLst>
            </c:dLbl>
            <c:numFmt formatCode="#,##0.0" sourceLinked="0"/>
            <c:spPr>
              <a:solidFill>
                <a:schemeClr val="accent3">
                  <a:lumMod val="20000"/>
                  <a:lumOff val="80000"/>
                </a:schemeClr>
              </a:solidFill>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Cap'!$E$119:$E$131</c:f>
              <c:strCache>
                <c:ptCount val="13"/>
                <c:pt idx="0">
                  <c:v>Sep-2018</c:v>
                </c:pt>
                <c:pt idx="1">
                  <c:v>Oct-2018</c:v>
                </c:pt>
                <c:pt idx="2">
                  <c:v>Nov-2018</c:v>
                </c:pt>
                <c:pt idx="3">
                  <c:v>Dec-2018</c:v>
                </c:pt>
                <c:pt idx="4">
                  <c:v>Jan-2019</c:v>
                </c:pt>
                <c:pt idx="5">
                  <c:v>Feb-2019</c:v>
                </c:pt>
                <c:pt idx="6">
                  <c:v>Mar-2019</c:v>
                </c:pt>
                <c:pt idx="7">
                  <c:v>Apr-2019</c:v>
                </c:pt>
                <c:pt idx="8">
                  <c:v>May-2019</c:v>
                </c:pt>
                <c:pt idx="9">
                  <c:v>Jun-2019</c:v>
                </c:pt>
                <c:pt idx="10">
                  <c:v>Jul-2019</c:v>
                </c:pt>
                <c:pt idx="11">
                  <c:v>Aug-2019</c:v>
                </c:pt>
                <c:pt idx="12">
                  <c:v>Sep-2019</c:v>
                </c:pt>
              </c:strCache>
            </c:strRef>
          </c:cat>
          <c:val>
            <c:numRef>
              <c:f>'Participation in Market Cap'!$M$119:$M$131</c:f>
              <c:numCache>
                <c:formatCode>#,##0.00</c:formatCode>
                <c:ptCount val="13"/>
                <c:pt idx="0">
                  <c:v>2.8200708397418728</c:v>
                </c:pt>
                <c:pt idx="1">
                  <c:v>2.6396701607068955</c:v>
                </c:pt>
                <c:pt idx="2">
                  <c:v>1.9769559784497386</c:v>
                </c:pt>
                <c:pt idx="3">
                  <c:v>2.0376462164767157</c:v>
                </c:pt>
                <c:pt idx="4">
                  <c:v>1.6441420959230695</c:v>
                </c:pt>
                <c:pt idx="5">
                  <c:v>2.4602710060184023</c:v>
                </c:pt>
                <c:pt idx="6">
                  <c:v>2.3744332558636851</c:v>
                </c:pt>
                <c:pt idx="7">
                  <c:v>2.8284061047357869</c:v>
                </c:pt>
                <c:pt idx="8">
                  <c:v>3.46287281720921</c:v>
                </c:pt>
                <c:pt idx="9">
                  <c:v>3.4071698873099505</c:v>
                </c:pt>
                <c:pt idx="10">
                  <c:v>3.4512826206052778</c:v>
                </c:pt>
                <c:pt idx="11">
                  <c:v>3.4854088013998958</c:v>
                </c:pt>
                <c:pt idx="12">
                  <c:v>3.7666881341201739</c:v>
                </c:pt>
              </c:numCache>
            </c:numRef>
          </c:val>
          <c:smooth val="0"/>
          <c:extLst>
            <c:ext xmlns:c16="http://schemas.microsoft.com/office/drawing/2014/chart" uri="{C3380CC4-5D6E-409C-BE32-E72D297353CC}">
              <c16:uniqueId val="{0000002F-7E66-4A15-AD2B-E87C5A987544}"/>
            </c:ext>
          </c:extLst>
        </c:ser>
        <c:ser>
          <c:idx val="3"/>
          <c:order val="3"/>
          <c:tx>
            <c:strRef>
              <c:f>ANAKOINWSI!$C$13</c:f>
              <c:strCache>
                <c:ptCount val="1"/>
                <c:pt idx="0">
                  <c:v>Foreign (excl HFSF)</c:v>
                </c:pt>
              </c:strCache>
            </c:strRef>
          </c:tx>
          <c:spPr>
            <a:ln>
              <a:solidFill>
                <a:srgbClr val="FF0000"/>
              </a:solidFill>
              <a:prstDash val="solid"/>
            </a:ln>
          </c:spPr>
          <c:marker>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marker>
          <c:dLbls>
            <c:dLbl>
              <c:idx val="0"/>
              <c:layout>
                <c:manualLayout>
                  <c:x val="-2.6680896478121666E-2"/>
                  <c:y val="-5.991328289846122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0-7E66-4A15-AD2B-E87C5A987544}"/>
                </c:ext>
              </c:extLst>
            </c:dLbl>
            <c:dLbl>
              <c:idx val="1"/>
              <c:layout>
                <c:manualLayout>
                  <c:x val="-3.3795802205620777E-2"/>
                  <c:y val="-5.4466230936819224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1-7E66-4A15-AD2B-E87C5A987544}"/>
                </c:ext>
              </c:extLst>
            </c:dLbl>
            <c:dLbl>
              <c:idx val="2"/>
              <c:layout>
                <c:manualLayout>
                  <c:x val="-2.6680896478121666E-2"/>
                  <c:y val="-5.4466659804779306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2-7E66-4A15-AD2B-E87C5A987544}"/>
                </c:ext>
              </c:extLst>
            </c:dLbl>
            <c:dLbl>
              <c:idx val="3"/>
              <c:layout>
                <c:manualLayout>
                  <c:x val="-3.023834934187122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3-7E66-4A15-AD2B-E87C5A987544}"/>
                </c:ext>
              </c:extLst>
            </c:dLbl>
            <c:dLbl>
              <c:idx val="4"/>
              <c:layout>
                <c:manualLayout>
                  <c:x val="-3.2017075773745997E-2"/>
                  <c:y val="-5.446623093681914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4-7E66-4A15-AD2B-E87C5A987544}"/>
                </c:ext>
              </c:extLst>
            </c:dLbl>
            <c:dLbl>
              <c:idx val="5"/>
              <c:layout>
                <c:manualLayout>
                  <c:x val="-3.2017075773745997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5-7E66-4A15-AD2B-E87C5A987544}"/>
                </c:ext>
              </c:extLst>
            </c:dLbl>
            <c:dLbl>
              <c:idx val="6"/>
              <c:layout>
                <c:manualLayout>
                  <c:x val="-3.2017075773745997E-2"/>
                  <c:y val="-4.9019607843137254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6-7E66-4A15-AD2B-E87C5A987544}"/>
                </c:ext>
              </c:extLst>
            </c:dLbl>
            <c:dLbl>
              <c:idx val="7"/>
              <c:layout>
                <c:manualLayout>
                  <c:x val="-3.2017075773745997E-2"/>
                  <c:y val="-5.991285403050108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7-7E66-4A15-AD2B-E87C5A987544}"/>
                </c:ext>
              </c:extLst>
            </c:dLbl>
            <c:dLbl>
              <c:idx val="8"/>
              <c:layout>
                <c:manualLayout>
                  <c:x val="-3.023834934187122E-2"/>
                  <c:y val="-5.4466230936819175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8-7E66-4A15-AD2B-E87C5A987544}"/>
                </c:ext>
              </c:extLst>
            </c:dLbl>
            <c:dLbl>
              <c:idx val="9"/>
              <c:layout>
                <c:manualLayout>
                  <c:x val="-2.8459622909996443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9-7E66-4A15-AD2B-E87C5A987544}"/>
                </c:ext>
              </c:extLst>
            </c:dLbl>
            <c:dLbl>
              <c:idx val="10"/>
              <c:layout>
                <c:manualLayout>
                  <c:x val="-3.0546009927453228E-2"/>
                  <c:y val="-6.535947712418301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A-7E66-4A15-AD2B-E87C5A987544}"/>
                </c:ext>
              </c:extLst>
            </c:dLbl>
            <c:dLbl>
              <c:idx val="11"/>
              <c:layout>
                <c:manualLayout>
                  <c:x val="-3.0937234766678711E-2"/>
                  <c:y val="-6.535947712418301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B-7E66-4A15-AD2B-E87C5A987544}"/>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'Participation in Market Cap'!$E$119:$E$131</c:f>
              <c:strCache>
                <c:ptCount val="13"/>
                <c:pt idx="0">
                  <c:v>Sep-2018</c:v>
                </c:pt>
                <c:pt idx="1">
                  <c:v>Oct-2018</c:v>
                </c:pt>
                <c:pt idx="2">
                  <c:v>Nov-2018</c:v>
                </c:pt>
                <c:pt idx="3">
                  <c:v>Dec-2018</c:v>
                </c:pt>
                <c:pt idx="4">
                  <c:v>Jan-2019</c:v>
                </c:pt>
                <c:pt idx="5">
                  <c:v>Feb-2019</c:v>
                </c:pt>
                <c:pt idx="6">
                  <c:v>Mar-2019</c:v>
                </c:pt>
                <c:pt idx="7">
                  <c:v>Apr-2019</c:v>
                </c:pt>
                <c:pt idx="8">
                  <c:v>May-2019</c:v>
                </c:pt>
                <c:pt idx="9">
                  <c:v>Jun-2019</c:v>
                </c:pt>
                <c:pt idx="10">
                  <c:v>Jul-2019</c:v>
                </c:pt>
                <c:pt idx="11">
                  <c:v>Aug-2019</c:v>
                </c:pt>
                <c:pt idx="12">
                  <c:v>Sep-2019</c:v>
                </c:pt>
              </c:strCache>
            </c:strRef>
          </c:cat>
          <c:val>
            <c:numRef>
              <c:f>'Participation in Market Cap'!$K$120:$K$131</c:f>
              <c:numCache>
                <c:formatCode>#,##0.00</c:formatCode>
                <c:ptCount val="12"/>
                <c:pt idx="0">
                  <c:v>65.522197836984418</c:v>
                </c:pt>
                <c:pt idx="1">
                  <c:v>65.116781250256935</c:v>
                </c:pt>
                <c:pt idx="2">
                  <c:v>64.575455656544349</c:v>
                </c:pt>
                <c:pt idx="3">
                  <c:v>64.820437251175207</c:v>
                </c:pt>
                <c:pt idx="4">
                  <c:v>65.516095341785771</c:v>
                </c:pt>
                <c:pt idx="5">
                  <c:v>65.567179047192681</c:v>
                </c:pt>
                <c:pt idx="6">
                  <c:v>66.047668275206433</c:v>
                </c:pt>
                <c:pt idx="7">
                  <c:v>67.539697856420958</c:v>
                </c:pt>
                <c:pt idx="8">
                  <c:v>66.984119861027679</c:v>
                </c:pt>
                <c:pt idx="9">
                  <c:v>67.950050743906459</c:v>
                </c:pt>
                <c:pt idx="10">
                  <c:v>67.86195636079745</c:v>
                </c:pt>
                <c:pt idx="11">
                  <c:v>67.208097919752831</c:v>
                </c:pt>
              </c:numCache>
            </c:numRef>
          </c:val>
          <c:smooth val="0"/>
          <c:extLst>
            <c:ext xmlns:c16="http://schemas.microsoft.com/office/drawing/2014/chart" uri="{C3380CC4-5D6E-409C-BE32-E72D297353CC}">
              <c16:uniqueId val="{0000003C-7E66-4A15-AD2B-E87C5A987544}"/>
            </c:ext>
          </c:extLst>
        </c:ser>
        <c:dLbls>
          <c:showLegendKey val="0"/>
          <c:showVal val="0"/>
          <c:showCatName val="0"/>
          <c:showSerName val="0"/>
          <c:showPercent val="0"/>
          <c:showBubbleSize val="0"/>
        </c:dLbls>
        <c:marker val="1"/>
        <c:smooth val="0"/>
        <c:axId val="765674936"/>
        <c:axId val="1"/>
      </c:lineChart>
      <c:catAx>
        <c:axId val="765674936"/>
        <c:scaling>
          <c:orientation val="minMax"/>
        </c:scaling>
        <c:delete val="0"/>
        <c:axPos val="b"/>
        <c:numFmt formatCode="mmm\-yy"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5"/>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65674936"/>
        <c:crosses val="autoZero"/>
        <c:crossBetween val="between"/>
        <c:majorUnit val="10"/>
      </c:valAx>
      <c:spPr>
        <a:solidFill>
          <a:srgbClr val="FFFFFF"/>
        </a:solidFill>
        <a:ln w="3175">
          <a:solidFill>
            <a:srgbClr val="7A89B0"/>
          </a:solidFill>
          <a:prstDash val="solid"/>
        </a:ln>
      </c:spPr>
    </c:plotArea>
    <c:legend>
      <c:legendPos val="r"/>
      <c:layout>
        <c:manualLayout>
          <c:xMode val="edge"/>
          <c:yMode val="edge"/>
          <c:x val="3.5616438356164383E-2"/>
          <c:y val="0.14705916662377985"/>
          <c:w val="0.51643864379966198"/>
          <c:h val="5.2287924793714496E-2"/>
        </c:manualLayout>
      </c:layout>
      <c:overlay val="0"/>
      <c:spPr>
        <a:noFill/>
        <a:ln w="25400">
          <a:noFill/>
        </a:ln>
      </c:spPr>
      <c:txPr>
        <a:bodyPr/>
        <a:lstStyle/>
        <a:p>
          <a:pPr>
            <a:defRPr sz="690" b="1" i="0" u="none" strike="noStrike" baseline="0">
              <a:solidFill>
                <a:srgbClr val="000000"/>
              </a:solidFill>
              <a:latin typeface="Arial" panose="020B0604020202020204" pitchFamily="34" charset="0"/>
              <a:ea typeface="Calibri"/>
              <a:cs typeface="Arial" panose="020B0604020202020204" pitchFamily="34" charset="0"/>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userSelected"/>
</file>

<file path=customXml/itemProps1.xml><?xml version="1.0" encoding="utf-8"?>
<ds:datastoreItem xmlns:ds="http://schemas.openxmlformats.org/officeDocument/2006/customXml" ds:itemID="{8623A03A-F1A2-4798-AB7D-C23C9B7E84C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1028</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5</cp:revision>
  <cp:lastPrinted>2016-03-04T12:56:00Z</cp:lastPrinted>
  <dcterms:created xsi:type="dcterms:W3CDTF">2019-10-04T09:27:00Z</dcterms:created>
  <dcterms:modified xsi:type="dcterms:W3CDTF">2019-10-04T11:11:00Z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cc9a61cd-8e94-4555-a7ad-1c9956ff039f</vt:lpwstr>
  </property>
  <property fmtid="{D5CDD505-2E9C-101B-9397-08002B2CF9AE}" pid="3" name="bjSaver">
    <vt:lpwstr>59R3sZNEEto3sNR6WPwbplIweadDziyk</vt:lpwstr>
  </property>
  <property fmtid="{D5CDD505-2E9C-101B-9397-08002B2CF9AE}" pid="4" name="bjDocumentSecurityLabel">
    <vt:lpwstr>No Marking</vt:lpwstr>
  </property>
</Properties>
</file>