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6708" w:rsidRPr="00F83134" w:rsidRDefault="00CB2B0C" w:rsidP="00820504">
      <w:pPr>
        <w:pStyle w:val="DateNew"/>
      </w:pPr>
      <w:r>
        <w:t>1</w:t>
      </w:r>
      <w:r w:rsidR="00F83134">
        <w:t>5</w:t>
      </w:r>
      <w:r w:rsidR="00EF30E5" w:rsidRPr="00EE6C63">
        <w:t xml:space="preserve"> </w:t>
      </w:r>
      <w:r w:rsidR="00CB6708" w:rsidRPr="00EE6C63">
        <w:rPr>
          <w:noProof/>
          <w:lang w:val="en-GB" w:eastAsia="en-GB"/>
        </w:rPr>
        <mc:AlternateContent>
          <mc:Choice Requires="wps">
            <w:drawing>
              <wp:anchor distT="0" distB="0" distL="114300" distR="114300" simplePos="0" relativeHeight="251657216" behindDoc="0" locked="0" layoutInCell="1" allowOverlap="1" wp14:anchorId="275B5F74" wp14:editId="7769BB15">
                <wp:simplePos x="0" y="0"/>
                <wp:positionH relativeFrom="column">
                  <wp:posOffset>3282646</wp:posOffset>
                </wp:positionH>
                <wp:positionV relativeFrom="paragraph">
                  <wp:posOffset>-516255</wp:posOffset>
                </wp:positionV>
                <wp:extent cx="2125980"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17098" w:rsidRPr="00CB6708" w:rsidRDefault="00517098" w:rsidP="00035040">
                            <w:pPr>
                              <w:pStyle w:val="Subtitle"/>
                            </w:pPr>
                            <w:r>
                              <w:t>Ανακοίνωση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5B5F74" id="_x0000_t202" coordsize="21600,21600" o:spt="202" path="m,l,21600r21600,l21600,xe">
                <v:stroke joinstyle="miter"/>
                <v:path gradientshapeok="t" o:connecttype="rect"/>
              </v:shapetype>
              <v:shape id="Text Box 1" o:spid="_x0000_s1026" type="#_x0000_t202" style="position:absolute;left:0;text-align:left;margin-left:258.5pt;margin-top:-40.65pt;width:167.4pt;height:40.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" filled="f" stroked="f" strokeweight=".5pt">
                <v:textbox>
                  <w:txbxContent>
                    <w:p w:rsidR="00517098" w:rsidRPr="00CB6708" w:rsidRDefault="00517098" w:rsidP="00035040">
                      <w:pPr>
                        <w:pStyle w:val="Subtitle"/>
                      </w:pPr>
                      <w:r>
                        <w:t>Ανακοίνωση</w:t>
                      </w:r>
                    </w:p>
                  </w:txbxContent>
                </v:textbox>
              </v:shape>
            </w:pict>
          </mc:Fallback>
        </mc:AlternateContent>
      </w:r>
      <w:r w:rsidR="00F83134">
        <w:t>Απριλίου</w:t>
      </w:r>
      <w:r>
        <w:t xml:space="preserve"> </w:t>
      </w:r>
      <w:r w:rsidR="00230968">
        <w:t>2021</w:t>
      </w:r>
    </w:p>
    <w:p w:rsidR="00CB6708" w:rsidRPr="00B22439" w:rsidRDefault="00EF30E5" w:rsidP="00BF074E">
      <w:pPr>
        <w:pStyle w:val="Title"/>
      </w:pPr>
      <w:r w:rsidRPr="00EF30E5">
        <w:t>Μηνι</w:t>
      </w:r>
      <w:bookmarkStart w:id="0" w:name="_GoBack"/>
      <w:bookmarkEnd w:id="0"/>
      <w:r w:rsidRPr="00EF30E5">
        <w:t xml:space="preserve">αία Έκδοση </w:t>
      </w:r>
      <w:r w:rsidRPr="00EF30E5">
        <w:rPr>
          <w:lang w:val="en-US"/>
        </w:rPr>
        <w:t>A</w:t>
      </w:r>
      <w:r w:rsidRPr="00EF30E5">
        <w:t>ξ</w:t>
      </w:r>
      <w:r w:rsidRPr="00EF30E5">
        <w:rPr>
          <w:lang w:val="en-US"/>
        </w:rPr>
        <w:t>IAnumbers</w:t>
      </w:r>
      <w:r w:rsidRPr="00EF30E5">
        <w:t xml:space="preserve"> </w:t>
      </w:r>
    </w:p>
    <w:p w:rsidR="00BA75A9" w:rsidRPr="00F80084" w:rsidRDefault="00BA75A9" w:rsidP="00517098">
      <w:pPr>
        <w:rPr>
          <w:rFonts w:ascii="Arial" w:hAnsi="Arial" w:cs="Arial"/>
          <w:color w:val="222222"/>
          <w:sz w:val="20"/>
          <w:szCs w:val="20"/>
        </w:rPr>
      </w:pPr>
      <w:r w:rsidRPr="00F80084">
        <w:rPr>
          <w:rFonts w:ascii="Arial" w:hAnsi="Arial" w:cs="Arial"/>
          <w:color w:val="222222"/>
          <w:sz w:val="20"/>
          <w:szCs w:val="20"/>
        </w:rPr>
        <w:t>Ανοδικά κινήθηκε το Χρηματιστήριο Αθηνών κατά το μήνα Μάρτιο.</w:t>
      </w:r>
    </w:p>
    <w:p w:rsidR="00BA75A9" w:rsidRPr="00F80084" w:rsidRDefault="00BA75A9" w:rsidP="00517098">
      <w:pPr>
        <w:rPr>
          <w:rFonts w:ascii="Arial" w:hAnsi="Arial" w:cs="Arial"/>
          <w:color w:val="222222"/>
          <w:sz w:val="20"/>
          <w:szCs w:val="20"/>
        </w:rPr>
      </w:pPr>
      <w:r w:rsidRPr="00F80084">
        <w:rPr>
          <w:rFonts w:ascii="Arial" w:hAnsi="Arial" w:cs="Arial"/>
          <w:color w:val="222222"/>
          <w:sz w:val="20"/>
          <w:szCs w:val="20"/>
        </w:rPr>
        <w:t>Συγκεκριμένα, σημειώθηκε αύξηση της κεφαλαιοποίησης κατά 8,2%, η οποία αντικατοπτρίστηκε και στο Γενικό Δείκτη, που αυξήθηκε κατά 9,17% σε σχέση με το τέλος Φεβρουαρίου.</w:t>
      </w:r>
    </w:p>
    <w:p w:rsidR="00BA75A9" w:rsidRPr="00F80084" w:rsidRDefault="00BA75A9" w:rsidP="00517098">
      <w:pPr>
        <w:rPr>
          <w:rFonts w:ascii="Arial" w:hAnsi="Arial" w:cs="Arial"/>
          <w:color w:val="222222"/>
          <w:sz w:val="20"/>
          <w:szCs w:val="20"/>
        </w:rPr>
      </w:pPr>
      <w:r w:rsidRPr="00F80084">
        <w:rPr>
          <w:rFonts w:ascii="Arial" w:hAnsi="Arial" w:cs="Arial"/>
          <w:color w:val="222222"/>
          <w:sz w:val="20"/>
          <w:szCs w:val="20"/>
        </w:rPr>
        <w:t xml:space="preserve">Σημαντική άνοδος παρουσιάστηκε και στην αξία συναλλαγών, </w:t>
      </w:r>
      <w:r w:rsidR="00F80084" w:rsidRPr="00F80084">
        <w:rPr>
          <w:rFonts w:ascii="Arial" w:hAnsi="Arial" w:cs="Arial"/>
          <w:color w:val="222222"/>
          <w:sz w:val="20"/>
          <w:szCs w:val="20"/>
        </w:rPr>
        <w:t>η οποία</w:t>
      </w:r>
      <w:r w:rsidR="00F80084">
        <w:rPr>
          <w:rFonts w:ascii="Arial" w:hAnsi="Arial" w:cs="Arial"/>
          <w:color w:val="222222"/>
          <w:sz w:val="20"/>
          <w:szCs w:val="20"/>
        </w:rPr>
        <w:t xml:space="preserve"> έφτασε</w:t>
      </w:r>
      <w:r w:rsidR="00F80084" w:rsidRPr="00F80084">
        <w:rPr>
          <w:rFonts w:ascii="Arial" w:hAnsi="Arial" w:cs="Arial"/>
          <w:color w:val="222222"/>
          <w:sz w:val="20"/>
          <w:szCs w:val="20"/>
        </w:rPr>
        <w:t xml:space="preserve"> στα υψηλότερα επίπεδα από τον Μάιο του 2019.</w:t>
      </w:r>
    </w:p>
    <w:p w:rsidR="00517098" w:rsidRDefault="00BA75A9" w:rsidP="00F80084">
      <w:pPr>
        <w:rPr>
          <w:rFonts w:ascii="Arial" w:hAnsi="Arial" w:cs="Arial"/>
          <w:color w:val="222222"/>
          <w:sz w:val="20"/>
          <w:szCs w:val="20"/>
        </w:rPr>
      </w:pPr>
      <w:r w:rsidRPr="00F80084">
        <w:rPr>
          <w:rFonts w:ascii="Arial" w:hAnsi="Arial" w:cs="Arial"/>
          <w:color w:val="222222"/>
          <w:sz w:val="20"/>
          <w:szCs w:val="20"/>
        </w:rPr>
        <w:t xml:space="preserve">Σύμφωνα με τα στοιχεία του </w:t>
      </w:r>
      <w:r w:rsidRPr="00F80084">
        <w:rPr>
          <w:rFonts w:ascii="Arial" w:hAnsi="Arial" w:cs="Arial"/>
          <w:color w:val="222222"/>
          <w:sz w:val="20"/>
          <w:szCs w:val="20"/>
          <w:lang w:val="en-US"/>
        </w:rPr>
        <w:t>AXIA</w:t>
      </w:r>
      <w:r w:rsidRPr="00F80084">
        <w:rPr>
          <w:rFonts w:ascii="Arial" w:hAnsi="Arial" w:cs="Arial"/>
          <w:color w:val="222222"/>
          <w:sz w:val="20"/>
          <w:szCs w:val="20"/>
        </w:rPr>
        <w:t xml:space="preserve"> </w:t>
      </w:r>
      <w:r w:rsidRPr="00F80084">
        <w:rPr>
          <w:rFonts w:ascii="Arial" w:hAnsi="Arial" w:cs="Arial"/>
          <w:color w:val="222222"/>
          <w:sz w:val="20"/>
          <w:szCs w:val="20"/>
          <w:lang w:val="en-US"/>
        </w:rPr>
        <w:t>Numbers</w:t>
      </w:r>
      <w:r w:rsidRPr="00F80084">
        <w:rPr>
          <w:rFonts w:ascii="Arial" w:hAnsi="Arial" w:cs="Arial"/>
          <w:color w:val="222222"/>
          <w:sz w:val="20"/>
          <w:szCs w:val="20"/>
        </w:rPr>
        <w:t xml:space="preserve"> Μαρτίου 2021, </w:t>
      </w:r>
      <w:r w:rsidR="00F80084" w:rsidRPr="00F80084">
        <w:rPr>
          <w:rFonts w:ascii="Arial" w:hAnsi="Arial" w:cs="Arial"/>
          <w:color w:val="222222"/>
          <w:sz w:val="20"/>
          <w:szCs w:val="20"/>
        </w:rPr>
        <w:t>οι ξένοι επενδυτές εμφάνισαν εκροές ύψους €55,2 εκατ., ενώ οι Έλληνες επενδυτές εισροές €55,2 εκατ.</w:t>
      </w:r>
    </w:p>
    <w:p w:rsidR="00517098" w:rsidRPr="001A2D26" w:rsidRDefault="00517098" w:rsidP="00517098">
      <w:pPr>
        <w:rPr>
          <w:rFonts w:ascii="Arial" w:hAnsi="Arial" w:cs="Arial"/>
          <w:color w:val="222222"/>
          <w:sz w:val="20"/>
          <w:szCs w:val="20"/>
        </w:rPr>
      </w:pPr>
      <w:r>
        <w:rPr>
          <w:rFonts w:ascii="Arial" w:hAnsi="Arial" w:cs="Arial"/>
          <w:color w:val="222222"/>
          <w:sz w:val="20"/>
          <w:szCs w:val="20"/>
        </w:rPr>
        <w:t> Ειδικότερα, η εικόνα της χρημα</w:t>
      </w:r>
      <w:r w:rsidR="003263B8">
        <w:rPr>
          <w:rFonts w:ascii="Arial" w:hAnsi="Arial" w:cs="Arial"/>
          <w:color w:val="222222"/>
          <w:sz w:val="20"/>
          <w:szCs w:val="20"/>
        </w:rPr>
        <w:t xml:space="preserve">τιστηριακής αγοράς </w:t>
      </w:r>
      <w:r w:rsidR="00D64EE2">
        <w:rPr>
          <w:rFonts w:ascii="Arial" w:hAnsi="Arial" w:cs="Arial"/>
          <w:color w:val="222222"/>
          <w:sz w:val="20"/>
          <w:szCs w:val="20"/>
        </w:rPr>
        <w:t>για το</w:t>
      </w:r>
      <w:r w:rsidR="003263B8">
        <w:rPr>
          <w:rFonts w:ascii="Arial" w:hAnsi="Arial" w:cs="Arial"/>
          <w:color w:val="222222"/>
          <w:sz w:val="20"/>
          <w:szCs w:val="20"/>
        </w:rPr>
        <w:t xml:space="preserve"> μήνα</w:t>
      </w:r>
      <w:r>
        <w:rPr>
          <w:rFonts w:ascii="Arial" w:hAnsi="Arial" w:cs="Arial"/>
          <w:color w:val="222222"/>
          <w:sz w:val="20"/>
          <w:szCs w:val="20"/>
        </w:rPr>
        <w:t xml:space="preserve"> διαμορφώθηκε ως εξής:</w:t>
      </w:r>
    </w:p>
    <w:p w:rsidR="0072053C" w:rsidRPr="00AC612F" w:rsidRDefault="002D0B28" w:rsidP="00E050A6">
      <w:r w:rsidRPr="00C13498">
        <w:rPr>
          <w:b/>
        </w:rPr>
        <w:t xml:space="preserve">Η Αξία Συναλλαγών του </w:t>
      </w:r>
      <w:r w:rsidR="00F83134" w:rsidRPr="00F83134">
        <w:rPr>
          <w:b/>
        </w:rPr>
        <w:t>Μαρτίου 2021</w:t>
      </w:r>
      <w:r w:rsidR="00B8420B" w:rsidRPr="00B8420B">
        <w:t xml:space="preserve"> </w:t>
      </w:r>
      <w:r w:rsidRPr="00C13498">
        <w:rPr>
          <w:b/>
        </w:rPr>
        <w:t>έφτασε τα</w:t>
      </w:r>
      <w:r w:rsidRPr="002D0B28">
        <w:t xml:space="preserve"> </w:t>
      </w:r>
      <w:r w:rsidRPr="00140E03">
        <w:rPr>
          <w:b/>
        </w:rPr>
        <w:t>€</w:t>
      </w:r>
      <w:r w:rsidR="00F83134" w:rsidRPr="00F83134">
        <w:rPr>
          <w:b/>
        </w:rPr>
        <w:t>2.093,64</w:t>
      </w:r>
      <w:r w:rsidR="00D050AA" w:rsidRPr="00D050AA">
        <w:rPr>
          <w:b/>
        </w:rPr>
        <w:t xml:space="preserve"> </w:t>
      </w:r>
      <w:r w:rsidRPr="00F03EFC">
        <w:rPr>
          <w:b/>
        </w:rPr>
        <w:t>εκατ.</w:t>
      </w:r>
      <w:r w:rsidRPr="002D0B28">
        <w:t xml:space="preserve"> (</w:t>
      </w:r>
      <w:r w:rsidRPr="007255EF">
        <w:rPr>
          <w:i/>
        </w:rPr>
        <w:t>βλ.</w:t>
      </w:r>
      <w:r w:rsidRPr="002D0B28">
        <w:t xml:space="preserve"> </w:t>
      </w:r>
      <w:r w:rsidRPr="007255EF">
        <w:rPr>
          <w:i/>
        </w:rPr>
        <w:t>γράφημα 1</w:t>
      </w:r>
      <w:r w:rsidRPr="002D0B28">
        <w:t xml:space="preserve">) σημειώνοντας </w:t>
      </w:r>
      <w:r w:rsidR="00F83134" w:rsidRPr="00F83134">
        <w:t>άνοδο</w:t>
      </w:r>
      <w:r w:rsidR="00D22DA8" w:rsidRPr="00C13498">
        <w:t xml:space="preserve"> </w:t>
      </w:r>
      <w:r w:rsidRPr="00C13498">
        <w:t xml:space="preserve">κατά </w:t>
      </w:r>
      <w:r w:rsidR="00F83134" w:rsidRPr="00F83134">
        <w:t>80,0%</w:t>
      </w:r>
      <w:r w:rsidR="001C6047" w:rsidRPr="001C6047">
        <w:rPr>
          <w:b/>
        </w:rPr>
        <w:t xml:space="preserve"> </w:t>
      </w:r>
      <w:r w:rsidRPr="002D0B28">
        <w:t>από τη συναλλακτική δραστηριότητα του προηγούμενου μήνα που ήταν €</w:t>
      </w:r>
      <w:r w:rsidR="00F83134" w:rsidRPr="00F83134">
        <w:t>1.163,12</w:t>
      </w:r>
      <w:r w:rsidRPr="002D0B28">
        <w:t xml:space="preserve"> εκατ. Σε σχέση με τον </w:t>
      </w:r>
      <w:r w:rsidR="00F83134" w:rsidRPr="00F83134">
        <w:t>Μάρτιο του 2020</w:t>
      </w:r>
      <w:r w:rsidR="00421DB2" w:rsidRPr="00421DB2">
        <w:t xml:space="preserve"> </w:t>
      </w:r>
      <w:r w:rsidRPr="002D0B28">
        <w:t>που η αξία συναλλαγών ήταν €</w:t>
      </w:r>
      <w:r w:rsidR="00F83134" w:rsidRPr="00F83134">
        <w:t>1.822,71</w:t>
      </w:r>
      <w:r w:rsidR="00AC612F" w:rsidRPr="00AC612F">
        <w:t xml:space="preserve"> </w:t>
      </w:r>
      <w:r w:rsidRPr="002D0B28">
        <w:t xml:space="preserve">εκατ., σημειώθηκε </w:t>
      </w:r>
      <w:r w:rsidR="00F83134" w:rsidRPr="00F83134">
        <w:t>άνοδο</w:t>
      </w:r>
      <w:r w:rsidR="0004074A">
        <w:t>ς</w:t>
      </w:r>
      <w:r w:rsidR="00AC612F" w:rsidRPr="00AC612F">
        <w:t xml:space="preserve"> </w:t>
      </w:r>
      <w:r w:rsidRPr="002D0B28">
        <w:t xml:space="preserve">της τάξης του </w:t>
      </w:r>
      <w:r w:rsidR="00F83134" w:rsidRPr="00F83134">
        <w:t>14,9%</w:t>
      </w:r>
      <w:r w:rsidR="00AC612F" w:rsidRPr="00AC612F">
        <w:t>.</w:t>
      </w:r>
    </w:p>
    <w:p w:rsidR="00316161" w:rsidRDefault="00F83134" w:rsidP="004C3373">
      <w:pPr>
        <w:jc w:val="center"/>
        <w:rPr>
          <w:rFonts w:ascii="Calibri" w:hAnsi="Calibri" w:cs="Tahoma"/>
          <w:bCs/>
          <w:noProof/>
          <w:lang w:eastAsia="el-GR"/>
        </w:rPr>
      </w:pPr>
      <w:r>
        <w:rPr>
          <w:noProof/>
          <w:lang w:val="en-GB" w:eastAsia="en-GB"/>
        </w:rPr>
        <w:drawing>
          <wp:inline distT="0" distB="0" distL="0" distR="0" wp14:anchorId="6F9CD3AF" wp14:editId="7C4BF686">
            <wp:extent cx="5314950" cy="1296670"/>
            <wp:effectExtent l="57150" t="57150" r="95250" b="11303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850E08" w:rsidRPr="007255EF" w:rsidRDefault="002D0B28" w:rsidP="00B33500">
      <w:pPr>
        <w:jc w:val="center"/>
        <w:rPr>
          <w:rFonts w:ascii="Calibri" w:hAnsi="Calibri"/>
          <w:b/>
          <w:i/>
          <w:sz w:val="18"/>
          <w:szCs w:val="18"/>
        </w:rPr>
      </w:pPr>
      <w:r w:rsidRPr="005C03B8">
        <w:rPr>
          <w:rFonts w:ascii="Calibri" w:hAnsi="Calibri"/>
          <w:i/>
          <w:sz w:val="18"/>
          <w:szCs w:val="18"/>
        </w:rPr>
        <w:t xml:space="preserve">Γράφημα </w:t>
      </w:r>
      <w:r w:rsidRPr="005C03B8">
        <w:rPr>
          <w:rFonts w:ascii="Calibri" w:hAnsi="Calibri"/>
          <w:i/>
          <w:sz w:val="18"/>
          <w:szCs w:val="18"/>
        </w:rPr>
        <w:fldChar w:fldCharType="begin"/>
      </w:r>
      <w:r w:rsidRPr="005C03B8">
        <w:rPr>
          <w:rFonts w:ascii="Calibri" w:hAnsi="Calibri"/>
          <w:i/>
          <w:sz w:val="18"/>
          <w:szCs w:val="18"/>
        </w:rPr>
        <w:instrText xml:space="preserve"> SEQ Γράφημα \* ARABIC </w:instrText>
      </w:r>
      <w:r w:rsidRPr="005C03B8">
        <w:rPr>
          <w:rFonts w:ascii="Calibri" w:hAnsi="Calibri"/>
          <w:i/>
          <w:sz w:val="18"/>
          <w:szCs w:val="18"/>
        </w:rPr>
        <w:fldChar w:fldCharType="separate"/>
      </w:r>
      <w:r w:rsidR="004837D7">
        <w:rPr>
          <w:rFonts w:ascii="Calibri" w:hAnsi="Calibri"/>
          <w:i/>
          <w:noProof/>
          <w:sz w:val="18"/>
          <w:szCs w:val="18"/>
        </w:rPr>
        <w:t>1</w:t>
      </w:r>
      <w:r w:rsidRPr="005C03B8">
        <w:rPr>
          <w:rFonts w:ascii="Calibri" w:hAnsi="Calibri"/>
          <w:i/>
          <w:sz w:val="18"/>
          <w:szCs w:val="18"/>
        </w:rPr>
        <w:fldChar w:fldCharType="end"/>
      </w:r>
    </w:p>
    <w:p w:rsidR="000A7047" w:rsidRDefault="000A7047">
      <w:pPr>
        <w:jc w:val="left"/>
        <w:rPr>
          <w:rFonts w:ascii="Calibri" w:hAnsi="Calibri" w:cs="Tahoma"/>
          <w:b/>
          <w:bCs/>
        </w:rPr>
      </w:pPr>
      <w:r>
        <w:rPr>
          <w:rFonts w:ascii="Calibri" w:hAnsi="Calibri" w:cs="Tahoma"/>
          <w:b/>
          <w:bCs/>
        </w:rPr>
        <w:br w:type="page"/>
      </w:r>
    </w:p>
    <w:p w:rsidR="000A7047" w:rsidRDefault="000A7047" w:rsidP="002D0B28">
      <w:pPr>
        <w:spacing w:before="120" w:after="120"/>
        <w:rPr>
          <w:rFonts w:ascii="Calibri" w:hAnsi="Calibri" w:cs="Tahoma"/>
          <w:b/>
          <w:bCs/>
        </w:rPr>
        <w:sectPr w:rsidR="000A7047" w:rsidSect="00A7436B">
          <w:headerReference w:type="default" r:id="rId10"/>
          <w:footerReference w:type="default" r:id="rId11"/>
          <w:pgSz w:w="11906" w:h="16838"/>
          <w:pgMar w:top="3240" w:right="1736" w:bottom="1530" w:left="1800" w:header="993" w:footer="529" w:gutter="0"/>
          <w:cols w:space="708"/>
          <w:docGrid w:linePitch="360"/>
        </w:sectPr>
      </w:pPr>
    </w:p>
    <w:p w:rsidR="002D0B28" w:rsidRPr="002A7B11" w:rsidRDefault="002D0B28" w:rsidP="002D0B28">
      <w:pPr>
        <w:spacing w:before="120" w:after="120"/>
        <w:rPr>
          <w:rFonts w:ascii="Calibri" w:hAnsi="Calibri" w:cs="Tahoma"/>
          <w:bCs/>
        </w:rPr>
      </w:pPr>
      <w:r w:rsidRPr="000A7047">
        <w:rPr>
          <w:rFonts w:ascii="Calibri" w:hAnsi="Calibri" w:cs="Tahoma"/>
          <w:b/>
          <w:bCs/>
        </w:rPr>
        <w:lastRenderedPageBreak/>
        <w:t>Η Κεφαλαιοποίηση</w:t>
      </w:r>
      <w:r w:rsidRPr="00F31B28">
        <w:rPr>
          <w:rFonts w:ascii="Calibri" w:hAnsi="Calibri" w:cs="Tahoma"/>
          <w:b/>
          <w:bCs/>
        </w:rPr>
        <w:t xml:space="preserve"> του Χ</w:t>
      </w:r>
      <w:r w:rsidR="00C20202">
        <w:rPr>
          <w:rFonts w:ascii="Calibri" w:hAnsi="Calibri" w:cs="Tahoma"/>
          <w:b/>
          <w:bCs/>
        </w:rPr>
        <w:t xml:space="preserve">ρηματιστηρίου </w:t>
      </w:r>
      <w:r w:rsidRPr="00F31B28">
        <w:rPr>
          <w:rFonts w:ascii="Calibri" w:hAnsi="Calibri" w:cs="Tahoma"/>
          <w:b/>
          <w:bCs/>
        </w:rPr>
        <w:t>Α</w:t>
      </w:r>
      <w:r w:rsidR="00C20202">
        <w:rPr>
          <w:rFonts w:ascii="Calibri" w:hAnsi="Calibri" w:cs="Tahoma"/>
          <w:b/>
          <w:bCs/>
        </w:rPr>
        <w:t>θηνών (</w:t>
      </w:r>
      <w:r w:rsidR="00C20202">
        <w:rPr>
          <w:rFonts w:ascii="Calibri" w:hAnsi="Calibri" w:cs="Tahoma"/>
          <w:b/>
          <w:bCs/>
          <w:lang w:val="en-GB"/>
        </w:rPr>
        <w:t>ATHEX</w:t>
      </w:r>
      <w:r w:rsidR="00C20202" w:rsidRPr="00C20202">
        <w:rPr>
          <w:rFonts w:ascii="Calibri" w:hAnsi="Calibri" w:cs="Tahoma"/>
          <w:b/>
          <w:bCs/>
        </w:rPr>
        <w:t xml:space="preserve">) </w:t>
      </w:r>
      <w:r>
        <w:rPr>
          <w:rFonts w:ascii="Calibri" w:hAnsi="Calibri" w:cs="Tahoma"/>
          <w:bCs/>
        </w:rPr>
        <w:t>στο τέλος του μήνα</w:t>
      </w:r>
      <w:r w:rsidRPr="00F31B28">
        <w:rPr>
          <w:rFonts w:ascii="Calibri" w:hAnsi="Calibri" w:cs="Tahoma"/>
          <w:bCs/>
        </w:rPr>
        <w:t xml:space="preserve"> υπολογίστηκε </w:t>
      </w:r>
      <w:r w:rsidRPr="000A7047">
        <w:rPr>
          <w:rFonts w:ascii="Calibri" w:hAnsi="Calibri" w:cs="Tahoma"/>
          <w:bCs/>
        </w:rPr>
        <w:t>στα €</w:t>
      </w:r>
      <w:r w:rsidR="00F83134" w:rsidRPr="00F83134">
        <w:rPr>
          <w:rFonts w:ascii="Calibri" w:hAnsi="Calibri" w:cs="Tahoma"/>
          <w:bCs/>
        </w:rPr>
        <w:t>48,54</w:t>
      </w:r>
      <w:r w:rsidRPr="000A7047">
        <w:rPr>
          <w:rFonts w:ascii="Calibri" w:hAnsi="Calibri" w:cs="Tahoma"/>
          <w:bCs/>
        </w:rPr>
        <w:t xml:space="preserve"> δισ</w:t>
      </w:r>
      <w:r w:rsidRPr="00F31B28">
        <w:rPr>
          <w:rFonts w:ascii="Calibri" w:hAnsi="Calibri" w:cs="Tahoma"/>
          <w:b/>
          <w:bCs/>
        </w:rPr>
        <w:t xml:space="preserve">. </w:t>
      </w:r>
      <w:r w:rsidRPr="00F31B28">
        <w:rPr>
          <w:rFonts w:ascii="Calibri" w:hAnsi="Calibri" w:cs="Tahoma"/>
          <w:bCs/>
          <w:i/>
        </w:rPr>
        <w:t>(βλ. γράφημα 2).</w:t>
      </w:r>
      <w:r w:rsidRPr="00F31B28">
        <w:rPr>
          <w:rFonts w:ascii="Calibri" w:hAnsi="Calibri" w:cs="Tahoma"/>
          <w:bCs/>
        </w:rPr>
        <w:t xml:space="preserve"> Σε σχέση με την αντίστοιχη κεφαλαιοποίηση του </w:t>
      </w:r>
      <w:r>
        <w:rPr>
          <w:rFonts w:ascii="Calibri" w:hAnsi="Calibri" w:cs="Tahoma"/>
          <w:bCs/>
        </w:rPr>
        <w:t>προηγούμενου μήνα</w:t>
      </w:r>
      <w:r w:rsidRPr="00F31B28">
        <w:rPr>
          <w:rFonts w:ascii="Calibri" w:hAnsi="Calibri" w:cs="Tahoma"/>
          <w:bCs/>
        </w:rPr>
        <w:t xml:space="preserve"> που ήταν </w:t>
      </w:r>
      <w:r w:rsidRPr="00213C93">
        <w:rPr>
          <w:rFonts w:ascii="Calibri" w:hAnsi="Calibri" w:cs="Tahoma"/>
          <w:bCs/>
        </w:rPr>
        <w:t>€</w:t>
      </w:r>
      <w:r w:rsidR="00F83134" w:rsidRPr="00F83134">
        <w:rPr>
          <w:rFonts w:ascii="Calibri" w:hAnsi="Calibri" w:cs="Tahoma"/>
          <w:bCs/>
        </w:rPr>
        <w:t>44,87</w:t>
      </w:r>
      <w:r w:rsidR="00950E23" w:rsidRPr="00950E23">
        <w:rPr>
          <w:rFonts w:ascii="Calibri" w:hAnsi="Calibri" w:cs="Tahoma"/>
          <w:bCs/>
        </w:rPr>
        <w:t xml:space="preserve"> </w:t>
      </w:r>
      <w:r w:rsidRPr="00213C93">
        <w:rPr>
          <w:rFonts w:ascii="Calibri" w:hAnsi="Calibri" w:cs="Tahoma"/>
          <w:bCs/>
        </w:rPr>
        <w:t>δισ.,</w:t>
      </w:r>
      <w:r w:rsidRPr="00F31B28">
        <w:rPr>
          <w:rFonts w:ascii="Calibri" w:hAnsi="Calibri" w:cs="Tahoma"/>
          <w:bCs/>
        </w:rPr>
        <w:t xml:space="preserve"> </w:t>
      </w:r>
      <w:r>
        <w:rPr>
          <w:rFonts w:ascii="Calibri" w:hAnsi="Calibri" w:cs="Tahoma"/>
          <w:bCs/>
        </w:rPr>
        <w:t>σημειώθηκε</w:t>
      </w:r>
      <w:r w:rsidRPr="00F31B28">
        <w:rPr>
          <w:rFonts w:ascii="Calibri" w:hAnsi="Calibri" w:cs="Tahoma"/>
          <w:bCs/>
        </w:rPr>
        <w:t xml:space="preserve"> </w:t>
      </w:r>
      <w:r w:rsidR="00230968" w:rsidRPr="00230968">
        <w:rPr>
          <w:rFonts w:ascii="Calibri" w:hAnsi="Calibri" w:cs="Tahoma"/>
          <w:bCs/>
        </w:rPr>
        <w:t>αύξηση</w:t>
      </w:r>
      <w:r w:rsidR="00950E23" w:rsidRPr="000A7047">
        <w:rPr>
          <w:rFonts w:ascii="Calibri" w:hAnsi="Calibri" w:cs="Tahoma"/>
          <w:bCs/>
        </w:rPr>
        <w:t xml:space="preserve"> </w:t>
      </w:r>
      <w:r w:rsidRPr="000A7047">
        <w:rPr>
          <w:rFonts w:ascii="Calibri" w:hAnsi="Calibri" w:cs="Tahoma"/>
          <w:bCs/>
        </w:rPr>
        <w:t xml:space="preserve">της τάξης του </w:t>
      </w:r>
      <w:r w:rsidR="00F83134" w:rsidRPr="00F83134">
        <w:rPr>
          <w:rFonts w:ascii="Calibri" w:hAnsi="Calibri" w:cs="Tahoma"/>
          <w:bCs/>
        </w:rPr>
        <w:t>8,2%</w:t>
      </w:r>
      <w:r w:rsidR="00950E23" w:rsidRPr="00950E23">
        <w:rPr>
          <w:rFonts w:ascii="Calibri" w:hAnsi="Calibri" w:cs="Tahoma"/>
          <w:bCs/>
        </w:rPr>
        <w:t xml:space="preserve"> </w:t>
      </w:r>
      <w:r w:rsidRPr="00F31B28">
        <w:rPr>
          <w:rFonts w:ascii="Calibri" w:hAnsi="Calibri" w:cs="Tahoma"/>
          <w:bCs/>
        </w:rPr>
        <w:t xml:space="preserve">ενώ συγκρινόμενη με την αντίστοιχη κεφαλαιοποίηση του </w:t>
      </w:r>
      <w:r>
        <w:rPr>
          <w:rFonts w:ascii="Calibri" w:hAnsi="Calibri" w:cs="Tahoma"/>
          <w:bCs/>
        </w:rPr>
        <w:t xml:space="preserve">ίδιου μήνα του προηγούμενου έτους που ήταν </w:t>
      </w:r>
      <w:r w:rsidRPr="00213C93">
        <w:rPr>
          <w:rFonts w:ascii="Calibri" w:hAnsi="Calibri" w:cs="Tahoma"/>
          <w:bCs/>
        </w:rPr>
        <w:t>€</w:t>
      </w:r>
      <w:r w:rsidR="00F83134" w:rsidRPr="00F83134">
        <w:rPr>
          <w:rFonts w:ascii="Calibri" w:hAnsi="Calibri" w:cs="Tahoma"/>
          <w:bCs/>
        </w:rPr>
        <w:t>33,78</w:t>
      </w:r>
      <w:r w:rsidR="00950E23" w:rsidRPr="00950E23">
        <w:rPr>
          <w:rFonts w:ascii="Calibri" w:hAnsi="Calibri" w:cs="Tahoma"/>
          <w:bCs/>
        </w:rPr>
        <w:t xml:space="preserve"> </w:t>
      </w:r>
      <w:r w:rsidRPr="00213C93">
        <w:rPr>
          <w:rFonts w:ascii="Calibri" w:hAnsi="Calibri" w:cs="Tahoma"/>
          <w:bCs/>
        </w:rPr>
        <w:t>δισ.,</w:t>
      </w:r>
      <w:r>
        <w:rPr>
          <w:rFonts w:ascii="Calibri" w:hAnsi="Calibri" w:cs="Tahoma"/>
          <w:bCs/>
        </w:rPr>
        <w:t xml:space="preserve"> σημειώθηκε</w:t>
      </w:r>
      <w:r w:rsidRPr="00854831">
        <w:rPr>
          <w:rFonts w:ascii="Calibri" w:hAnsi="Calibri" w:cs="Tahoma"/>
          <w:bCs/>
        </w:rPr>
        <w:t xml:space="preserve"> </w:t>
      </w:r>
      <w:r w:rsidR="00F83134" w:rsidRPr="00F83134">
        <w:rPr>
          <w:rFonts w:ascii="Calibri" w:hAnsi="Calibri" w:cs="Tahoma"/>
          <w:bCs/>
        </w:rPr>
        <w:t>αύξηση</w:t>
      </w:r>
      <w:r w:rsidR="00950E23" w:rsidRPr="00950E23">
        <w:rPr>
          <w:rFonts w:ascii="Calibri" w:hAnsi="Calibri" w:cs="Tahoma"/>
          <w:bCs/>
        </w:rPr>
        <w:t xml:space="preserve"> </w:t>
      </w:r>
      <w:r w:rsidRPr="004C1D15">
        <w:rPr>
          <w:rFonts w:ascii="Calibri" w:hAnsi="Calibri" w:cs="Tahoma"/>
          <w:bCs/>
        </w:rPr>
        <w:t xml:space="preserve">κατά </w:t>
      </w:r>
      <w:r w:rsidR="00F83134" w:rsidRPr="00F83134">
        <w:rPr>
          <w:rFonts w:ascii="Calibri" w:hAnsi="Calibri" w:cs="Tahoma"/>
          <w:bCs/>
        </w:rPr>
        <w:t>43,7%</w:t>
      </w:r>
      <w:r w:rsidRPr="004C1D15">
        <w:rPr>
          <w:rFonts w:ascii="Calibri" w:hAnsi="Calibri" w:cs="Tahoma"/>
          <w:bCs/>
        </w:rPr>
        <w:t>.</w:t>
      </w:r>
    </w:p>
    <w:p w:rsidR="00316161" w:rsidRDefault="00DC2437" w:rsidP="004C3373">
      <w:pPr>
        <w:jc w:val="center"/>
        <w:rPr>
          <w:rFonts w:ascii="Calibri" w:hAnsi="Calibri"/>
          <w:i/>
          <w:sz w:val="18"/>
          <w:szCs w:val="18"/>
        </w:rPr>
      </w:pPr>
      <w:r>
        <w:rPr>
          <w:noProof/>
          <w:lang w:val="en-GB" w:eastAsia="en-GB"/>
        </w:rPr>
        <w:drawing>
          <wp:inline distT="0" distB="0" distL="0" distR="0" wp14:anchorId="78A1C610" wp14:editId="7B5CA28B">
            <wp:extent cx="5317490" cy="1297305"/>
            <wp:effectExtent l="57150" t="57150" r="92710" b="112395"/>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2D0B28" w:rsidRPr="00667C71" w:rsidRDefault="002D0B28" w:rsidP="00F03EFC">
      <w:pPr>
        <w:jc w:val="center"/>
        <w:rPr>
          <w:rFonts w:ascii="Calibri" w:hAnsi="Calibri"/>
          <w:sz w:val="18"/>
          <w:szCs w:val="18"/>
        </w:rPr>
      </w:pPr>
      <w:r w:rsidRPr="005C03B8">
        <w:rPr>
          <w:rFonts w:ascii="Calibri" w:hAnsi="Calibri"/>
          <w:i/>
          <w:sz w:val="18"/>
          <w:szCs w:val="18"/>
        </w:rPr>
        <w:t xml:space="preserve">Γράφημα </w:t>
      </w:r>
      <w:r w:rsidRPr="005C03B8">
        <w:rPr>
          <w:rFonts w:ascii="Calibri" w:hAnsi="Calibri"/>
          <w:i/>
          <w:sz w:val="18"/>
          <w:szCs w:val="18"/>
        </w:rPr>
        <w:fldChar w:fldCharType="begin"/>
      </w:r>
      <w:r w:rsidRPr="005C03B8">
        <w:rPr>
          <w:rFonts w:ascii="Calibri" w:hAnsi="Calibri"/>
          <w:i/>
          <w:sz w:val="18"/>
          <w:szCs w:val="18"/>
        </w:rPr>
        <w:instrText xml:space="preserve"> SEQ Γράφημα \* ARABIC </w:instrText>
      </w:r>
      <w:r w:rsidRPr="005C03B8">
        <w:rPr>
          <w:rFonts w:ascii="Calibri" w:hAnsi="Calibri"/>
          <w:i/>
          <w:sz w:val="18"/>
          <w:szCs w:val="18"/>
        </w:rPr>
        <w:fldChar w:fldCharType="separate"/>
      </w:r>
      <w:r w:rsidR="004837D7">
        <w:rPr>
          <w:rFonts w:ascii="Calibri" w:hAnsi="Calibri"/>
          <w:i/>
          <w:noProof/>
          <w:sz w:val="18"/>
          <w:szCs w:val="18"/>
        </w:rPr>
        <w:t>2</w:t>
      </w:r>
      <w:r w:rsidRPr="005C03B8">
        <w:rPr>
          <w:rFonts w:ascii="Calibri" w:hAnsi="Calibri"/>
          <w:i/>
          <w:sz w:val="18"/>
          <w:szCs w:val="18"/>
        </w:rPr>
        <w:fldChar w:fldCharType="end"/>
      </w:r>
    </w:p>
    <w:p w:rsidR="002D0B28" w:rsidRPr="00561D1D" w:rsidRDefault="002D0B28" w:rsidP="002D0B28">
      <w:pPr>
        <w:spacing w:before="120"/>
        <w:rPr>
          <w:rFonts w:ascii="Calibri" w:hAnsi="Calibri" w:cs="Tahoma"/>
          <w:bCs/>
        </w:rPr>
      </w:pPr>
      <w:r w:rsidRPr="0013530D">
        <w:rPr>
          <w:rFonts w:ascii="Calibri" w:hAnsi="Calibri" w:cs="Tahoma"/>
          <w:bCs/>
        </w:rPr>
        <w:t xml:space="preserve">Οι </w:t>
      </w:r>
      <w:r w:rsidRPr="0013530D">
        <w:rPr>
          <w:rFonts w:ascii="Calibri" w:hAnsi="Calibri" w:cs="Tahoma"/>
          <w:b/>
          <w:bCs/>
        </w:rPr>
        <w:t xml:space="preserve">ξένοι επενδυτές </w:t>
      </w:r>
      <w:r w:rsidRPr="0013530D">
        <w:rPr>
          <w:rFonts w:ascii="Calibri" w:hAnsi="Calibri" w:cs="Tahoma"/>
          <w:bCs/>
        </w:rPr>
        <w:t xml:space="preserve">τον </w:t>
      </w:r>
      <w:r w:rsidR="00DC2437" w:rsidRPr="00DC2437">
        <w:rPr>
          <w:rFonts w:ascii="Calibri" w:hAnsi="Calibri" w:cs="Tahoma"/>
          <w:bCs/>
        </w:rPr>
        <w:t>Μάρτιο 2021</w:t>
      </w:r>
      <w:r w:rsidR="0052679B" w:rsidRPr="0013530D">
        <w:rPr>
          <w:rFonts w:ascii="Calibri" w:hAnsi="Calibri" w:cs="Tahoma"/>
          <w:bCs/>
        </w:rPr>
        <w:t xml:space="preserve"> </w:t>
      </w:r>
      <w:r w:rsidRPr="0013530D">
        <w:rPr>
          <w:rFonts w:ascii="Calibri" w:hAnsi="Calibri" w:cs="Tahoma"/>
          <w:b/>
          <w:bCs/>
        </w:rPr>
        <w:t xml:space="preserve">πραγματοποίησαν το </w:t>
      </w:r>
      <w:r w:rsidR="00DC2437" w:rsidRPr="00DC2437">
        <w:rPr>
          <w:rFonts w:ascii="Calibri" w:hAnsi="Calibri" w:cs="Tahoma"/>
          <w:b/>
          <w:bCs/>
        </w:rPr>
        <w:t>57,5%</w:t>
      </w:r>
      <w:r w:rsidR="0052679B" w:rsidRPr="0013530D">
        <w:rPr>
          <w:rFonts w:ascii="Calibri" w:hAnsi="Calibri" w:cs="Tahoma"/>
          <w:b/>
          <w:bCs/>
        </w:rPr>
        <w:t xml:space="preserve"> </w:t>
      </w:r>
      <w:r w:rsidRPr="0013530D">
        <w:rPr>
          <w:rFonts w:ascii="Calibri" w:hAnsi="Calibri" w:cs="Tahoma"/>
          <w:b/>
          <w:bCs/>
        </w:rPr>
        <w:t>των συναλλαγών</w:t>
      </w:r>
      <w:r w:rsidRPr="0013530D">
        <w:rPr>
          <w:rFonts w:ascii="Calibri" w:hAnsi="Calibri" w:cs="Tahoma"/>
          <w:bCs/>
        </w:rPr>
        <w:t xml:space="preserve"> (σε σχέση με το </w:t>
      </w:r>
      <w:r w:rsidR="00DC2437" w:rsidRPr="00DC2437">
        <w:rPr>
          <w:rFonts w:ascii="Calibri" w:hAnsi="Calibri" w:cs="Tahoma"/>
          <w:bCs/>
        </w:rPr>
        <w:t>51,1%</w:t>
      </w:r>
      <w:r w:rsidR="001609EB" w:rsidRPr="0013530D">
        <w:rPr>
          <w:rFonts w:ascii="Calibri" w:hAnsi="Calibri" w:cs="Tahoma"/>
          <w:bCs/>
        </w:rPr>
        <w:t xml:space="preserve"> </w:t>
      </w:r>
      <w:r w:rsidRPr="0013530D">
        <w:rPr>
          <w:rFonts w:ascii="Calibri" w:hAnsi="Calibri" w:cs="Tahoma"/>
          <w:bCs/>
        </w:rPr>
        <w:t xml:space="preserve">τον προηγούμενο μήνα ενώ </w:t>
      </w:r>
      <w:bookmarkStart w:id="1" w:name="OLE_LINK1"/>
      <w:bookmarkStart w:id="2" w:name="OLE_LINK2"/>
      <w:r w:rsidRPr="0013530D">
        <w:rPr>
          <w:rFonts w:ascii="Calibri" w:hAnsi="Calibri" w:cs="Tahoma"/>
          <w:bCs/>
        </w:rPr>
        <w:t xml:space="preserve">τον </w:t>
      </w:r>
      <w:bookmarkEnd w:id="1"/>
      <w:bookmarkEnd w:id="2"/>
      <w:r w:rsidR="00DC2437" w:rsidRPr="00DC2437">
        <w:rPr>
          <w:rFonts w:ascii="Calibri" w:hAnsi="Calibri" w:cs="Tahoma"/>
          <w:bCs/>
        </w:rPr>
        <w:t>Μάρτιο του 2020</w:t>
      </w:r>
      <w:r w:rsidR="001609EB" w:rsidRPr="0013530D">
        <w:rPr>
          <w:rFonts w:ascii="Calibri" w:hAnsi="Calibri" w:cs="Tahoma"/>
          <w:bCs/>
        </w:rPr>
        <w:t xml:space="preserve"> </w:t>
      </w:r>
      <w:r w:rsidRPr="0013530D">
        <w:rPr>
          <w:rFonts w:ascii="Calibri" w:hAnsi="Calibri" w:cs="Tahoma"/>
          <w:bCs/>
        </w:rPr>
        <w:t xml:space="preserve">είχαν πραγματοποιήσει το </w:t>
      </w:r>
      <w:r w:rsidR="00DC2437" w:rsidRPr="00DC2437">
        <w:rPr>
          <w:rFonts w:ascii="Calibri" w:hAnsi="Calibri" w:cs="Tahoma"/>
          <w:bCs/>
        </w:rPr>
        <w:t>52,5%</w:t>
      </w:r>
      <w:r w:rsidR="001609EB" w:rsidRPr="0013530D">
        <w:rPr>
          <w:rFonts w:ascii="Calibri" w:hAnsi="Calibri" w:cs="Tahoma"/>
          <w:bCs/>
        </w:rPr>
        <w:t xml:space="preserve"> </w:t>
      </w:r>
      <w:r w:rsidR="00C81AAD" w:rsidRPr="0013530D">
        <w:rPr>
          <w:rFonts w:ascii="Calibri" w:hAnsi="Calibri" w:cs="Tahoma"/>
          <w:bCs/>
        </w:rPr>
        <w:t>των συναλλαγών)</w:t>
      </w:r>
      <w:r w:rsidR="00C81AAD" w:rsidRPr="0013530D">
        <w:rPr>
          <w:rFonts w:ascii="Calibri" w:hAnsi="Calibri" w:cs="Tahoma"/>
          <w:bCs/>
          <w:i/>
        </w:rPr>
        <w:t xml:space="preserve"> (βλ. γράφημα 3)</w:t>
      </w:r>
      <w:r w:rsidR="00C81AAD" w:rsidRPr="0013530D">
        <w:rPr>
          <w:rFonts w:ascii="Calibri" w:hAnsi="Calibri" w:cs="Tahoma"/>
          <w:bCs/>
        </w:rPr>
        <w:t>.</w:t>
      </w:r>
      <w:r w:rsidR="00561D1D" w:rsidRPr="00561D1D">
        <w:rPr>
          <w:rFonts w:ascii="Calibri" w:hAnsi="Calibri" w:cs="Tahoma"/>
          <w:bCs/>
        </w:rPr>
        <w:t xml:space="preserve"> </w:t>
      </w:r>
    </w:p>
    <w:p w:rsidR="002D0B28" w:rsidRPr="002D0B28" w:rsidRDefault="002D0B28" w:rsidP="002D0B28">
      <w:pPr>
        <w:spacing w:before="120" w:after="120"/>
        <w:rPr>
          <w:rFonts w:ascii="Calibri" w:hAnsi="Calibri" w:cs="Tahoma"/>
          <w:bCs/>
        </w:rPr>
      </w:pPr>
      <w:r w:rsidRPr="003E0080">
        <w:rPr>
          <w:rFonts w:ascii="Calibri" w:hAnsi="Calibri" w:cs="Tahoma"/>
          <w:bCs/>
        </w:rPr>
        <w:t xml:space="preserve">Οι </w:t>
      </w:r>
      <w:r w:rsidRPr="003E0080">
        <w:rPr>
          <w:rFonts w:ascii="Calibri" w:hAnsi="Calibri" w:cs="Tahoma"/>
          <w:b/>
          <w:bCs/>
        </w:rPr>
        <w:t xml:space="preserve">Έλληνες </w:t>
      </w:r>
      <w:r>
        <w:rPr>
          <w:rFonts w:ascii="Calibri" w:hAnsi="Calibri" w:cs="Tahoma"/>
          <w:b/>
          <w:bCs/>
        </w:rPr>
        <w:t>Ιδιώτες</w:t>
      </w:r>
      <w:r w:rsidRPr="003E0080">
        <w:rPr>
          <w:rFonts w:ascii="Calibri" w:hAnsi="Calibri" w:cs="Tahoma"/>
          <w:b/>
          <w:bCs/>
        </w:rPr>
        <w:t xml:space="preserve"> επενδυτές</w:t>
      </w:r>
      <w:r w:rsidRPr="003E0080">
        <w:rPr>
          <w:rFonts w:ascii="Calibri" w:hAnsi="Calibri" w:cs="Tahoma"/>
          <w:bCs/>
        </w:rPr>
        <w:t xml:space="preserve"> </w:t>
      </w:r>
      <w:r w:rsidRPr="00FA6C36">
        <w:rPr>
          <w:rFonts w:ascii="Calibri" w:hAnsi="Calibri" w:cs="Tahoma"/>
          <w:bCs/>
        </w:rPr>
        <w:t>(</w:t>
      </w:r>
      <w:r w:rsidRPr="00976CBB">
        <w:rPr>
          <w:rFonts w:ascii="Calibri" w:hAnsi="Calibri" w:cs="Tahoma"/>
          <w:bCs/>
        </w:rPr>
        <w:t>Ιδιώτες, Ελεύθερο</w:t>
      </w:r>
      <w:r>
        <w:rPr>
          <w:rFonts w:ascii="Calibri" w:hAnsi="Calibri" w:cs="Tahoma"/>
          <w:bCs/>
        </w:rPr>
        <w:t>ι</w:t>
      </w:r>
      <w:r w:rsidRPr="00976CBB">
        <w:rPr>
          <w:rFonts w:ascii="Calibri" w:hAnsi="Calibri" w:cs="Tahoma"/>
          <w:bCs/>
        </w:rPr>
        <w:t xml:space="preserve"> Επαγγελματίες, Αγρότες &amp; Ατομικές Επιχειρήσεις</w:t>
      </w:r>
      <w:r>
        <w:rPr>
          <w:rFonts w:ascii="Calibri" w:hAnsi="Calibri" w:cs="Tahoma"/>
          <w:bCs/>
        </w:rPr>
        <w:t xml:space="preserve">) </w:t>
      </w:r>
      <w:r w:rsidRPr="0036661B">
        <w:rPr>
          <w:rFonts w:ascii="Calibri" w:hAnsi="Calibri" w:cs="Tahoma"/>
          <w:bCs/>
        </w:rPr>
        <w:t xml:space="preserve">τον </w:t>
      </w:r>
      <w:r w:rsidR="00DC2437" w:rsidRPr="00DC2437">
        <w:rPr>
          <w:rFonts w:ascii="Calibri" w:hAnsi="Calibri" w:cs="Tahoma"/>
          <w:bCs/>
        </w:rPr>
        <w:t>Μάρτιο 2021</w:t>
      </w:r>
      <w:r w:rsidR="00561D1D" w:rsidRPr="00561D1D">
        <w:rPr>
          <w:rFonts w:ascii="Calibri" w:hAnsi="Calibri" w:cs="Tahoma"/>
          <w:bCs/>
        </w:rPr>
        <w:t xml:space="preserve"> </w:t>
      </w:r>
      <w:r w:rsidRPr="003E0080">
        <w:rPr>
          <w:rFonts w:ascii="Calibri" w:hAnsi="Calibri" w:cs="Tahoma"/>
          <w:b/>
          <w:bCs/>
        </w:rPr>
        <w:t xml:space="preserve">πραγματοποίησαν το </w:t>
      </w:r>
      <w:r w:rsidR="00DC2437" w:rsidRPr="00DC2437">
        <w:rPr>
          <w:rFonts w:ascii="Calibri" w:hAnsi="Calibri" w:cs="Tahoma"/>
          <w:b/>
          <w:bCs/>
        </w:rPr>
        <w:t>21,8%</w:t>
      </w:r>
      <w:r w:rsidR="008D14A1" w:rsidRPr="008D14A1">
        <w:rPr>
          <w:rFonts w:ascii="Calibri" w:hAnsi="Calibri" w:cs="Tahoma"/>
          <w:b/>
          <w:bCs/>
        </w:rPr>
        <w:t xml:space="preserve"> </w:t>
      </w:r>
      <w:r w:rsidRPr="003E0080">
        <w:rPr>
          <w:rFonts w:ascii="Calibri" w:hAnsi="Calibri" w:cs="Tahoma"/>
          <w:b/>
          <w:bCs/>
        </w:rPr>
        <w:t>των συναλλαγών</w:t>
      </w:r>
      <w:r w:rsidRPr="003E0080">
        <w:rPr>
          <w:rFonts w:ascii="Calibri" w:hAnsi="Calibri" w:cs="Tahoma"/>
          <w:bCs/>
        </w:rPr>
        <w:t xml:space="preserve"> (τον </w:t>
      </w:r>
      <w:r>
        <w:rPr>
          <w:rFonts w:ascii="Calibri" w:hAnsi="Calibri" w:cs="Tahoma"/>
          <w:bCs/>
        </w:rPr>
        <w:t>προηγούμενο μήνα</w:t>
      </w:r>
      <w:r w:rsidRPr="003E0080">
        <w:rPr>
          <w:rFonts w:ascii="Calibri" w:hAnsi="Calibri" w:cs="Tahoma"/>
          <w:bCs/>
        </w:rPr>
        <w:t xml:space="preserve"> πραγματοποίησαν το </w:t>
      </w:r>
      <w:r w:rsidR="00DC2437" w:rsidRPr="00DC2437">
        <w:rPr>
          <w:rFonts w:ascii="Calibri" w:hAnsi="Calibri" w:cs="Tahoma"/>
          <w:bCs/>
        </w:rPr>
        <w:t>23,2%</w:t>
      </w:r>
      <w:r w:rsidR="008D14A1" w:rsidRPr="008D14A1">
        <w:rPr>
          <w:rFonts w:ascii="Calibri" w:hAnsi="Calibri" w:cs="Tahoma"/>
          <w:bCs/>
        </w:rPr>
        <w:t xml:space="preserve"> </w:t>
      </w:r>
      <w:r w:rsidRPr="003E0080">
        <w:rPr>
          <w:rFonts w:ascii="Calibri" w:hAnsi="Calibri" w:cs="Tahoma"/>
          <w:bCs/>
        </w:rPr>
        <w:t xml:space="preserve">των συναλλαγών, ενώ τον </w:t>
      </w:r>
      <w:r>
        <w:rPr>
          <w:rFonts w:ascii="Calibri" w:hAnsi="Calibri" w:cs="Tahoma"/>
          <w:bCs/>
        </w:rPr>
        <w:t>ίδιο μήνα του προηγούμενου έτους</w:t>
      </w:r>
      <w:r w:rsidRPr="003E0080">
        <w:rPr>
          <w:rFonts w:ascii="Calibri" w:hAnsi="Calibri" w:cs="Tahoma"/>
          <w:bCs/>
        </w:rPr>
        <w:t xml:space="preserve"> είχαν πραγματοποιήσει το </w:t>
      </w:r>
      <w:r w:rsidR="00DC2437" w:rsidRPr="00DC2437">
        <w:rPr>
          <w:rFonts w:ascii="Calibri" w:hAnsi="Calibri" w:cs="Tahoma"/>
          <w:bCs/>
        </w:rPr>
        <w:t>24,8%</w:t>
      </w:r>
      <w:r w:rsidRPr="003E0080">
        <w:rPr>
          <w:rFonts w:ascii="Calibri" w:hAnsi="Calibri" w:cs="Tahoma"/>
          <w:bCs/>
        </w:rPr>
        <w:t xml:space="preserve"> των συναλλαγών) </w:t>
      </w:r>
      <w:r w:rsidRPr="003E0080">
        <w:rPr>
          <w:rFonts w:ascii="Calibri" w:hAnsi="Calibri" w:cs="Tahoma"/>
          <w:bCs/>
          <w:i/>
        </w:rPr>
        <w:t>(βλ. γράφημα 3)</w:t>
      </w:r>
      <w:r w:rsidRPr="007967FF">
        <w:rPr>
          <w:rFonts w:ascii="Calibri" w:hAnsi="Calibri" w:cs="Tahoma"/>
          <w:bCs/>
        </w:rPr>
        <w:t>.</w:t>
      </w:r>
    </w:p>
    <w:p w:rsidR="005E1B32" w:rsidRDefault="005E1B32" w:rsidP="004C3373">
      <w:pPr>
        <w:pStyle w:val="Caption"/>
        <w:ind w:left="709"/>
        <w:jc w:val="center"/>
        <w:rPr>
          <w:rFonts w:ascii="Calibri" w:eastAsiaTheme="minorHAnsi" w:hAnsi="Calibri" w:cstheme="minorBidi"/>
          <w:color w:val="58585A"/>
          <w:sz w:val="18"/>
          <w:szCs w:val="18"/>
        </w:rPr>
      </w:pPr>
    </w:p>
    <w:p w:rsidR="00856D70" w:rsidRPr="00856D70" w:rsidRDefault="00DC2437" w:rsidP="00856D70">
      <w:pPr>
        <w:pStyle w:val="Caption"/>
        <w:ind w:left="0" w:firstLine="0"/>
        <w:rPr>
          <w:rFonts w:ascii="Calibri" w:eastAsiaTheme="minorHAnsi" w:hAnsi="Calibri" w:cstheme="minorBidi"/>
          <w:i w:val="0"/>
          <w:color w:val="58585A"/>
          <w:sz w:val="18"/>
          <w:szCs w:val="18"/>
        </w:rPr>
      </w:pPr>
      <w:r>
        <w:rPr>
          <w:noProof/>
          <w:lang w:val="en-GB" w:eastAsia="en-GB"/>
        </w:rPr>
        <w:drawing>
          <wp:inline distT="0" distB="0" distL="0" distR="0" wp14:anchorId="6811CF51" wp14:editId="7AA39E1B">
            <wp:extent cx="5317490" cy="1283335"/>
            <wp:effectExtent l="57150" t="57150" r="92710" b="107315"/>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2D0B28" w:rsidRPr="006A0EE6" w:rsidRDefault="002D0B28" w:rsidP="004C3373">
      <w:pPr>
        <w:pStyle w:val="Caption"/>
        <w:ind w:left="1134"/>
        <w:jc w:val="center"/>
        <w:rPr>
          <w:b/>
          <w:i w:val="0"/>
          <w:sz w:val="18"/>
          <w:szCs w:val="18"/>
        </w:rPr>
      </w:pPr>
      <w:r w:rsidRPr="005C03B8">
        <w:rPr>
          <w:rFonts w:ascii="Calibri" w:eastAsiaTheme="minorHAnsi" w:hAnsi="Calibri" w:cstheme="minorBidi"/>
          <w:color w:val="58585A"/>
          <w:sz w:val="18"/>
          <w:szCs w:val="18"/>
        </w:rPr>
        <w:t xml:space="preserve">Γράφημα </w:t>
      </w:r>
      <w:r w:rsidRPr="005C03B8">
        <w:rPr>
          <w:rFonts w:ascii="Calibri" w:eastAsiaTheme="minorHAnsi" w:hAnsi="Calibri" w:cstheme="minorBidi"/>
          <w:color w:val="58585A"/>
          <w:sz w:val="18"/>
          <w:szCs w:val="18"/>
        </w:rPr>
        <w:fldChar w:fldCharType="begin"/>
      </w:r>
      <w:r w:rsidRPr="005C03B8">
        <w:rPr>
          <w:rFonts w:ascii="Calibri" w:eastAsiaTheme="minorHAnsi" w:hAnsi="Calibri" w:cstheme="minorBidi"/>
          <w:color w:val="58585A"/>
          <w:sz w:val="18"/>
          <w:szCs w:val="18"/>
        </w:rPr>
        <w:instrText xml:space="preserve"> SEQ Γράφημα \* ARABIC </w:instrText>
      </w:r>
      <w:r w:rsidRPr="005C03B8">
        <w:rPr>
          <w:rFonts w:ascii="Calibri" w:eastAsiaTheme="minorHAnsi" w:hAnsi="Calibri" w:cstheme="minorBidi"/>
          <w:color w:val="58585A"/>
          <w:sz w:val="18"/>
          <w:szCs w:val="18"/>
        </w:rPr>
        <w:fldChar w:fldCharType="separate"/>
      </w:r>
      <w:r w:rsidR="004837D7">
        <w:rPr>
          <w:rFonts w:ascii="Calibri" w:eastAsiaTheme="minorHAnsi" w:hAnsi="Calibri" w:cstheme="minorBidi"/>
          <w:noProof/>
          <w:color w:val="58585A"/>
          <w:sz w:val="18"/>
          <w:szCs w:val="18"/>
        </w:rPr>
        <w:t>3</w:t>
      </w:r>
      <w:r w:rsidRPr="005C03B8">
        <w:rPr>
          <w:rFonts w:ascii="Calibri" w:eastAsiaTheme="minorHAnsi" w:hAnsi="Calibri" w:cstheme="minorBidi"/>
          <w:color w:val="58585A"/>
          <w:sz w:val="18"/>
          <w:szCs w:val="18"/>
        </w:rPr>
        <w:fldChar w:fldCharType="end"/>
      </w:r>
    </w:p>
    <w:p w:rsidR="000A7047" w:rsidRDefault="000A7047">
      <w:pPr>
        <w:jc w:val="left"/>
        <w:rPr>
          <w:rFonts w:ascii="Calibri" w:hAnsi="Calibri" w:cs="Tahoma"/>
          <w:bCs/>
        </w:rPr>
      </w:pPr>
      <w:r>
        <w:rPr>
          <w:rFonts w:ascii="Calibri" w:hAnsi="Calibri" w:cs="Tahoma"/>
          <w:bCs/>
        </w:rPr>
        <w:br w:type="page"/>
      </w:r>
    </w:p>
    <w:p w:rsidR="00B51F92" w:rsidRPr="002610EA" w:rsidRDefault="00B51F92" w:rsidP="000A7047">
      <w:pPr>
        <w:pStyle w:val="NormalStrong"/>
        <w:spacing w:line="240" w:lineRule="auto"/>
        <w:rPr>
          <w:szCs w:val="24"/>
        </w:rPr>
      </w:pPr>
      <w:r w:rsidRPr="002610EA">
        <w:rPr>
          <w:szCs w:val="24"/>
        </w:rPr>
        <w:lastRenderedPageBreak/>
        <w:t xml:space="preserve">Εκδόσεις και Αναφορές του Χρηματιστηρίου </w:t>
      </w:r>
    </w:p>
    <w:p w:rsidR="00B51F92" w:rsidRPr="002610EA" w:rsidRDefault="00B51F92" w:rsidP="000A7047">
      <w:pPr>
        <w:spacing w:after="0" w:line="240" w:lineRule="auto"/>
        <w:rPr>
          <w:sz w:val="20"/>
          <w:szCs w:val="20"/>
        </w:rPr>
      </w:pPr>
      <w:r w:rsidRPr="002610EA">
        <w:rPr>
          <w:sz w:val="20"/>
          <w:szCs w:val="20"/>
        </w:rPr>
        <w:t xml:space="preserve">Επισκεφθείτε το σχετικό </w:t>
      </w:r>
      <w:hyperlink r:id="rId14" w:history="1">
        <w:r w:rsidRPr="002610EA">
          <w:rPr>
            <w:rStyle w:val="Hyperlink"/>
            <w:sz w:val="20"/>
            <w:szCs w:val="20"/>
          </w:rPr>
          <w:t>σύνδεσμο</w:t>
        </w:r>
      </w:hyperlink>
      <w:r w:rsidRPr="002610EA">
        <w:rPr>
          <w:sz w:val="20"/>
          <w:szCs w:val="20"/>
        </w:rPr>
        <w:t>.</w:t>
      </w:r>
    </w:p>
    <w:p w:rsidR="00B51F92" w:rsidRPr="00F83134" w:rsidRDefault="00B51F92" w:rsidP="000A7047">
      <w:pPr>
        <w:spacing w:after="0" w:line="240" w:lineRule="auto"/>
        <w:rPr>
          <w:rStyle w:val="Hyperlink"/>
          <w:sz w:val="20"/>
          <w:szCs w:val="20"/>
        </w:rPr>
      </w:pPr>
      <w:r w:rsidRPr="002610EA">
        <w:rPr>
          <w:sz w:val="20"/>
          <w:szCs w:val="20"/>
        </w:rPr>
        <w:t>Τηλ</w:t>
      </w:r>
      <w:r w:rsidRPr="002610EA">
        <w:rPr>
          <w:sz w:val="20"/>
          <w:szCs w:val="20"/>
          <w:lang w:val="it-IT"/>
        </w:rPr>
        <w:t xml:space="preserve">: 210 33 66 </w:t>
      </w:r>
      <w:r w:rsidR="004C3373">
        <w:rPr>
          <w:sz w:val="20"/>
          <w:szCs w:val="20"/>
          <w:lang w:val="it-IT"/>
        </w:rPr>
        <w:t>294</w:t>
      </w:r>
      <w:r w:rsidRPr="002610EA">
        <w:rPr>
          <w:sz w:val="20"/>
          <w:szCs w:val="20"/>
          <w:lang w:val="it-IT"/>
        </w:rPr>
        <w:t xml:space="preserve">, e-mail: </w:t>
      </w:r>
      <w:r w:rsidR="004C3373">
        <w:rPr>
          <w:sz w:val="20"/>
          <w:szCs w:val="20"/>
          <w:lang w:val="en-US"/>
        </w:rPr>
        <w:t>AthexStats</w:t>
      </w:r>
      <w:r w:rsidR="004C3373" w:rsidRPr="00F83134">
        <w:rPr>
          <w:sz w:val="20"/>
          <w:szCs w:val="20"/>
        </w:rPr>
        <w:t>@</w:t>
      </w:r>
      <w:r w:rsidR="004C3373">
        <w:rPr>
          <w:sz w:val="20"/>
          <w:szCs w:val="20"/>
          <w:lang w:val="en-US"/>
        </w:rPr>
        <w:t>athexgroup</w:t>
      </w:r>
      <w:r w:rsidR="004C3373" w:rsidRPr="00F83134">
        <w:rPr>
          <w:sz w:val="20"/>
          <w:szCs w:val="20"/>
        </w:rPr>
        <w:t>.</w:t>
      </w:r>
      <w:r w:rsidR="004C3373">
        <w:rPr>
          <w:sz w:val="20"/>
          <w:szCs w:val="20"/>
          <w:lang w:val="en-US"/>
        </w:rPr>
        <w:t>gr</w:t>
      </w:r>
      <w:hyperlink r:id="rId15" w:history="1"/>
    </w:p>
    <w:p w:rsidR="00340388" w:rsidRPr="00F83134" w:rsidRDefault="00340388" w:rsidP="000A7047">
      <w:pPr>
        <w:spacing w:after="0" w:line="240" w:lineRule="auto"/>
        <w:rPr>
          <w:rStyle w:val="Hyperlink"/>
        </w:rPr>
      </w:pPr>
    </w:p>
    <w:p w:rsidR="00C84581" w:rsidRPr="00C5252B" w:rsidRDefault="00C84581" w:rsidP="000A7047">
      <w:pPr>
        <w:pStyle w:val="NormalStrong"/>
        <w:spacing w:line="240" w:lineRule="auto"/>
        <w:rPr>
          <w:rFonts w:cs="Arial"/>
          <w:szCs w:val="24"/>
        </w:rPr>
      </w:pPr>
      <w:r w:rsidRPr="00C5252B">
        <w:rPr>
          <w:rFonts w:cs="Arial"/>
          <w:szCs w:val="24"/>
        </w:rPr>
        <w:t>Σχετικά με τον Όμιλο Χρηματιστηρίου Αθηνών</w:t>
      </w:r>
    </w:p>
    <w:p w:rsidR="002610EA" w:rsidRPr="004D1CBE" w:rsidRDefault="002610EA" w:rsidP="000A7047">
      <w:pPr>
        <w:spacing w:line="240" w:lineRule="auto"/>
        <w:rPr>
          <w:color w:val="7F7F7F"/>
          <w:sz w:val="20"/>
          <w:szCs w:val="20"/>
          <w:shd w:val="clear" w:color="auto" w:fill="FFFFFF"/>
        </w:rPr>
      </w:pPr>
      <w:r w:rsidRPr="004D1CBE">
        <w:rPr>
          <w:color w:val="7F7F7F"/>
          <w:sz w:val="20"/>
          <w:szCs w:val="20"/>
          <w:shd w:val="clear" w:color="auto" w:fill="FFFFFF"/>
        </w:rPr>
        <w:t xml:space="preserve">Το </w:t>
      </w:r>
      <w:r w:rsidRPr="004D1CBE">
        <w:rPr>
          <w:b/>
          <w:color w:val="7F7F7F"/>
          <w:sz w:val="20"/>
          <w:szCs w:val="20"/>
          <w:shd w:val="clear" w:color="auto" w:fill="FFFFFF"/>
        </w:rPr>
        <w:t>Χρηματιστήριο Αθηνών</w:t>
      </w:r>
      <w:r w:rsidRPr="004D1CBE">
        <w:rPr>
          <w:color w:val="7F7F7F"/>
          <w:sz w:val="20"/>
          <w:szCs w:val="20"/>
          <w:shd w:val="clear" w:color="auto" w:fill="FFFFFF"/>
        </w:rPr>
        <w:t xml:space="preserve"> από την ίδρυσή του, το 1876, συμμετέχει σταθερά στις οικονομικές και επιχειρηματικές εξελίξεις της χώρας.</w:t>
      </w:r>
    </w:p>
    <w:p w:rsidR="002610EA" w:rsidRPr="004D1CBE" w:rsidRDefault="002610EA" w:rsidP="000A7047">
      <w:pPr>
        <w:spacing w:line="240" w:lineRule="auto"/>
        <w:rPr>
          <w:color w:val="7F7F7F"/>
          <w:sz w:val="20"/>
          <w:szCs w:val="20"/>
          <w:shd w:val="clear" w:color="auto" w:fill="FFFFFF"/>
        </w:rPr>
      </w:pPr>
      <w:r w:rsidRPr="004D1CBE">
        <w:rPr>
          <w:color w:val="7F7F7F"/>
          <w:sz w:val="20"/>
          <w:szCs w:val="20"/>
          <w:shd w:val="clear" w:color="auto" w:fill="FFFFFF"/>
        </w:rPr>
        <w:t>Ο Όμιλος του Χρηματιστηρίου Αθηνών υποστηρίζει την ανάπτυξη και οργάνωση της Ελληνικής Κεφαλαιαγοράς. Λειτουργεί τις αγορές αξιών και παραγώγων, την εναλλακτική αγορά ενώ παράλληλα διενεργεί την εκκαθάριση και το διακανονισμό των συναλλαγών.</w:t>
      </w:r>
    </w:p>
    <w:p w:rsidR="002610EA" w:rsidRPr="004D1CBE" w:rsidRDefault="002610EA" w:rsidP="000A7047">
      <w:pPr>
        <w:spacing w:line="240" w:lineRule="auto"/>
        <w:rPr>
          <w:color w:val="7F7F7F"/>
          <w:sz w:val="20"/>
          <w:szCs w:val="20"/>
          <w:shd w:val="clear" w:color="auto" w:fill="FFFFFF"/>
        </w:rPr>
      </w:pPr>
      <w:r w:rsidRPr="004D1CBE">
        <w:rPr>
          <w:color w:val="7F7F7F"/>
          <w:sz w:val="20"/>
          <w:szCs w:val="20"/>
          <w:shd w:val="clear" w:color="auto" w:fill="FFFFFF"/>
        </w:rPr>
        <w:t xml:space="preserve">Το Χρηματιστήριο, μέσω των αγορών του, προσφέρει λύσεις και εργαλεία χρηματοδότησης στις επιχειρήσεις, διευρύνει τις επιλογές των επενδυτών παρέχοντας ένα ασφαλές, σταθερό και εύκολο περιβάλλον πλήρως εναρμονισμένο με τις διεθνείς πρακτικές και το Ευρωπαϊκό κανονιστικό πλαίσιο. Κατέχει δε το διεθνές πρότυπο επιχειρησιακής συνέχειας  ISO22301 για το σύνολο των εταιρειών του, καθώς επίσης και για όλες τις επιχειρησιακές λειτουργίες και παρεχόμενα προϊόντα &amp; υπηρεσίες. </w:t>
      </w:r>
    </w:p>
    <w:p w:rsidR="002610EA" w:rsidRPr="004D1CBE" w:rsidRDefault="002610EA" w:rsidP="000A7047">
      <w:pPr>
        <w:spacing w:line="240" w:lineRule="auto"/>
        <w:rPr>
          <w:color w:val="7F7F7F"/>
          <w:sz w:val="20"/>
          <w:szCs w:val="20"/>
          <w:shd w:val="clear" w:color="auto" w:fill="FFFFFF"/>
        </w:rPr>
      </w:pPr>
      <w:r w:rsidRPr="004D1CBE">
        <w:rPr>
          <w:color w:val="7F7F7F"/>
          <w:sz w:val="20"/>
          <w:szCs w:val="20"/>
          <w:shd w:val="clear" w:color="auto" w:fill="FFFFFF"/>
        </w:rPr>
        <w:t xml:space="preserve">Σε μια περίοδο που ο ρόλος των χρηματιστηριακών αγορών στην εξεύρεση εναλλακτικών τρόπων χρηματοδότησης των επιχειρήσεων, σε πανευρωπαϊκό επίπεδο, ενισχύεται σημαντικά, εμείς στον Όμιλο Χρηματιστηρίου Αθηνών έχουμε προχωρήσει σε μια σειρά πρωτοβουλιών και δράσεων με στόχο να αναδείξουμε την ελκυστικότητα της Ελληνικής Κεφαλαιαγοράς και να προβάλουμε τις εταιρίες μας στη διεθνή επενδυτική κοινότητα. </w:t>
      </w:r>
    </w:p>
    <w:p w:rsidR="002610EA" w:rsidRPr="004D1CBE" w:rsidRDefault="002610EA" w:rsidP="000A7047">
      <w:pPr>
        <w:spacing w:line="240" w:lineRule="auto"/>
        <w:rPr>
          <w:color w:val="7F7F7F"/>
          <w:sz w:val="20"/>
          <w:szCs w:val="20"/>
          <w:shd w:val="clear" w:color="auto" w:fill="FFFFFF"/>
        </w:rPr>
      </w:pPr>
      <w:r w:rsidRPr="004D1CBE">
        <w:rPr>
          <w:color w:val="7F7F7F"/>
          <w:sz w:val="20"/>
          <w:szCs w:val="20"/>
          <w:shd w:val="clear" w:color="auto" w:fill="FFFFFF"/>
        </w:rPr>
        <w:t xml:space="preserve">Οι μετοχές του Ομίλου διαπραγματεύονται στην Κύρια Αγορά του Χρηματιστηρίου Αθηνών (Σύμβολο: </w:t>
      </w:r>
      <w:r w:rsidRPr="004D1CBE">
        <w:rPr>
          <w:color w:val="7F7F7F"/>
          <w:sz w:val="20"/>
          <w:szCs w:val="20"/>
          <w:shd w:val="clear" w:color="auto" w:fill="FFFFFF"/>
          <w:lang w:val="en-US"/>
        </w:rPr>
        <w:t>EXAE</w:t>
      </w:r>
      <w:r w:rsidRPr="004D1CBE">
        <w:rPr>
          <w:color w:val="7F7F7F"/>
          <w:sz w:val="20"/>
          <w:szCs w:val="20"/>
          <w:shd w:val="clear" w:color="auto" w:fill="FFFFFF"/>
        </w:rPr>
        <w:t>).</w:t>
      </w:r>
    </w:p>
    <w:p w:rsidR="00C84581" w:rsidRPr="005F2065" w:rsidRDefault="002610EA" w:rsidP="005F2065">
      <w:pPr>
        <w:pBdr>
          <w:bottom w:val="single" w:sz="4" w:space="1" w:color="006EAB"/>
        </w:pBdr>
        <w:spacing w:line="240" w:lineRule="auto"/>
        <w:rPr>
          <w:sz w:val="20"/>
        </w:rPr>
      </w:pPr>
      <w:r w:rsidRPr="004D1CBE">
        <w:rPr>
          <w:color w:val="7F7F7F"/>
          <w:sz w:val="20"/>
          <w:szCs w:val="20"/>
          <w:shd w:val="clear" w:color="auto" w:fill="FFFFFF"/>
        </w:rPr>
        <w:t xml:space="preserve">Συνοπτικές πληροφορίες για την αγορά και τον Όμιλο του Χρηματιστηρίου Αθηνών μπορείτε να βρείτε στον </w:t>
      </w:r>
      <w:hyperlink r:id="rId16" w:history="1">
        <w:r w:rsidRPr="004D1CBE">
          <w:rPr>
            <w:rStyle w:val="Hyperlink"/>
            <w:sz w:val="20"/>
            <w:szCs w:val="20"/>
            <w:shd w:val="clear" w:color="auto" w:fill="FFFFFF"/>
          </w:rPr>
          <w:t>σύνδεσμο</w:t>
        </w:r>
      </w:hyperlink>
      <w:r w:rsidRPr="004D1CBE">
        <w:rPr>
          <w:color w:val="7F7F7F"/>
          <w:sz w:val="20"/>
          <w:szCs w:val="20"/>
          <w:shd w:val="clear" w:color="auto" w:fill="FFFFFF"/>
        </w:rPr>
        <w:t xml:space="preserve"> καθώς και στην ιστοσελίδα του</w:t>
      </w:r>
      <w:r w:rsidRPr="002610EA">
        <w:rPr>
          <w:color w:val="7F7F7F"/>
          <w:sz w:val="20"/>
          <w:szCs w:val="20"/>
          <w:shd w:val="clear" w:color="auto" w:fill="FFFFFF"/>
        </w:rPr>
        <w:t xml:space="preserve"> </w:t>
      </w:r>
      <w:hyperlink r:id="rId17" w:history="1">
        <w:r w:rsidRPr="00836A15">
          <w:rPr>
            <w:color w:val="0563C1"/>
            <w:sz w:val="20"/>
            <w:u w:val="single"/>
            <w:lang w:val="en-US"/>
          </w:rPr>
          <w:t>www</w:t>
        </w:r>
        <w:r w:rsidRPr="004D1CBE">
          <w:rPr>
            <w:color w:val="0563C1"/>
            <w:sz w:val="20"/>
            <w:u w:val="single"/>
          </w:rPr>
          <w:t>.</w:t>
        </w:r>
        <w:r w:rsidRPr="00836A15">
          <w:rPr>
            <w:color w:val="0563C1"/>
            <w:sz w:val="20"/>
            <w:u w:val="single"/>
            <w:lang w:val="en-US"/>
          </w:rPr>
          <w:t>athexgroup</w:t>
        </w:r>
        <w:r w:rsidRPr="004D1CBE">
          <w:rPr>
            <w:color w:val="0563C1"/>
            <w:sz w:val="20"/>
            <w:u w:val="single"/>
          </w:rPr>
          <w:t>.</w:t>
        </w:r>
        <w:r w:rsidRPr="00836A15">
          <w:rPr>
            <w:color w:val="0563C1"/>
            <w:sz w:val="20"/>
            <w:u w:val="single"/>
            <w:lang w:val="en-US"/>
          </w:rPr>
          <w:t>gr</w:t>
        </w:r>
      </w:hyperlink>
      <w:r w:rsidRPr="004D1CBE">
        <w:rPr>
          <w:sz w:val="20"/>
        </w:rPr>
        <w:t>.</w:t>
      </w:r>
    </w:p>
    <w:sectPr w:rsidR="00C84581" w:rsidRPr="005F2065" w:rsidSect="005F2065">
      <w:headerReference w:type="default" r:id="rId18"/>
      <w:pgSz w:w="11906" w:h="16838"/>
      <w:pgMar w:top="1134" w:right="1735" w:bottom="765" w:left="1797" w:header="0" w:footer="5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7098" w:rsidRDefault="00517098" w:rsidP="00035040">
      <w:r>
        <w:separator/>
      </w:r>
    </w:p>
  </w:endnote>
  <w:endnote w:type="continuationSeparator" w:id="0">
    <w:p w:rsidR="00517098" w:rsidRDefault="00517098"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1"/>
    <w:family w:val="modern"/>
    <w:pitch w:val="fixed"/>
    <w:sig w:usb0="E0002EFF" w:usb1="C0007843"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7098" w:rsidRPr="001757B3" w:rsidRDefault="00517098" w:rsidP="00787BB3">
    <w:pPr>
      <w:pStyle w:val="PageNumberNew"/>
      <w:tabs>
        <w:tab w:val="clear" w:pos="8280"/>
        <w:tab w:val="right" w:pos="8370"/>
      </w:tabs>
      <w:rPr>
        <w:rFonts w:asciiTheme="majorHAnsi" w:hAnsiTheme="majorHAnsi"/>
        <w:sz w:val="48"/>
        <w:szCs w:val="44"/>
      </w:rPr>
    </w:pPr>
    <w:r w:rsidRPr="00F96FBA">
      <w:rPr>
        <w:sz w:val="16"/>
        <w:szCs w:val="16"/>
      </w:rPr>
      <w:t>Λεωφ. Αθηνών 110, 104 42 Αθήνα, T + 30 210-3366 800, F +30 210-3366 101, www.athexgroup.gr</w:t>
    </w:r>
    <w:r>
      <w:tab/>
    </w:r>
    <w:sdt>
      <w:sdtPr>
        <w:rPr>
          <w:sz w:val="16"/>
          <w:szCs w:val="16"/>
        </w:rPr>
        <w:id w:val="-1584517604"/>
        <w:docPartObj>
          <w:docPartGallery w:val="Page Numbers (Margins)"/>
          <w:docPartUnique/>
        </w:docPartObj>
      </w:sdtPr>
      <w:sdtEndPr>
        <w:rPr>
          <w:sz w:val="20"/>
          <w:szCs w:val="20"/>
        </w:rPr>
      </w:sdtEndPr>
      <w:sdtContent>
        <w:sdt>
          <w:sdtPr>
            <w:rPr>
              <w:sz w:val="16"/>
              <w:szCs w:val="16"/>
            </w:rPr>
            <w:id w:val="933708925"/>
            <w:docPartObj>
              <w:docPartGallery w:val="Page Numbers (Margins)"/>
              <w:docPartUnique/>
            </w:docPartObj>
          </w:sdtPr>
          <w:sdtEndPr/>
          <w:sdtContent>
            <w:r w:rsidRPr="00D47F87">
              <w:rPr>
                <w:rFonts w:eastAsiaTheme="minorEastAsia" w:cs="Times New Roman"/>
                <w:sz w:val="16"/>
                <w:szCs w:val="16"/>
              </w:rPr>
              <w:fldChar w:fldCharType="begin"/>
            </w:r>
            <w:r w:rsidRPr="00D47F87">
              <w:rPr>
                <w:sz w:val="16"/>
                <w:szCs w:val="16"/>
              </w:rPr>
              <w:instrText xml:space="preserve"> PAGE   \* MERGEFORMAT </w:instrText>
            </w:r>
            <w:r w:rsidRPr="00D47F87">
              <w:rPr>
                <w:rFonts w:eastAsiaTheme="minorEastAsia" w:cs="Times New Roman"/>
                <w:sz w:val="16"/>
                <w:szCs w:val="16"/>
              </w:rPr>
              <w:fldChar w:fldCharType="separate"/>
            </w:r>
            <w:r w:rsidR="00114D10">
              <w:rPr>
                <w:noProof/>
                <w:sz w:val="16"/>
                <w:szCs w:val="16"/>
              </w:rPr>
              <w:t>1</w:t>
            </w:r>
            <w:r w:rsidRPr="00D47F87">
              <w:rPr>
                <w:noProof/>
                <w:sz w:val="16"/>
                <w:szCs w:val="16"/>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7098" w:rsidRDefault="00517098" w:rsidP="00035040">
      <w:r>
        <w:separator/>
      </w:r>
    </w:p>
  </w:footnote>
  <w:footnote w:type="continuationSeparator" w:id="0">
    <w:p w:rsidR="00517098" w:rsidRDefault="00517098" w:rsidP="00035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7098" w:rsidRDefault="00517098" w:rsidP="00A7436B">
    <w:pPr>
      <w:pStyle w:val="Header"/>
      <w:tabs>
        <w:tab w:val="clear" w:pos="8306"/>
        <w:tab w:val="right" w:pos="8370"/>
      </w:tabs>
    </w:pPr>
    <w:r>
      <w:rPr>
        <w:noProof/>
        <w:lang w:val="en-GB" w:eastAsia="en-GB"/>
      </w:rPr>
      <w:drawing>
        <wp:inline distT="0" distB="0" distL="0" distR="0" wp14:anchorId="77571FE7" wp14:editId="646FE58A">
          <wp:extent cx="1453896" cy="1078992"/>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HEXgroup Logo BwCoin-GR-PressQ.jpg"/>
                  <pic:cNvPicPr/>
                </pic:nvPicPr>
                <pic:blipFill>
                  <a:blip r:embed="rId1">
                    <a:extLst>
                      <a:ext uri="{28A0092B-C50C-407E-A947-70E740481C1C}">
                        <a14:useLocalDpi xmlns:a14="http://schemas.microsoft.com/office/drawing/2010/main" val="0"/>
                      </a:ext>
                    </a:extLst>
                  </a:blip>
                  <a:stretch>
                    <a:fillRect/>
                  </a:stretch>
                </pic:blipFill>
                <pic:spPr>
                  <a:xfrm>
                    <a:off x="0" y="0"/>
                    <a:ext cx="1453896" cy="107899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7047" w:rsidRDefault="000A7047" w:rsidP="00A7436B">
    <w:pPr>
      <w:pStyle w:val="Header"/>
      <w:tabs>
        <w:tab w:val="clear" w:pos="8306"/>
        <w:tab w:val="right" w:pos="8370"/>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15:restartNumberingAfterBreak="0">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15:restartNumberingAfterBreak="0">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15:restartNumberingAfterBreak="0">
    <w:nsid w:val="6A5221E0"/>
    <w:multiLevelType w:val="hybridMultilevel"/>
    <w:tmpl w:val="8C30AB8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6"/>
  </w:num>
  <w:num w:numId="4">
    <w:abstractNumId w:val="2"/>
  </w:num>
  <w:num w:numId="5">
    <w:abstractNumId w:val="10"/>
  </w:num>
  <w:num w:numId="6">
    <w:abstractNumId w:val="12"/>
  </w:num>
  <w:num w:numId="7">
    <w:abstractNumId w:val="4"/>
  </w:num>
  <w:num w:numId="8">
    <w:abstractNumId w:val="13"/>
  </w:num>
  <w:num w:numId="9">
    <w:abstractNumId w:val="0"/>
  </w:num>
  <w:num w:numId="10">
    <w:abstractNumId w:val="5"/>
  </w:num>
  <w:num w:numId="11">
    <w:abstractNumId w:val="7"/>
  </w:num>
  <w:num w:numId="12">
    <w:abstractNumId w:val="3"/>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4BE"/>
    <w:rsid w:val="00003DC9"/>
    <w:rsid w:val="0001345C"/>
    <w:rsid w:val="0001729E"/>
    <w:rsid w:val="0001799B"/>
    <w:rsid w:val="00020A66"/>
    <w:rsid w:val="00027C6D"/>
    <w:rsid w:val="00031134"/>
    <w:rsid w:val="0003314A"/>
    <w:rsid w:val="00035040"/>
    <w:rsid w:val="0004074A"/>
    <w:rsid w:val="00041C0E"/>
    <w:rsid w:val="00041F4E"/>
    <w:rsid w:val="00045058"/>
    <w:rsid w:val="00046892"/>
    <w:rsid w:val="000514D6"/>
    <w:rsid w:val="00051501"/>
    <w:rsid w:val="00052AC9"/>
    <w:rsid w:val="00055F8B"/>
    <w:rsid w:val="000646C2"/>
    <w:rsid w:val="00067A51"/>
    <w:rsid w:val="0007051C"/>
    <w:rsid w:val="00090D0B"/>
    <w:rsid w:val="0009144E"/>
    <w:rsid w:val="00092F61"/>
    <w:rsid w:val="00095613"/>
    <w:rsid w:val="000A7047"/>
    <w:rsid w:val="000B079C"/>
    <w:rsid w:val="000C5940"/>
    <w:rsid w:val="000D4C76"/>
    <w:rsid w:val="000D52EF"/>
    <w:rsid w:val="000E6407"/>
    <w:rsid w:val="000F0B14"/>
    <w:rsid w:val="00111569"/>
    <w:rsid w:val="00114D10"/>
    <w:rsid w:val="001176D4"/>
    <w:rsid w:val="00127070"/>
    <w:rsid w:val="0013233A"/>
    <w:rsid w:val="0013530D"/>
    <w:rsid w:val="00137A4F"/>
    <w:rsid w:val="00140E03"/>
    <w:rsid w:val="00156469"/>
    <w:rsid w:val="0016049D"/>
    <w:rsid w:val="001609EB"/>
    <w:rsid w:val="001757B3"/>
    <w:rsid w:val="00176CB9"/>
    <w:rsid w:val="00176FC1"/>
    <w:rsid w:val="00177E6C"/>
    <w:rsid w:val="001803C7"/>
    <w:rsid w:val="0018603F"/>
    <w:rsid w:val="00190C2A"/>
    <w:rsid w:val="001922E5"/>
    <w:rsid w:val="001933FE"/>
    <w:rsid w:val="001A2D26"/>
    <w:rsid w:val="001A3A61"/>
    <w:rsid w:val="001A492B"/>
    <w:rsid w:val="001B07DE"/>
    <w:rsid w:val="001B0C65"/>
    <w:rsid w:val="001C27DD"/>
    <w:rsid w:val="001C362B"/>
    <w:rsid w:val="001C6047"/>
    <w:rsid w:val="001F48E9"/>
    <w:rsid w:val="001F52EC"/>
    <w:rsid w:val="00201CDD"/>
    <w:rsid w:val="00213D9F"/>
    <w:rsid w:val="00230968"/>
    <w:rsid w:val="00244E4F"/>
    <w:rsid w:val="00247144"/>
    <w:rsid w:val="002472F7"/>
    <w:rsid w:val="002610EA"/>
    <w:rsid w:val="00261DC8"/>
    <w:rsid w:val="0026650A"/>
    <w:rsid w:val="00267ED9"/>
    <w:rsid w:val="0027020F"/>
    <w:rsid w:val="002741D2"/>
    <w:rsid w:val="002761DE"/>
    <w:rsid w:val="00285EB3"/>
    <w:rsid w:val="00290616"/>
    <w:rsid w:val="002918D3"/>
    <w:rsid w:val="0029756F"/>
    <w:rsid w:val="002A5EFF"/>
    <w:rsid w:val="002C06A3"/>
    <w:rsid w:val="002C20E4"/>
    <w:rsid w:val="002C504C"/>
    <w:rsid w:val="002C6E3F"/>
    <w:rsid w:val="002D0B28"/>
    <w:rsid w:val="002E020F"/>
    <w:rsid w:val="002E4833"/>
    <w:rsid w:val="002E5700"/>
    <w:rsid w:val="002F51A2"/>
    <w:rsid w:val="003026A1"/>
    <w:rsid w:val="003043FB"/>
    <w:rsid w:val="00304BD7"/>
    <w:rsid w:val="00316161"/>
    <w:rsid w:val="003263B8"/>
    <w:rsid w:val="00336963"/>
    <w:rsid w:val="00340388"/>
    <w:rsid w:val="00345289"/>
    <w:rsid w:val="003456E2"/>
    <w:rsid w:val="00353650"/>
    <w:rsid w:val="00354513"/>
    <w:rsid w:val="00363CFE"/>
    <w:rsid w:val="00371ADF"/>
    <w:rsid w:val="003723FC"/>
    <w:rsid w:val="0038195D"/>
    <w:rsid w:val="00397C0E"/>
    <w:rsid w:val="003B5303"/>
    <w:rsid w:val="003B7EA0"/>
    <w:rsid w:val="003C4403"/>
    <w:rsid w:val="003D1154"/>
    <w:rsid w:val="003D1207"/>
    <w:rsid w:val="003D3A7C"/>
    <w:rsid w:val="003D523D"/>
    <w:rsid w:val="003E1BA5"/>
    <w:rsid w:val="003F3EDE"/>
    <w:rsid w:val="003F4D1A"/>
    <w:rsid w:val="003F4E95"/>
    <w:rsid w:val="0040487A"/>
    <w:rsid w:val="00405690"/>
    <w:rsid w:val="00416DEE"/>
    <w:rsid w:val="00421020"/>
    <w:rsid w:val="00421DB2"/>
    <w:rsid w:val="004272A8"/>
    <w:rsid w:val="00430337"/>
    <w:rsid w:val="004377D4"/>
    <w:rsid w:val="004564E9"/>
    <w:rsid w:val="004676BC"/>
    <w:rsid w:val="00471EEA"/>
    <w:rsid w:val="004754AE"/>
    <w:rsid w:val="004837D7"/>
    <w:rsid w:val="00492B38"/>
    <w:rsid w:val="004A6465"/>
    <w:rsid w:val="004B3AFA"/>
    <w:rsid w:val="004B6506"/>
    <w:rsid w:val="004C3373"/>
    <w:rsid w:val="004C4CF3"/>
    <w:rsid w:val="004C59B9"/>
    <w:rsid w:val="004C651F"/>
    <w:rsid w:val="004C6AAB"/>
    <w:rsid w:val="004D71F4"/>
    <w:rsid w:val="004E0ECD"/>
    <w:rsid w:val="004E42D5"/>
    <w:rsid w:val="004E5CC4"/>
    <w:rsid w:val="00501724"/>
    <w:rsid w:val="005023D2"/>
    <w:rsid w:val="00517098"/>
    <w:rsid w:val="005176C4"/>
    <w:rsid w:val="005251E4"/>
    <w:rsid w:val="00525B60"/>
    <w:rsid w:val="0052679B"/>
    <w:rsid w:val="00533C37"/>
    <w:rsid w:val="005421C4"/>
    <w:rsid w:val="00543C3D"/>
    <w:rsid w:val="0055693A"/>
    <w:rsid w:val="00561D1D"/>
    <w:rsid w:val="00565E13"/>
    <w:rsid w:val="005773BD"/>
    <w:rsid w:val="00585102"/>
    <w:rsid w:val="005902FD"/>
    <w:rsid w:val="005A6FCE"/>
    <w:rsid w:val="005C03B8"/>
    <w:rsid w:val="005C0EFF"/>
    <w:rsid w:val="005D49C3"/>
    <w:rsid w:val="005D56C9"/>
    <w:rsid w:val="005E1B32"/>
    <w:rsid w:val="005F03FA"/>
    <w:rsid w:val="005F2065"/>
    <w:rsid w:val="0060105E"/>
    <w:rsid w:val="00612216"/>
    <w:rsid w:val="0061623B"/>
    <w:rsid w:val="00625430"/>
    <w:rsid w:val="00642787"/>
    <w:rsid w:val="00654735"/>
    <w:rsid w:val="00666F90"/>
    <w:rsid w:val="00667C71"/>
    <w:rsid w:val="00674BFD"/>
    <w:rsid w:val="00676EE8"/>
    <w:rsid w:val="00676FBA"/>
    <w:rsid w:val="006773A3"/>
    <w:rsid w:val="006818C8"/>
    <w:rsid w:val="00682ED5"/>
    <w:rsid w:val="00684FFC"/>
    <w:rsid w:val="00693891"/>
    <w:rsid w:val="006A7F91"/>
    <w:rsid w:val="00701590"/>
    <w:rsid w:val="00713276"/>
    <w:rsid w:val="0071689B"/>
    <w:rsid w:val="00717BBE"/>
    <w:rsid w:val="0072053C"/>
    <w:rsid w:val="00724BAE"/>
    <w:rsid w:val="007255EF"/>
    <w:rsid w:val="00734810"/>
    <w:rsid w:val="0074132D"/>
    <w:rsid w:val="007466AC"/>
    <w:rsid w:val="007546F0"/>
    <w:rsid w:val="00761C11"/>
    <w:rsid w:val="007630FF"/>
    <w:rsid w:val="00774E7D"/>
    <w:rsid w:val="007804B0"/>
    <w:rsid w:val="007804FA"/>
    <w:rsid w:val="0078318B"/>
    <w:rsid w:val="00787BB3"/>
    <w:rsid w:val="007A43DA"/>
    <w:rsid w:val="007D0822"/>
    <w:rsid w:val="007D1F80"/>
    <w:rsid w:val="007D2C2C"/>
    <w:rsid w:val="007E4474"/>
    <w:rsid w:val="007E5FED"/>
    <w:rsid w:val="007E66ED"/>
    <w:rsid w:val="007F23B1"/>
    <w:rsid w:val="00803A1F"/>
    <w:rsid w:val="008101F5"/>
    <w:rsid w:val="008128D2"/>
    <w:rsid w:val="00816FD9"/>
    <w:rsid w:val="00820504"/>
    <w:rsid w:val="0082298F"/>
    <w:rsid w:val="008359C6"/>
    <w:rsid w:val="00842DAD"/>
    <w:rsid w:val="00845D8C"/>
    <w:rsid w:val="00846341"/>
    <w:rsid w:val="008465BB"/>
    <w:rsid w:val="00847563"/>
    <w:rsid w:val="008500B7"/>
    <w:rsid w:val="00850E08"/>
    <w:rsid w:val="00856D70"/>
    <w:rsid w:val="0087013A"/>
    <w:rsid w:val="00870B13"/>
    <w:rsid w:val="00877096"/>
    <w:rsid w:val="00887493"/>
    <w:rsid w:val="00892D52"/>
    <w:rsid w:val="00893F12"/>
    <w:rsid w:val="008B770D"/>
    <w:rsid w:val="008C09AA"/>
    <w:rsid w:val="008D14A1"/>
    <w:rsid w:val="008F1847"/>
    <w:rsid w:val="008F4DD7"/>
    <w:rsid w:val="0090156C"/>
    <w:rsid w:val="009101AF"/>
    <w:rsid w:val="00911070"/>
    <w:rsid w:val="0093609D"/>
    <w:rsid w:val="0094280A"/>
    <w:rsid w:val="00942CFF"/>
    <w:rsid w:val="00943160"/>
    <w:rsid w:val="00950E23"/>
    <w:rsid w:val="00954780"/>
    <w:rsid w:val="00972192"/>
    <w:rsid w:val="00986936"/>
    <w:rsid w:val="00992757"/>
    <w:rsid w:val="00994AB5"/>
    <w:rsid w:val="009C01A1"/>
    <w:rsid w:val="009E37AA"/>
    <w:rsid w:val="009E7597"/>
    <w:rsid w:val="009F1084"/>
    <w:rsid w:val="009F7A56"/>
    <w:rsid w:val="00A0483E"/>
    <w:rsid w:val="00A172E4"/>
    <w:rsid w:val="00A212BA"/>
    <w:rsid w:val="00A24B53"/>
    <w:rsid w:val="00A3056F"/>
    <w:rsid w:val="00A41876"/>
    <w:rsid w:val="00A42E8C"/>
    <w:rsid w:val="00A442E1"/>
    <w:rsid w:val="00A70329"/>
    <w:rsid w:val="00A7436B"/>
    <w:rsid w:val="00A85295"/>
    <w:rsid w:val="00A94992"/>
    <w:rsid w:val="00A97B21"/>
    <w:rsid w:val="00AA5943"/>
    <w:rsid w:val="00AB1BEA"/>
    <w:rsid w:val="00AB28A5"/>
    <w:rsid w:val="00AB392A"/>
    <w:rsid w:val="00AB6B71"/>
    <w:rsid w:val="00AC612F"/>
    <w:rsid w:val="00AE4818"/>
    <w:rsid w:val="00AE5169"/>
    <w:rsid w:val="00AF6F21"/>
    <w:rsid w:val="00B003FE"/>
    <w:rsid w:val="00B0345F"/>
    <w:rsid w:val="00B03981"/>
    <w:rsid w:val="00B22439"/>
    <w:rsid w:val="00B26431"/>
    <w:rsid w:val="00B30BE7"/>
    <w:rsid w:val="00B3269B"/>
    <w:rsid w:val="00B33500"/>
    <w:rsid w:val="00B40A17"/>
    <w:rsid w:val="00B51F92"/>
    <w:rsid w:val="00B534BE"/>
    <w:rsid w:val="00B55F2B"/>
    <w:rsid w:val="00B8420B"/>
    <w:rsid w:val="00B92E15"/>
    <w:rsid w:val="00BA526A"/>
    <w:rsid w:val="00BA75A9"/>
    <w:rsid w:val="00BB6DC5"/>
    <w:rsid w:val="00BC2C8A"/>
    <w:rsid w:val="00BD0045"/>
    <w:rsid w:val="00BD55CD"/>
    <w:rsid w:val="00BE1A9D"/>
    <w:rsid w:val="00BE245F"/>
    <w:rsid w:val="00BF074E"/>
    <w:rsid w:val="00BF5BA6"/>
    <w:rsid w:val="00C13498"/>
    <w:rsid w:val="00C17C6B"/>
    <w:rsid w:val="00C17D66"/>
    <w:rsid w:val="00C20202"/>
    <w:rsid w:val="00C27798"/>
    <w:rsid w:val="00C50D2F"/>
    <w:rsid w:val="00C54640"/>
    <w:rsid w:val="00C54848"/>
    <w:rsid w:val="00C67976"/>
    <w:rsid w:val="00C7188E"/>
    <w:rsid w:val="00C81AAD"/>
    <w:rsid w:val="00C8227D"/>
    <w:rsid w:val="00C84581"/>
    <w:rsid w:val="00CB2B0C"/>
    <w:rsid w:val="00CB6708"/>
    <w:rsid w:val="00CB7799"/>
    <w:rsid w:val="00CC795C"/>
    <w:rsid w:val="00CD2293"/>
    <w:rsid w:val="00CD5B23"/>
    <w:rsid w:val="00CD7501"/>
    <w:rsid w:val="00CE057F"/>
    <w:rsid w:val="00CE163A"/>
    <w:rsid w:val="00CE2721"/>
    <w:rsid w:val="00CE6157"/>
    <w:rsid w:val="00CF562E"/>
    <w:rsid w:val="00D050AA"/>
    <w:rsid w:val="00D22DA8"/>
    <w:rsid w:val="00D247A6"/>
    <w:rsid w:val="00D253CB"/>
    <w:rsid w:val="00D313EA"/>
    <w:rsid w:val="00D32652"/>
    <w:rsid w:val="00D34A7D"/>
    <w:rsid w:val="00D37454"/>
    <w:rsid w:val="00D37FEC"/>
    <w:rsid w:val="00D45075"/>
    <w:rsid w:val="00D467C8"/>
    <w:rsid w:val="00D468BE"/>
    <w:rsid w:val="00D476BE"/>
    <w:rsid w:val="00D47F87"/>
    <w:rsid w:val="00D576E0"/>
    <w:rsid w:val="00D64EE2"/>
    <w:rsid w:val="00D6511E"/>
    <w:rsid w:val="00D6548A"/>
    <w:rsid w:val="00D66985"/>
    <w:rsid w:val="00D8379C"/>
    <w:rsid w:val="00D875B6"/>
    <w:rsid w:val="00D927CD"/>
    <w:rsid w:val="00D93D15"/>
    <w:rsid w:val="00D95939"/>
    <w:rsid w:val="00D97DBC"/>
    <w:rsid w:val="00DC2437"/>
    <w:rsid w:val="00DC2BF5"/>
    <w:rsid w:val="00DF0D05"/>
    <w:rsid w:val="00DF2965"/>
    <w:rsid w:val="00E0318C"/>
    <w:rsid w:val="00E050A6"/>
    <w:rsid w:val="00E23D98"/>
    <w:rsid w:val="00E54DF1"/>
    <w:rsid w:val="00E618FE"/>
    <w:rsid w:val="00E74542"/>
    <w:rsid w:val="00E761BF"/>
    <w:rsid w:val="00E90CA1"/>
    <w:rsid w:val="00E93C97"/>
    <w:rsid w:val="00EB44D8"/>
    <w:rsid w:val="00ED2B58"/>
    <w:rsid w:val="00ED5076"/>
    <w:rsid w:val="00EE54DA"/>
    <w:rsid w:val="00EE6261"/>
    <w:rsid w:val="00EE6C63"/>
    <w:rsid w:val="00EF30E5"/>
    <w:rsid w:val="00EF6454"/>
    <w:rsid w:val="00F03EFC"/>
    <w:rsid w:val="00F066B3"/>
    <w:rsid w:val="00F11A00"/>
    <w:rsid w:val="00F15970"/>
    <w:rsid w:val="00F174ED"/>
    <w:rsid w:val="00F236A0"/>
    <w:rsid w:val="00F55162"/>
    <w:rsid w:val="00F56D41"/>
    <w:rsid w:val="00F63B21"/>
    <w:rsid w:val="00F720C7"/>
    <w:rsid w:val="00F72F57"/>
    <w:rsid w:val="00F80084"/>
    <w:rsid w:val="00F83134"/>
    <w:rsid w:val="00F87464"/>
    <w:rsid w:val="00F95C88"/>
    <w:rsid w:val="00F96FBA"/>
    <w:rsid w:val="00FA1969"/>
    <w:rsid w:val="00FA370B"/>
    <w:rsid w:val="00FA7830"/>
    <w:rsid w:val="00FB252D"/>
    <w:rsid w:val="00FB2652"/>
    <w:rsid w:val="00FB2F1E"/>
    <w:rsid w:val="00FC752A"/>
    <w:rsid w:val="00FE12E5"/>
    <w:rsid w:val="00FE262C"/>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4E16BCB"/>
  <w15:docId w15:val="{8E2C6FBC-C1E9-4819-8747-52B1220FF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Caption">
    <w:name w:val="caption"/>
    <w:basedOn w:val="Normal"/>
    <w:next w:val="Normal"/>
    <w:qFormat/>
    <w:rsid w:val="002D0B28"/>
    <w:pPr>
      <w:spacing w:after="240" w:line="360" w:lineRule="auto"/>
      <w:ind w:left="851" w:hanging="851"/>
      <w:jc w:val="left"/>
    </w:pPr>
    <w:rPr>
      <w:rFonts w:ascii="Arial" w:eastAsia="Times New Roman" w:hAnsi="Arial" w:cs="Times New Roman"/>
      <w: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641859">
      <w:bodyDiv w:val="1"/>
      <w:marLeft w:val="0"/>
      <w:marRight w:val="0"/>
      <w:marTop w:val="0"/>
      <w:marBottom w:val="0"/>
      <w:divBdr>
        <w:top w:val="none" w:sz="0" w:space="0" w:color="auto"/>
        <w:left w:val="none" w:sz="0" w:space="0" w:color="auto"/>
        <w:bottom w:val="none" w:sz="0" w:space="0" w:color="auto"/>
        <w:right w:val="none" w:sz="0" w:space="0" w:color="auto"/>
      </w:divBdr>
    </w:div>
    <w:div w:id="791434294">
      <w:bodyDiv w:val="1"/>
      <w:marLeft w:val="0"/>
      <w:marRight w:val="0"/>
      <w:marTop w:val="0"/>
      <w:marBottom w:val="0"/>
      <w:divBdr>
        <w:top w:val="none" w:sz="0" w:space="0" w:color="auto"/>
        <w:left w:val="none" w:sz="0" w:space="0" w:color="auto"/>
        <w:bottom w:val="none" w:sz="0" w:space="0" w:color="auto"/>
        <w:right w:val="none" w:sz="0" w:space="0" w:color="auto"/>
      </w:divBdr>
    </w:div>
    <w:div w:id="802118073">
      <w:bodyDiv w:val="1"/>
      <w:marLeft w:val="0"/>
      <w:marRight w:val="0"/>
      <w:marTop w:val="0"/>
      <w:marBottom w:val="0"/>
      <w:divBdr>
        <w:top w:val="none" w:sz="0" w:space="0" w:color="auto"/>
        <w:left w:val="none" w:sz="0" w:space="0" w:color="auto"/>
        <w:bottom w:val="none" w:sz="0" w:space="0" w:color="auto"/>
        <w:right w:val="none" w:sz="0" w:space="0" w:color="auto"/>
      </w:divBdr>
    </w:div>
    <w:div w:id="843589054">
      <w:bodyDiv w:val="1"/>
      <w:marLeft w:val="0"/>
      <w:marRight w:val="0"/>
      <w:marTop w:val="0"/>
      <w:marBottom w:val="0"/>
      <w:divBdr>
        <w:top w:val="none" w:sz="0" w:space="0" w:color="auto"/>
        <w:left w:val="none" w:sz="0" w:space="0" w:color="auto"/>
        <w:bottom w:val="none" w:sz="0" w:space="0" w:color="auto"/>
        <w:right w:val="none" w:sz="0" w:space="0" w:color="auto"/>
      </w:divBdr>
    </w:div>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124157291">
      <w:bodyDiv w:val="1"/>
      <w:marLeft w:val="0"/>
      <w:marRight w:val="0"/>
      <w:marTop w:val="0"/>
      <w:marBottom w:val="0"/>
      <w:divBdr>
        <w:top w:val="none" w:sz="0" w:space="0" w:color="auto"/>
        <w:left w:val="none" w:sz="0" w:space="0" w:color="auto"/>
        <w:bottom w:val="none" w:sz="0" w:space="0" w:color="auto"/>
        <w:right w:val="none" w:sz="0" w:space="0" w:color="auto"/>
      </w:divBdr>
    </w:div>
    <w:div w:id="1432898231">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487356385">
      <w:bodyDiv w:val="1"/>
      <w:marLeft w:val="0"/>
      <w:marRight w:val="0"/>
      <w:marTop w:val="0"/>
      <w:marBottom w:val="0"/>
      <w:divBdr>
        <w:top w:val="none" w:sz="0" w:space="0" w:color="auto"/>
        <w:left w:val="none" w:sz="0" w:space="0" w:color="auto"/>
        <w:bottom w:val="none" w:sz="0" w:space="0" w:color="auto"/>
        <w:right w:val="none" w:sz="0" w:space="0" w:color="auto"/>
      </w:divBdr>
    </w:div>
    <w:div w:id="1536193982">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28549657">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 w:id="1954241779">
      <w:bodyDiv w:val="1"/>
      <w:marLeft w:val="0"/>
      <w:marRight w:val="0"/>
      <w:marTop w:val="0"/>
      <w:marBottom w:val="0"/>
      <w:divBdr>
        <w:top w:val="none" w:sz="0" w:space="0" w:color="auto"/>
        <w:left w:val="none" w:sz="0" w:space="0" w:color="auto"/>
        <w:bottom w:val="none" w:sz="0" w:space="0" w:color="auto"/>
        <w:right w:val="none" w:sz="0" w:space="0" w:color="auto"/>
      </w:divBdr>
    </w:div>
    <w:div w:id="196306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3.xml"/><Relationship Id="rId18"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hart" Target="charts/chart2.xml"/><Relationship Id="rId17" Type="http://schemas.openxmlformats.org/officeDocument/2006/relationships/hyperlink" Target="http://www.athexgroup.gr" TargetMode="External"/><Relationship Id="rId2" Type="http://schemas.openxmlformats.org/officeDocument/2006/relationships/customXml" Target="../customXml/item2.xml"/><Relationship Id="rId16" Type="http://schemas.openxmlformats.org/officeDocument/2006/relationships/hyperlink" Target="http://www.helex.gr/el/i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mailto:Information-Services-Dpt@athexgroup.gr" TargetMode="Externa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hyperlink" Target="http://www.athexgroup.gr/el/web/guest/statistics-publication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l-GR"/>
              <a:t>Αξία Συναλλαγών Χ.Α. (εκ. €)</a:t>
            </a:r>
          </a:p>
        </c:rich>
      </c:tx>
      <c:layout>
        <c:manualLayout>
          <c:xMode val="edge"/>
          <c:yMode val="edge"/>
          <c:x val="0.38310776594102208"/>
          <c:y val="2.5126186149808199E-2"/>
        </c:manualLayout>
      </c:layout>
      <c:overlay val="0"/>
      <c:spPr>
        <a:noFill/>
        <a:ln w="25400">
          <a:noFill/>
        </a:ln>
      </c:spPr>
    </c:title>
    <c:autoTitleDeleted val="0"/>
    <c:plotArea>
      <c:layout>
        <c:manualLayout>
          <c:layoutTarget val="inner"/>
          <c:xMode val="edge"/>
          <c:yMode val="edge"/>
          <c:x val="4.8873578302712162E-2"/>
          <c:y val="0.16583016296179973"/>
          <c:w val="0.92815946422190188"/>
          <c:h val="0.58221488017515388"/>
        </c:manualLayout>
      </c:layout>
      <c:barChart>
        <c:barDir val="col"/>
        <c:grouping val="clustered"/>
        <c:varyColors val="0"/>
        <c:ser>
          <c:idx val="1"/>
          <c:order val="0"/>
          <c:tx>
            <c:strRef>
              <c:f>'Transactions Value'!$H$1</c:f>
              <c:strCache>
                <c:ptCount val="1"/>
                <c:pt idx="0">
                  <c:v>Αξία Συναλλαγών</c:v>
                </c:pt>
              </c:strCache>
            </c:strRef>
          </c:tx>
          <c:spPr>
            <a:solidFill>
              <a:srgbClr val="CFD5E3"/>
            </a:solidFill>
            <a:ln w="3175">
              <a:solidFill>
                <a:srgbClr val="7A89B0"/>
              </a:solidFill>
              <a:prstDash val="solid"/>
            </a:ln>
          </c:spPr>
          <c:invertIfNegative val="0"/>
          <c:dPt>
            <c:idx val="11"/>
            <c:invertIfNegative val="0"/>
            <c:bubble3D val="0"/>
            <c:spPr>
              <a:solidFill>
                <a:srgbClr val="DDE1EB"/>
              </a:solidFill>
              <a:ln w="3175">
                <a:solidFill>
                  <a:srgbClr val="7A89B0"/>
                </a:solidFill>
                <a:prstDash val="solid"/>
              </a:ln>
            </c:spPr>
            <c:extLst>
              <c:ext xmlns:c16="http://schemas.microsoft.com/office/drawing/2014/chart" uri="{C3380CC4-5D6E-409C-BE32-E72D297353CC}">
                <c16:uniqueId val="{00000001-1984-4953-9F21-2826FA276618}"/>
              </c:ext>
            </c:extLst>
          </c:dPt>
          <c:dPt>
            <c:idx val="12"/>
            <c:invertIfNegative val="0"/>
            <c:bubble3D val="0"/>
            <c:spPr>
              <a:gradFill>
                <a:gsLst>
                  <a:gs pos="0">
                    <a:srgbClr val="6274A2">
                      <a:shade val="30000"/>
                      <a:satMod val="115000"/>
                    </a:srgbClr>
                  </a:gs>
                  <a:gs pos="50000">
                    <a:srgbClr val="6274A2">
                      <a:shade val="67500"/>
                      <a:satMod val="115000"/>
                    </a:srgbClr>
                  </a:gs>
                  <a:gs pos="100000">
                    <a:srgbClr val="6274A2">
                      <a:shade val="100000"/>
                      <a:satMod val="115000"/>
                    </a:srgbClr>
                  </a:gs>
                </a:gsLst>
                <a:lin ang="2700000" scaled="1"/>
              </a:gradFill>
              <a:ln w="3175">
                <a:solidFill>
                  <a:srgbClr val="7A89B0"/>
                </a:solidFill>
                <a:prstDash val="solid"/>
              </a:ln>
            </c:spPr>
            <c:extLst>
              <c:ext xmlns:c16="http://schemas.microsoft.com/office/drawing/2014/chart" uri="{C3380CC4-5D6E-409C-BE32-E72D297353CC}">
                <c16:uniqueId val="{00000003-1984-4953-9F21-2826FA276618}"/>
              </c:ext>
            </c:extLst>
          </c:dPt>
          <c:dLbls>
            <c:dLbl>
              <c:idx val="0"/>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6="http://schemas.microsoft.com/office/drawing/2014/chart" uri="{C3380CC4-5D6E-409C-BE32-E72D297353CC}">
                  <c16:uniqueId val="{00000004-1984-4953-9F21-2826FA276618}"/>
                </c:ext>
              </c:extLst>
            </c:dLbl>
            <c:dLbl>
              <c:idx val="1"/>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6="http://schemas.microsoft.com/office/drawing/2014/chart" uri="{C3380CC4-5D6E-409C-BE32-E72D297353CC}">
                  <c16:uniqueId val="{00000005-1984-4953-9F21-2826FA276618}"/>
                </c:ext>
              </c:extLst>
            </c:dLbl>
            <c:dLbl>
              <c:idx val="8"/>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6="http://schemas.microsoft.com/office/drawing/2014/chart" uri="{C3380CC4-5D6E-409C-BE32-E72D297353CC}">
                  <c16:uniqueId val="{00000006-1984-4953-9F21-2826FA276618}"/>
                </c:ext>
              </c:extLst>
            </c:dLbl>
            <c:dLbl>
              <c:idx val="11"/>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6="http://schemas.microsoft.com/office/drawing/2014/chart" uri="{C3380CC4-5D6E-409C-BE32-E72D297353CC}">
                  <c16:uniqueId val="{00000001-1984-4953-9F21-2826FA276618}"/>
                </c:ext>
              </c:extLst>
            </c:dLbl>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'Transactions Value'!$F$137:$F$149</c:f>
              <c:strCache>
                <c:ptCount val="13"/>
                <c:pt idx="0">
                  <c:v>Μαρ-2020</c:v>
                </c:pt>
                <c:pt idx="1">
                  <c:v>Απρ-2020</c:v>
                </c:pt>
                <c:pt idx="2">
                  <c:v>Μαϊ-2020</c:v>
                </c:pt>
                <c:pt idx="3">
                  <c:v>Ιουν-2020</c:v>
                </c:pt>
                <c:pt idx="4">
                  <c:v>Ιουλ-2020</c:v>
                </c:pt>
                <c:pt idx="5">
                  <c:v>Αυγ-2020</c:v>
                </c:pt>
                <c:pt idx="6">
                  <c:v>Σεπ-2020</c:v>
                </c:pt>
                <c:pt idx="7">
                  <c:v>Οκτ-2020</c:v>
                </c:pt>
                <c:pt idx="8">
                  <c:v>Νοε-2020</c:v>
                </c:pt>
                <c:pt idx="9">
                  <c:v>Δεκ-2020</c:v>
                </c:pt>
                <c:pt idx="10">
                  <c:v>Ιαν-2021</c:v>
                </c:pt>
                <c:pt idx="11">
                  <c:v>Φεβ-2021</c:v>
                </c:pt>
                <c:pt idx="12">
                  <c:v>Μαρ-2021</c:v>
                </c:pt>
              </c:strCache>
            </c:strRef>
          </c:cat>
          <c:val>
            <c:numRef>
              <c:f>'Transactions Value'!$I$137:$I$149</c:f>
              <c:numCache>
                <c:formatCode>#,##0.0</c:formatCode>
                <c:ptCount val="13"/>
                <c:pt idx="0">
                  <c:v>1822.7144554599997</c:v>
                </c:pt>
                <c:pt idx="1">
                  <c:v>1022.75877853</c:v>
                </c:pt>
                <c:pt idx="2">
                  <c:v>1418.24635272</c:v>
                </c:pt>
                <c:pt idx="3">
                  <c:v>1424.1962006100002</c:v>
                </c:pt>
                <c:pt idx="4">
                  <c:v>1155.9445531200001</c:v>
                </c:pt>
                <c:pt idx="5">
                  <c:v>638.18257535000009</c:v>
                </c:pt>
                <c:pt idx="6">
                  <c:v>966.19128914999999</c:v>
                </c:pt>
                <c:pt idx="7">
                  <c:v>910.75573493000024</c:v>
                </c:pt>
                <c:pt idx="8">
                  <c:v>1577.7245005399998</c:v>
                </c:pt>
                <c:pt idx="9">
                  <c:v>1899.3029575200001</c:v>
                </c:pt>
                <c:pt idx="10">
                  <c:v>1238.32280952</c:v>
                </c:pt>
                <c:pt idx="11">
                  <c:v>1163.1160618199999</c:v>
                </c:pt>
                <c:pt idx="12">
                  <c:v>2093.6407434199996</c:v>
                </c:pt>
              </c:numCache>
            </c:numRef>
          </c:val>
          <c:extLst>
            <c:ext xmlns:c16="http://schemas.microsoft.com/office/drawing/2014/chart" uri="{C3380CC4-5D6E-409C-BE32-E72D297353CC}">
              <c16:uniqueId val="{00000007-1984-4953-9F21-2826FA276618}"/>
            </c:ext>
          </c:extLst>
        </c:ser>
        <c:dLbls>
          <c:showLegendKey val="0"/>
          <c:showVal val="0"/>
          <c:showCatName val="0"/>
          <c:showSerName val="0"/>
          <c:showPercent val="0"/>
          <c:showBubbleSize val="0"/>
        </c:dLbls>
        <c:gapWidth val="150"/>
        <c:axId val="738462048"/>
        <c:axId val="1"/>
      </c:barChart>
      <c:catAx>
        <c:axId val="738462048"/>
        <c:scaling>
          <c:orientation val="minMax"/>
        </c:scaling>
        <c:delete val="0"/>
        <c:axPos val="b"/>
        <c:numFmt formatCode="General" sourceLinked="1"/>
        <c:majorTickMark val="out"/>
        <c:minorTickMark val="none"/>
        <c:tickLblPos val="nextTo"/>
        <c:spPr>
          <a:ln w="9525">
            <a:noFill/>
          </a:ln>
        </c:spPr>
        <c:txPr>
          <a:bodyPr rot="0" vert="horz"/>
          <a:lstStyle/>
          <a:p>
            <a:pPr rtl="1">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0"/>
        <c:tickLblSkip val="1"/>
        <c:tickMarkSkip val="1"/>
        <c:noMultiLvlLbl val="0"/>
      </c:catAx>
      <c:valAx>
        <c:axId val="1"/>
        <c:scaling>
          <c:orientation val="minMax"/>
          <c:max val="2600"/>
          <c:min val="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738462048"/>
        <c:crosses val="autoZero"/>
        <c:crossBetween val="between"/>
        <c:majorUnit val="500"/>
      </c:valAx>
      <c:spPr>
        <a:solidFill>
          <a:srgbClr val="FFFFFF"/>
        </a:solidFill>
        <a:ln w="3175">
          <a:solidFill>
            <a:srgbClr val="7A89B0"/>
          </a:solidFill>
          <a:prstDash val="solid"/>
        </a:ln>
      </c:spPr>
    </c:plotArea>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l-GR"/>
              <a:t>Κεφαλαιοποίηση Χ.Α. (δις €)</a:t>
            </a:r>
          </a:p>
        </c:rich>
      </c:tx>
      <c:layout>
        <c:manualLayout>
          <c:xMode val="edge"/>
          <c:yMode val="edge"/>
          <c:x val="0.41415705519204471"/>
          <c:y val="2.5124924288310115E-2"/>
        </c:manualLayout>
      </c:layout>
      <c:overlay val="0"/>
      <c:spPr>
        <a:noFill/>
        <a:ln w="25400">
          <a:noFill/>
        </a:ln>
      </c:spPr>
    </c:title>
    <c:autoTitleDeleted val="0"/>
    <c:plotArea>
      <c:layout>
        <c:manualLayout>
          <c:layoutTarget val="inner"/>
          <c:xMode val="edge"/>
          <c:yMode val="edge"/>
          <c:x val="4.3376399571651188E-2"/>
          <c:y val="0.17085531941518758"/>
          <c:w val="0.93552338050358008"/>
          <c:h val="0.64322002603364736"/>
        </c:manualLayout>
      </c:layout>
      <c:barChart>
        <c:barDir val="col"/>
        <c:grouping val="clustered"/>
        <c:varyColors val="0"/>
        <c:ser>
          <c:idx val="1"/>
          <c:order val="0"/>
          <c:tx>
            <c:strRef>
              <c:f>'Market Cap '!$H$1</c:f>
              <c:strCache>
                <c:ptCount val="1"/>
                <c:pt idx="0">
                  <c:v>Κεφαλαιοποίηση Χ.Α. (δισ. €)</c:v>
                </c:pt>
              </c:strCache>
            </c:strRef>
          </c:tx>
          <c:spPr>
            <a:solidFill>
              <a:srgbClr val="CFD5E3"/>
            </a:solidFill>
            <a:ln w="3175">
              <a:solidFill>
                <a:srgbClr val="7A89B0"/>
              </a:solidFill>
              <a:prstDash val="solid"/>
            </a:ln>
          </c:spPr>
          <c:invertIfNegative val="0"/>
          <c:dPt>
            <c:idx val="12"/>
            <c:invertIfNegative val="0"/>
            <c:bubble3D val="0"/>
            <c:spPr>
              <a:gradFill>
                <a:gsLst>
                  <a:gs pos="0">
                    <a:srgbClr val="6274A2">
                      <a:shade val="30000"/>
                      <a:satMod val="115000"/>
                    </a:srgbClr>
                  </a:gs>
                  <a:gs pos="50000">
                    <a:srgbClr val="6274A2">
                      <a:shade val="67500"/>
                      <a:satMod val="115000"/>
                    </a:srgbClr>
                  </a:gs>
                  <a:gs pos="100000">
                    <a:srgbClr val="6274A2">
                      <a:shade val="100000"/>
                      <a:satMod val="115000"/>
                    </a:srgbClr>
                  </a:gs>
                </a:gsLst>
                <a:lin ang="2700000" scaled="1"/>
              </a:gradFill>
              <a:ln w="3175">
                <a:solidFill>
                  <a:srgbClr val="7A89B0"/>
                </a:solidFill>
                <a:prstDash val="solid"/>
              </a:ln>
            </c:spPr>
            <c:extLst>
              <c:ext xmlns:c16="http://schemas.microsoft.com/office/drawing/2014/chart" uri="{C3380CC4-5D6E-409C-BE32-E72D297353CC}">
                <c16:uniqueId val="{00000001-20FC-494F-9164-067B1D5B5AB5}"/>
              </c:ext>
            </c:extLst>
          </c:dPt>
          <c:dPt>
            <c:idx val="13"/>
            <c:invertIfNegative val="0"/>
            <c:bubble3D val="0"/>
            <c:spPr>
              <a:solidFill>
                <a:srgbClr val="CFD5E3"/>
              </a:solidFill>
              <a:ln w="3175">
                <a:solidFill>
                  <a:schemeClr val="accent1"/>
                </a:solidFill>
                <a:prstDash val="solid"/>
              </a:ln>
            </c:spPr>
            <c:extLst>
              <c:ext xmlns:c16="http://schemas.microsoft.com/office/drawing/2014/chart" uri="{C3380CC4-5D6E-409C-BE32-E72D297353CC}">
                <c16:uniqueId val="{00000003-20FC-494F-9164-067B1D5B5AB5}"/>
              </c:ext>
            </c:extLst>
          </c:dPt>
          <c:dLbls>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'Market Cap '!$F$136:$F$148</c:f>
              <c:strCache>
                <c:ptCount val="13"/>
                <c:pt idx="0">
                  <c:v>Μαρ-2020</c:v>
                </c:pt>
                <c:pt idx="1">
                  <c:v>Απρ-2020</c:v>
                </c:pt>
                <c:pt idx="2">
                  <c:v>Μαϊ-2020</c:v>
                </c:pt>
                <c:pt idx="3">
                  <c:v>Ιουν-2020</c:v>
                </c:pt>
                <c:pt idx="4">
                  <c:v>Ιουλ-2020</c:v>
                </c:pt>
                <c:pt idx="5">
                  <c:v>Αυγ-2020</c:v>
                </c:pt>
                <c:pt idx="6">
                  <c:v>Σεπ-2020</c:v>
                </c:pt>
                <c:pt idx="7">
                  <c:v>Οκτ-2020</c:v>
                </c:pt>
                <c:pt idx="8">
                  <c:v>Νοε-2020</c:v>
                </c:pt>
                <c:pt idx="9">
                  <c:v>Δεκ-2020</c:v>
                </c:pt>
                <c:pt idx="10">
                  <c:v>Ιαν-2021</c:v>
                </c:pt>
                <c:pt idx="11">
                  <c:v>Φεβ-2021</c:v>
                </c:pt>
                <c:pt idx="12">
                  <c:v>Μαρ-2021</c:v>
                </c:pt>
              </c:strCache>
            </c:strRef>
          </c:cat>
          <c:val>
            <c:numRef>
              <c:f>'Market Cap '!$I$136:$I$148</c:f>
              <c:numCache>
                <c:formatCode>#,##0.0</c:formatCode>
                <c:ptCount val="13"/>
                <c:pt idx="0">
                  <c:v>33.779759389729996</c:v>
                </c:pt>
                <c:pt idx="1">
                  <c:v>36.919834083209999</c:v>
                </c:pt>
                <c:pt idx="2">
                  <c:v>38.278700116079996</c:v>
                </c:pt>
                <c:pt idx="3">
                  <c:v>37.573812158140001</c:v>
                </c:pt>
                <c:pt idx="4">
                  <c:v>36.491737272629997</c:v>
                </c:pt>
                <c:pt idx="5">
                  <c:v>37.447050346499999</c:v>
                </c:pt>
                <c:pt idx="6">
                  <c:v>37.062714619920001</c:v>
                </c:pt>
                <c:pt idx="7">
                  <c:v>34.418789191829994</c:v>
                </c:pt>
                <c:pt idx="8">
                  <c:v>42.107538632320001</c:v>
                </c:pt>
                <c:pt idx="9">
                  <c:v>44.983236716259995</c:v>
                </c:pt>
                <c:pt idx="10">
                  <c:v>42.937223273330012</c:v>
                </c:pt>
                <c:pt idx="11">
                  <c:v>44.865142166909997</c:v>
                </c:pt>
                <c:pt idx="12">
                  <c:v>48.539553585100002</c:v>
                </c:pt>
              </c:numCache>
            </c:numRef>
          </c:val>
          <c:extLst>
            <c:ext xmlns:c16="http://schemas.microsoft.com/office/drawing/2014/chart" uri="{C3380CC4-5D6E-409C-BE32-E72D297353CC}">
              <c16:uniqueId val="{00000004-20FC-494F-9164-067B1D5B5AB5}"/>
            </c:ext>
          </c:extLst>
        </c:ser>
        <c:dLbls>
          <c:showLegendKey val="0"/>
          <c:showVal val="0"/>
          <c:showCatName val="0"/>
          <c:showSerName val="0"/>
          <c:showPercent val="0"/>
          <c:showBubbleSize val="0"/>
        </c:dLbls>
        <c:gapWidth val="150"/>
        <c:axId val="738467296"/>
        <c:axId val="1"/>
      </c:barChart>
      <c:catAx>
        <c:axId val="738467296"/>
        <c:scaling>
          <c:orientation val="minMax"/>
        </c:scaling>
        <c:delete val="0"/>
        <c:axPos val="b"/>
        <c:numFmt formatCode="General" sourceLinked="1"/>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100"/>
        <c:tickLblSkip val="1"/>
        <c:tickMarkSkip val="1"/>
        <c:noMultiLvlLbl val="0"/>
      </c:catAx>
      <c:valAx>
        <c:axId val="1"/>
        <c:scaling>
          <c:orientation val="minMax"/>
          <c:max val="60"/>
          <c:min val="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738467296"/>
        <c:crosses val="autoZero"/>
        <c:crossBetween val="between"/>
      </c:valAx>
      <c:spPr>
        <a:solidFill>
          <a:srgbClr val="FFFFFF"/>
        </a:solidFill>
        <a:ln w="3175">
          <a:solidFill>
            <a:srgbClr val="7A89B0"/>
          </a:solidFill>
          <a:prstDash val="solid"/>
        </a:ln>
      </c:spPr>
    </c:plotArea>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l-GR"/>
              <a:t>Συμμετοχή επενδυτών στην Αξία Συναλλαγών Χ.Α. (%)</a:t>
            </a:r>
          </a:p>
        </c:rich>
      </c:tx>
      <c:layout>
        <c:manualLayout>
          <c:xMode val="edge"/>
          <c:yMode val="edge"/>
          <c:x val="0.28463859221583238"/>
          <c:y val="2.5252274290956351E-2"/>
        </c:manualLayout>
      </c:layout>
      <c:overlay val="0"/>
      <c:spPr>
        <a:noFill/>
        <a:ln w="25400">
          <a:noFill/>
        </a:ln>
      </c:spPr>
    </c:title>
    <c:autoTitleDeleted val="0"/>
    <c:plotArea>
      <c:layout>
        <c:manualLayout>
          <c:layoutTarget val="inner"/>
          <c:xMode val="edge"/>
          <c:yMode val="edge"/>
          <c:x val="3.6342388830302351E-2"/>
          <c:y val="0.15656642877223786"/>
          <c:w val="0.93866483278101376"/>
          <c:h val="0.67677101469289924"/>
        </c:manualLayout>
      </c:layout>
      <c:barChart>
        <c:barDir val="col"/>
        <c:grouping val="clustered"/>
        <c:varyColors val="0"/>
        <c:ser>
          <c:idx val="0"/>
          <c:order val="0"/>
          <c:tx>
            <c:strRef>
              <c:f>'Participation in Trans Value'!$L$2</c:f>
              <c:strCache>
                <c:ptCount val="1"/>
                <c:pt idx="0">
                  <c:v>Ημεδαποί Επενδυτές</c:v>
                </c:pt>
              </c:strCache>
            </c:strRef>
          </c:tx>
          <c:spPr>
            <a:solidFill>
              <a:schemeClr val="tx2">
                <a:lumMod val="60000"/>
                <a:lumOff val="40000"/>
              </a:schemeClr>
            </a:solidFill>
            <a:ln>
              <a:solidFill>
                <a:schemeClr val="tx2">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Value'!$F$137:$F$149</c:f>
              <c:strCache>
                <c:ptCount val="13"/>
                <c:pt idx="0">
                  <c:v>Μαρ-2020</c:v>
                </c:pt>
                <c:pt idx="1">
                  <c:v>Απρ-2020</c:v>
                </c:pt>
                <c:pt idx="2">
                  <c:v>Μαϊ-2020</c:v>
                </c:pt>
                <c:pt idx="3">
                  <c:v>Ιουν-2020</c:v>
                </c:pt>
                <c:pt idx="4">
                  <c:v>Ιουλ-2020</c:v>
                </c:pt>
                <c:pt idx="5">
                  <c:v>Αυγ-2020</c:v>
                </c:pt>
                <c:pt idx="6">
                  <c:v>Σεπ-2020</c:v>
                </c:pt>
                <c:pt idx="7">
                  <c:v>Οκτ-2020</c:v>
                </c:pt>
                <c:pt idx="8">
                  <c:v>Νοε-2020</c:v>
                </c:pt>
                <c:pt idx="9">
                  <c:v>Δεκ-2020</c:v>
                </c:pt>
                <c:pt idx="10">
                  <c:v>Ιαν-2021</c:v>
                </c:pt>
                <c:pt idx="11">
                  <c:v>Φεβ-2021</c:v>
                </c:pt>
                <c:pt idx="12">
                  <c:v>Μαρ-2021</c:v>
                </c:pt>
              </c:strCache>
            </c:strRef>
          </c:cat>
          <c:val>
            <c:numRef>
              <c:f>'Participation in Trans Value'!$L$137:$L$149</c:f>
              <c:numCache>
                <c:formatCode>#,##0.0</c:formatCode>
                <c:ptCount val="13"/>
                <c:pt idx="0">
                  <c:v>47.538943587371776</c:v>
                </c:pt>
                <c:pt idx="1">
                  <c:v>53.409430135140823</c:v>
                </c:pt>
                <c:pt idx="2">
                  <c:v>40.503777815349025</c:v>
                </c:pt>
                <c:pt idx="3">
                  <c:v>51.676938724086661</c:v>
                </c:pt>
                <c:pt idx="4">
                  <c:v>48.051840395872155</c:v>
                </c:pt>
                <c:pt idx="5">
                  <c:v>45.526883200415796</c:v>
                </c:pt>
                <c:pt idx="6">
                  <c:v>50.841092269332023</c:v>
                </c:pt>
                <c:pt idx="7">
                  <c:v>54.435060394992135</c:v>
                </c:pt>
                <c:pt idx="8">
                  <c:v>51.590598680023717</c:v>
                </c:pt>
                <c:pt idx="9">
                  <c:v>54.75465394356651</c:v>
                </c:pt>
                <c:pt idx="10">
                  <c:v>54.422409808976028</c:v>
                </c:pt>
                <c:pt idx="11">
                  <c:v>48.885344314675429</c:v>
                </c:pt>
                <c:pt idx="12">
                  <c:v>42.520216788043996</c:v>
                </c:pt>
              </c:numCache>
            </c:numRef>
          </c:val>
          <c:extLst>
            <c:ext xmlns:c16="http://schemas.microsoft.com/office/drawing/2014/chart" uri="{C3380CC4-5D6E-409C-BE32-E72D297353CC}">
              <c16:uniqueId val="{00000000-C627-463C-946A-A63D47E62309}"/>
            </c:ext>
          </c:extLst>
        </c:ser>
        <c:ser>
          <c:idx val="1"/>
          <c:order val="1"/>
          <c:tx>
            <c:strRef>
              <c:f>ANAKOINWSI!$H$5</c:f>
              <c:strCache>
                <c:ptCount val="1"/>
                <c:pt idx="0">
                  <c:v>Ιδιώτες Ημεδαποί</c:v>
                </c:pt>
              </c:strCache>
            </c:strRef>
          </c:tx>
          <c:spPr>
            <a:solidFill>
              <a:schemeClr val="accent1">
                <a:lumMod val="40000"/>
                <a:lumOff val="60000"/>
              </a:schemeClr>
            </a:solidFill>
            <a:ln>
              <a:solidFill>
                <a:schemeClr val="accent1">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Value'!$F$137:$F$149</c:f>
              <c:strCache>
                <c:ptCount val="13"/>
                <c:pt idx="0">
                  <c:v>Μαρ-2020</c:v>
                </c:pt>
                <c:pt idx="1">
                  <c:v>Απρ-2020</c:v>
                </c:pt>
                <c:pt idx="2">
                  <c:v>Μαϊ-2020</c:v>
                </c:pt>
                <c:pt idx="3">
                  <c:v>Ιουν-2020</c:v>
                </c:pt>
                <c:pt idx="4">
                  <c:v>Ιουλ-2020</c:v>
                </c:pt>
                <c:pt idx="5">
                  <c:v>Αυγ-2020</c:v>
                </c:pt>
                <c:pt idx="6">
                  <c:v>Σεπ-2020</c:v>
                </c:pt>
                <c:pt idx="7">
                  <c:v>Οκτ-2020</c:v>
                </c:pt>
                <c:pt idx="8">
                  <c:v>Νοε-2020</c:v>
                </c:pt>
                <c:pt idx="9">
                  <c:v>Δεκ-2020</c:v>
                </c:pt>
                <c:pt idx="10">
                  <c:v>Ιαν-2021</c:v>
                </c:pt>
                <c:pt idx="11">
                  <c:v>Φεβ-2021</c:v>
                </c:pt>
                <c:pt idx="12">
                  <c:v>Μαρ-2021</c:v>
                </c:pt>
              </c:strCache>
            </c:strRef>
          </c:cat>
          <c:val>
            <c:numRef>
              <c:f>'Participation in Trans Value'!$I$137:$I$149</c:f>
              <c:numCache>
                <c:formatCode>#,##0.0</c:formatCode>
                <c:ptCount val="13"/>
                <c:pt idx="0">
                  <c:v>24.754278845126642</c:v>
                </c:pt>
                <c:pt idx="1">
                  <c:v>29.459364782285483</c:v>
                </c:pt>
                <c:pt idx="2">
                  <c:v>20.499302145386729</c:v>
                </c:pt>
                <c:pt idx="3">
                  <c:v>25.830073993487449</c:v>
                </c:pt>
                <c:pt idx="4">
                  <c:v>23.66273556908267</c:v>
                </c:pt>
                <c:pt idx="5">
                  <c:v>22.514595234944935</c:v>
                </c:pt>
                <c:pt idx="6">
                  <c:v>25.259102052110443</c:v>
                </c:pt>
                <c:pt idx="7">
                  <c:v>24.5829900842961</c:v>
                </c:pt>
                <c:pt idx="8">
                  <c:v>25.88056717571699</c:v>
                </c:pt>
                <c:pt idx="9">
                  <c:v>28.19703831606131</c:v>
                </c:pt>
                <c:pt idx="10">
                  <c:v>27.868859316156062</c:v>
                </c:pt>
                <c:pt idx="11">
                  <c:v>23.154702534894447</c:v>
                </c:pt>
                <c:pt idx="12">
                  <c:v>21.826771097008958</c:v>
                </c:pt>
              </c:numCache>
            </c:numRef>
          </c:val>
          <c:extLst>
            <c:ext xmlns:c16="http://schemas.microsoft.com/office/drawing/2014/chart" uri="{C3380CC4-5D6E-409C-BE32-E72D297353CC}">
              <c16:uniqueId val="{00000001-C627-463C-946A-A63D47E62309}"/>
            </c:ext>
          </c:extLst>
        </c:ser>
        <c:ser>
          <c:idx val="2"/>
          <c:order val="2"/>
          <c:tx>
            <c:strRef>
              <c:f>'Participation in Trans Value'!$K$2</c:f>
              <c:strCache>
                <c:ptCount val="1"/>
                <c:pt idx="0">
                  <c:v>Αλλοδαποί Επενδυτές</c:v>
                </c:pt>
              </c:strCache>
            </c:strRef>
          </c:tx>
          <c:spPr>
            <a:solidFill>
              <a:schemeClr val="accent5">
                <a:lumMod val="40000"/>
                <a:lumOff val="60000"/>
              </a:schemeClr>
            </a:solidFill>
            <a:ln>
              <a:solidFill>
                <a:schemeClr val="tx2">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Value'!$F$137:$F$149</c:f>
              <c:strCache>
                <c:ptCount val="13"/>
                <c:pt idx="0">
                  <c:v>Μαρ-2020</c:v>
                </c:pt>
                <c:pt idx="1">
                  <c:v>Απρ-2020</c:v>
                </c:pt>
                <c:pt idx="2">
                  <c:v>Μαϊ-2020</c:v>
                </c:pt>
                <c:pt idx="3">
                  <c:v>Ιουν-2020</c:v>
                </c:pt>
                <c:pt idx="4">
                  <c:v>Ιουλ-2020</c:v>
                </c:pt>
                <c:pt idx="5">
                  <c:v>Αυγ-2020</c:v>
                </c:pt>
                <c:pt idx="6">
                  <c:v>Σεπ-2020</c:v>
                </c:pt>
                <c:pt idx="7">
                  <c:v>Οκτ-2020</c:v>
                </c:pt>
                <c:pt idx="8">
                  <c:v>Νοε-2020</c:v>
                </c:pt>
                <c:pt idx="9">
                  <c:v>Δεκ-2020</c:v>
                </c:pt>
                <c:pt idx="10">
                  <c:v>Ιαν-2021</c:v>
                </c:pt>
                <c:pt idx="11">
                  <c:v>Φεβ-2021</c:v>
                </c:pt>
                <c:pt idx="12">
                  <c:v>Μαρ-2021</c:v>
                </c:pt>
              </c:strCache>
            </c:strRef>
          </c:cat>
          <c:val>
            <c:numRef>
              <c:f>'Participation in Trans Value'!$K$137:$K$149</c:f>
              <c:numCache>
                <c:formatCode>#,##0.0</c:formatCode>
                <c:ptCount val="13"/>
                <c:pt idx="0">
                  <c:v>52.459109536918007</c:v>
                </c:pt>
                <c:pt idx="1">
                  <c:v>46.58343224291621</c:v>
                </c:pt>
                <c:pt idx="2">
                  <c:v>59.491604908542747</c:v>
                </c:pt>
                <c:pt idx="3">
                  <c:v>48.317961228604624</c:v>
                </c:pt>
                <c:pt idx="4">
                  <c:v>51.946836771215246</c:v>
                </c:pt>
                <c:pt idx="5">
                  <c:v>54.471207823145399</c:v>
                </c:pt>
                <c:pt idx="6">
                  <c:v>49.150172483212557</c:v>
                </c:pt>
                <c:pt idx="7">
                  <c:v>45.555878021661776</c:v>
                </c:pt>
                <c:pt idx="8">
                  <c:v>48.405583308975039</c:v>
                </c:pt>
                <c:pt idx="9">
                  <c:v>45.236001270795299</c:v>
                </c:pt>
                <c:pt idx="10">
                  <c:v>45.574813186535671</c:v>
                </c:pt>
                <c:pt idx="11">
                  <c:v>51.112744655056005</c:v>
                </c:pt>
                <c:pt idx="12">
                  <c:v>57.476128449063161</c:v>
                </c:pt>
              </c:numCache>
            </c:numRef>
          </c:val>
          <c:extLst>
            <c:ext xmlns:c16="http://schemas.microsoft.com/office/drawing/2014/chart" uri="{C3380CC4-5D6E-409C-BE32-E72D297353CC}">
              <c16:uniqueId val="{00000002-C627-463C-946A-A63D47E62309}"/>
            </c:ext>
          </c:extLst>
        </c:ser>
        <c:dLbls>
          <c:showLegendKey val="0"/>
          <c:showVal val="0"/>
          <c:showCatName val="0"/>
          <c:showSerName val="0"/>
          <c:showPercent val="0"/>
          <c:showBubbleSize val="0"/>
        </c:dLbls>
        <c:gapWidth val="70"/>
        <c:axId val="738462704"/>
        <c:axId val="1"/>
      </c:barChart>
      <c:catAx>
        <c:axId val="738462704"/>
        <c:scaling>
          <c:orientation val="minMax"/>
        </c:scaling>
        <c:delete val="0"/>
        <c:axPos val="b"/>
        <c:numFmt formatCode="General" sourceLinked="1"/>
        <c:majorTickMark val="out"/>
        <c:minorTickMark val="none"/>
        <c:tickLblPos val="nextTo"/>
        <c:spPr>
          <a:ln w="9525">
            <a:noFill/>
          </a:ln>
        </c:spPr>
        <c:txPr>
          <a:bodyPr rot="0" vert="horz"/>
          <a:lstStyle/>
          <a:p>
            <a:pPr rtl="1">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0"/>
        <c:tickLblSkip val="1"/>
        <c:tickMarkSkip val="1"/>
        <c:noMultiLvlLbl val="0"/>
      </c:catAx>
      <c:valAx>
        <c:axId val="1"/>
        <c:scaling>
          <c:orientation val="minMax"/>
          <c:max val="10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738462704"/>
        <c:crosses val="autoZero"/>
        <c:crossBetween val="between"/>
      </c:valAx>
      <c:spPr>
        <a:solidFill>
          <a:srgbClr val="FFFFFF"/>
        </a:solidFill>
        <a:ln w="3175">
          <a:solidFill>
            <a:srgbClr val="7A89B0"/>
          </a:solidFill>
          <a:prstDash val="solid"/>
        </a:ln>
      </c:spPr>
    </c:plotArea>
    <c:legend>
      <c:legendPos val="r"/>
      <c:layout>
        <c:manualLayout>
          <c:xMode val="edge"/>
          <c:yMode val="edge"/>
          <c:x val="6.5650798632585924E-2"/>
          <c:y val="0.1500012741125806"/>
          <c:w val="0.89279307554316556"/>
          <c:h val="0.16500140152383866"/>
        </c:manualLayout>
      </c:layout>
      <c:overlay val="0"/>
      <c:spPr>
        <a:noFill/>
        <a:ln w="25400">
          <a:noFill/>
        </a:ln>
      </c:spPr>
      <c:txPr>
        <a:bodyPr/>
        <a:lstStyle/>
        <a:p>
          <a:pPr>
            <a:defRPr sz="900" b="1" i="0" u="none" strike="noStrike" baseline="0">
              <a:solidFill>
                <a:srgbClr val="000000"/>
              </a:solidFill>
              <a:latin typeface="Arial"/>
              <a:ea typeface="Arial"/>
              <a:cs typeface="Arial"/>
            </a:defRPr>
          </a:pPr>
          <a:endParaRPr lang="en-US"/>
        </a:p>
      </c:txPr>
    </c:legend>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498f2868-5c8e-42be-8748-1dd57ec22400" origin="userSelected">
  <element uid="e1b78b3b-82e9-4119-9560-0cb4caf96acf" value=""/>
  <element uid="8f474eef-e083-4422-b797-1a6717904cd3" value=""/>
</sis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142EF4-157E-4633-B8FC-82A58C224583}">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4882F3CB-38A9-4F7C-B183-7C7BE318B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3</Pages>
  <Words>576</Words>
  <Characters>3289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Xenos, Aggelos</dc:creator>
  <cp:lastModifiedBy>Kokkalis, Ignatios</cp:lastModifiedBy>
  <cp:revision>5</cp:revision>
  <cp:lastPrinted>2016-03-07T10:06:00Z</cp:lastPrinted>
  <dcterms:created xsi:type="dcterms:W3CDTF">2021-04-14T09:02:00Z</dcterms:created>
  <dcterms:modified xsi:type="dcterms:W3CDTF">2021-04-15T10:57:00Z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b3a1d4e4-54ad-4114-a88c-cbbd6d970bf2</vt:lpwstr>
  </property>
  <property fmtid="{D5CDD505-2E9C-101B-9397-08002B2CF9AE}" pid="3" name="bjSaver">
    <vt:lpwstr>59R3sZNEEto3sNR6WPwbplIweadDziyk</vt:lpwstr>
  </property>
  <property fmtid="{D5CDD505-2E9C-101B-9397-08002B2CF9AE}" pid="4" name="bjDocumentLabelXML">
    <vt:lpwstr>&lt;?xml version="1.0" encoding="us-ascii"?&gt;&lt;sisl xmlns:xsi="http://www.w3.org/2001/XMLSchema-instance" xmlns:xsd="http://www.w3.org/2001/XMLSchema" sislVersion="0" policy="498f2868-5c8e-42be-8748-1dd57ec22400" origin="userSelected" xmlns="http://www.boldonj</vt:lpwstr>
  </property>
  <property fmtid="{D5CDD505-2E9C-101B-9397-08002B2CF9AE}" pid="5" name="bjDocumentLabelXML-0">
    <vt:lpwstr>ames.com/2008/01/sie/internal/label"&gt;&lt;element uid="e1b78b3b-82e9-4119-9560-0cb4caf96acf" value="" /&gt;&lt;element uid="8f474eef-e083-4422-b797-1a6717904cd3" value="" /&gt;&lt;/sisl&gt;</vt:lpwstr>
  </property>
  <property fmtid="{D5CDD505-2E9C-101B-9397-08002B2CF9AE}" pid="6" name="bjDocumentSecurityLabel">
    <vt:lpwstr>ΔΗΜΟΣΙΟ ΜΕ ΠΝΕΥΜΑΤΙΚΑ ΔΙΚΑΙΩΜΑΤΑ (PUBLIC IPRs)</vt:lpwstr>
  </property>
</Properties>
</file>