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B22439" w:rsidRDefault="00C17DC3" w:rsidP="00820504">
      <w:pPr>
        <w:pStyle w:val="DateNew"/>
      </w:pPr>
      <w:r w:rsidRPr="00EE6C63">
        <w:rPr>
          <w:noProof/>
          <w:lang w:val="en-GB" w:eastAsia="en-GB"/>
        </w:rPr>
        <mc:AlternateContent>
          <mc:Choice Requires="wps">
            <w:drawing>
              <wp:anchor distT="0" distB="0" distL="114300" distR="114300" simplePos="0" relativeHeight="251657216" behindDoc="0" locked="0" layoutInCell="1" allowOverlap="1" wp14:anchorId="275B5F74" wp14:editId="7769BB15">
                <wp:simplePos x="0" y="0"/>
                <wp:positionH relativeFrom="column">
                  <wp:posOffset>3790949</wp:posOffset>
                </wp:positionH>
                <wp:positionV relativeFrom="paragraph">
                  <wp:posOffset>-514350</wp:posOffset>
                </wp:positionV>
                <wp:extent cx="1621155"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1621155"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1154" w:rsidRPr="00C17DC3" w:rsidRDefault="003D1154" w:rsidP="00035040">
                            <w:pPr>
                              <w:pStyle w:val="Subtitle"/>
                              <w:rPr>
                                <w:sz w:val="40"/>
                              </w:rPr>
                            </w:pPr>
                            <w:r w:rsidRPr="00C17DC3">
                              <w:rPr>
                                <w:sz w:val="40"/>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5B5F74" id="_x0000_t202" coordsize="21600,21600" o:spt="202" path="m,l,21600r21600,l21600,xe">
                <v:stroke joinstyle="miter"/>
                <v:path gradientshapeok="t" o:connecttype="rect"/>
              </v:shapetype>
              <v:shape id="Text Box 1" o:spid="_x0000_s1026" type="#_x0000_t202" style="position:absolute;left:0;text-align:left;margin-left:298.5pt;margin-top:-40.5pt;width:127.65pt;height:40.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" filled="f" stroked="f" strokeweight=".5pt">
                <v:textbox>
                  <w:txbxContent>
                    <w:p w:rsidR="003D1154" w:rsidRPr="00C17DC3" w:rsidRDefault="003D1154" w:rsidP="00035040">
                      <w:pPr>
                        <w:pStyle w:val="Subtitle"/>
                        <w:rPr>
                          <w:sz w:val="40"/>
                        </w:rPr>
                      </w:pPr>
                      <w:r w:rsidRPr="00C17DC3">
                        <w:rPr>
                          <w:sz w:val="40"/>
                        </w:rPr>
                        <w:t>Ανακοίνωση</w:t>
                      </w:r>
                    </w:p>
                  </w:txbxContent>
                </v:textbox>
              </v:shape>
            </w:pict>
          </mc:Fallback>
        </mc:AlternateContent>
      </w:r>
      <w:r w:rsidR="00AB1D89" w:rsidRPr="00C17DC3">
        <w:t>9</w:t>
      </w:r>
      <w:r w:rsidR="00EF30E5" w:rsidRPr="00EE6C63">
        <w:t xml:space="preserve"> </w:t>
      </w:r>
      <w:r w:rsidR="00AB1D89">
        <w:t xml:space="preserve">Μαρτίου </w:t>
      </w:r>
      <w:r w:rsidR="0004074A">
        <w:t>2020</w:t>
      </w:r>
    </w:p>
    <w:p w:rsidR="00CB6708" w:rsidRPr="00C17DC3" w:rsidRDefault="00EF30E5" w:rsidP="00BF074E">
      <w:pPr>
        <w:pStyle w:val="Title"/>
        <w:rPr>
          <w:sz w:val="36"/>
        </w:rPr>
      </w:pPr>
      <w:r w:rsidRPr="00C17DC3">
        <w:rPr>
          <w:sz w:val="36"/>
        </w:rPr>
        <w:t xml:space="preserve">Μηνιαία Έκδοση </w:t>
      </w:r>
      <w:r w:rsidRPr="00C17DC3">
        <w:rPr>
          <w:sz w:val="36"/>
          <w:lang w:val="en-US"/>
        </w:rPr>
        <w:t>A</w:t>
      </w:r>
      <w:r w:rsidRPr="00C17DC3">
        <w:rPr>
          <w:sz w:val="36"/>
        </w:rPr>
        <w:t>ξ</w:t>
      </w:r>
      <w:r w:rsidRPr="00C17DC3">
        <w:rPr>
          <w:sz w:val="36"/>
          <w:lang w:val="en-US"/>
        </w:rPr>
        <w:t>IAnumbers</w:t>
      </w:r>
      <w:r w:rsidRPr="00C17DC3">
        <w:rPr>
          <w:sz w:val="36"/>
        </w:rPr>
        <w:t xml:space="preserve"> </w:t>
      </w:r>
    </w:p>
    <w:p w:rsidR="008F5651" w:rsidRDefault="008F5651" w:rsidP="008F5651">
      <w:r>
        <w:t>Υπό</w:t>
      </w:r>
      <w:r w:rsidR="00005F45">
        <w:t xml:space="preserve"> το «σοκ» του κορωνοϊού</w:t>
      </w:r>
      <w:r>
        <w:t xml:space="preserve"> κινούνται τις τελευταίες εβδομάδες οι χρηματιστηριακές αγορές παγκοσμίως καταγράφοντας ισχυρές απώλειες.</w:t>
      </w:r>
    </w:p>
    <w:p w:rsidR="008F5651" w:rsidRDefault="008F5651" w:rsidP="008F5651">
      <w:r>
        <w:t>Σύμφωνα με το</w:t>
      </w:r>
      <w:r w:rsidR="00005F45" w:rsidRPr="00005F45">
        <w:t xml:space="preserve"> </w:t>
      </w:r>
      <w:r w:rsidR="00005F45">
        <w:rPr>
          <w:lang w:val="en-US"/>
        </w:rPr>
        <w:t>AXIA</w:t>
      </w:r>
      <w:r>
        <w:t xml:space="preserve"> </w:t>
      </w:r>
      <w:r w:rsidR="00005F45">
        <w:t>Number</w:t>
      </w:r>
      <w:r w:rsidR="00005F45">
        <w:rPr>
          <w:lang w:val="en-US"/>
        </w:rPr>
        <w:t>s</w:t>
      </w:r>
      <w:r>
        <w:t xml:space="preserve"> Φεβρουαρίου 2020, παρατηρήθηκε αυξητική τάση του ποσοστού των Ελλήνων επενδυτών στην συνολική αξία συναλλαγών για τρίτο συνεχόμενο μήνα.  Μάλιστα, η τάση αυτή εντοπίζεται εντονότερη στους ιδιώτες επενδυτές.</w:t>
      </w:r>
    </w:p>
    <w:p w:rsidR="008F5651" w:rsidRDefault="008F5651" w:rsidP="008F5651">
      <w:r>
        <w:t xml:space="preserve">Επιπλέον, η  συμμετοχή τόσο των Ελλήνων όσο και των ξένων επενδυτών στην κεφαλαιοποίηση του Χρηματιστηρίου διατηρήθηκε σε σταθερά επίπεδα. </w:t>
      </w:r>
    </w:p>
    <w:p w:rsidR="008F5651" w:rsidRDefault="008F5651" w:rsidP="008F5651">
      <w:r>
        <w:t>Ειδικότερα, η εικόνα της χρηματιστηριακής αγοράς για τον μήνα Φεβρουάριο διαμορφώθηκε ως εξής:</w:t>
      </w:r>
    </w:p>
    <w:p w:rsidR="0072053C" w:rsidRDefault="002D0B28" w:rsidP="00E050A6">
      <w:r w:rsidRPr="008F5651">
        <w:rPr>
          <w:b/>
        </w:rPr>
        <w:t>Η Αξία Συναλλαγών</w:t>
      </w:r>
      <w:r w:rsidRPr="002D0B28">
        <w:t xml:space="preserve"> </w:t>
      </w:r>
      <w:r w:rsidRPr="00005F45">
        <w:rPr>
          <w:b/>
        </w:rPr>
        <w:t xml:space="preserve">του </w:t>
      </w:r>
      <w:r w:rsidR="00AB1D89" w:rsidRPr="00005F45">
        <w:rPr>
          <w:b/>
        </w:rPr>
        <w:t>Φεβρουαρίου 2020</w:t>
      </w:r>
      <w:r w:rsidR="00B8420B" w:rsidRPr="00005F45">
        <w:rPr>
          <w:b/>
        </w:rPr>
        <w:t xml:space="preserve"> </w:t>
      </w:r>
      <w:r w:rsidRPr="00005F45">
        <w:rPr>
          <w:b/>
        </w:rPr>
        <w:t>έφτασε τα €</w:t>
      </w:r>
      <w:r w:rsidR="00AB1D89" w:rsidRPr="00005F45">
        <w:rPr>
          <w:b/>
        </w:rPr>
        <w:t>1.733,62</w:t>
      </w:r>
      <w:r w:rsidR="00D050AA" w:rsidRPr="00005F45">
        <w:rPr>
          <w:b/>
        </w:rPr>
        <w:t xml:space="preserve"> </w:t>
      </w:r>
      <w:r w:rsidRPr="00005F45">
        <w:rPr>
          <w:b/>
        </w:rPr>
        <w:t>εκατ</w:t>
      </w:r>
      <w:r w:rsidRPr="00005F45">
        <w:t>.</w:t>
      </w:r>
      <w:r w:rsidR="00C17DC3">
        <w:t xml:space="preserve"> </w:t>
      </w:r>
      <w:r w:rsidRPr="002D0B28">
        <w:t xml:space="preserve">σημειώνοντας </w:t>
      </w:r>
      <w:r w:rsidR="00AB1D89" w:rsidRPr="00005F45">
        <w:t>άνοδο</w:t>
      </w:r>
      <w:r w:rsidR="00D22DA8" w:rsidRPr="00005F45">
        <w:t xml:space="preserve"> </w:t>
      </w:r>
      <w:r w:rsidRPr="00005F45">
        <w:t xml:space="preserve">κατά </w:t>
      </w:r>
      <w:r w:rsidR="00AB1D89" w:rsidRPr="00005F45">
        <w:t>7,2%</w:t>
      </w:r>
      <w:r w:rsidR="001C6047" w:rsidRPr="001C6047">
        <w:rPr>
          <w:b/>
        </w:rPr>
        <w:t xml:space="preserve"> </w:t>
      </w:r>
      <w:r w:rsidRPr="002D0B28">
        <w:t>από τη συναλλακτική δραστηριότητα του προηγούμενου μήνα που ήταν €</w:t>
      </w:r>
      <w:r w:rsidR="00AB1D89" w:rsidRPr="00AB1D89">
        <w:t>1.617,25</w:t>
      </w:r>
      <w:r w:rsidRPr="002D0B28">
        <w:t xml:space="preserve"> εκατ. Σε σχέση με τον </w:t>
      </w:r>
      <w:r w:rsidR="00AB1D89" w:rsidRPr="00AB1D89">
        <w:t>Φεβρουάριο του 2019</w:t>
      </w:r>
      <w:r w:rsidR="00421DB2" w:rsidRPr="00421DB2">
        <w:t xml:space="preserve"> </w:t>
      </w:r>
      <w:r w:rsidRPr="002D0B28">
        <w:t>που η αξία συναλλαγών ήταν €</w:t>
      </w:r>
      <w:r w:rsidR="00AB1D89" w:rsidRPr="00AB1D89">
        <w:t>886,79</w:t>
      </w:r>
      <w:r w:rsidR="00AC612F" w:rsidRPr="00AC612F">
        <w:t xml:space="preserve"> </w:t>
      </w:r>
      <w:r w:rsidRPr="002D0B28">
        <w:t xml:space="preserve">εκατ., σημειώθηκε </w:t>
      </w:r>
      <w:r w:rsidR="0004074A" w:rsidRPr="0004074A">
        <w:t>άνοδο</w:t>
      </w:r>
      <w:r w:rsidR="0004074A">
        <w:t>ς</w:t>
      </w:r>
      <w:r w:rsidR="00AC612F" w:rsidRPr="00AC612F">
        <w:t xml:space="preserve"> </w:t>
      </w:r>
      <w:r w:rsidRPr="002D0B28">
        <w:t xml:space="preserve">της τάξης του </w:t>
      </w:r>
      <w:r w:rsidR="00AB1D89" w:rsidRPr="00AB1D89">
        <w:t>95,5%</w:t>
      </w:r>
      <w:r w:rsidR="00AC612F" w:rsidRPr="00AC612F">
        <w:t>.</w:t>
      </w:r>
    </w:p>
    <w:p w:rsidR="00C17DC3" w:rsidRPr="00AC612F" w:rsidRDefault="00C17DC3" w:rsidP="00E050A6"/>
    <w:p w:rsidR="00316161" w:rsidRDefault="008F5651" w:rsidP="008F5651">
      <w:pPr>
        <w:ind w:right="-844"/>
        <w:rPr>
          <w:rFonts w:ascii="Calibri" w:hAnsi="Calibri" w:cs="Tahoma"/>
          <w:bCs/>
          <w:noProof/>
          <w:lang w:eastAsia="el-GR"/>
        </w:rPr>
      </w:pPr>
      <w:r>
        <w:rPr>
          <w:rFonts w:ascii="Calibri" w:hAnsi="Calibri" w:cs="Tahoma"/>
          <w:bCs/>
          <w:noProof/>
          <w:lang w:val="en-GB" w:eastAsia="en-GB"/>
        </w:rPr>
        <w:drawing>
          <wp:inline distT="0" distB="0" distL="0" distR="0" wp14:anchorId="25F22303">
            <wp:extent cx="5247849" cy="1638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58294" cy="1641561"/>
                    </a:xfrm>
                    <a:prstGeom prst="rect">
                      <a:avLst/>
                    </a:prstGeom>
                    <a:noFill/>
                  </pic:spPr>
                </pic:pic>
              </a:graphicData>
            </a:graphic>
          </wp:inline>
        </w:drawing>
      </w:r>
    </w:p>
    <w:p w:rsidR="00C17DC3" w:rsidRDefault="00C17DC3">
      <w:pPr>
        <w:jc w:val="left"/>
        <w:rPr>
          <w:rFonts w:ascii="Calibri" w:hAnsi="Calibri" w:cs="Tahoma"/>
          <w:bCs/>
        </w:rPr>
        <w:sectPr w:rsidR="00C17DC3" w:rsidSect="00A7436B">
          <w:headerReference w:type="default" r:id="rId10"/>
          <w:footerReference w:type="default" r:id="rId11"/>
          <w:pgSz w:w="11906" w:h="16838"/>
          <w:pgMar w:top="3240" w:right="1736" w:bottom="1530" w:left="1800" w:header="993" w:footer="529" w:gutter="0"/>
          <w:cols w:space="708"/>
          <w:docGrid w:linePitch="360"/>
        </w:sectPr>
      </w:pPr>
    </w:p>
    <w:p w:rsidR="009E472B" w:rsidRDefault="009E472B" w:rsidP="002D0B28">
      <w:pPr>
        <w:spacing w:before="120" w:after="120"/>
        <w:rPr>
          <w:rFonts w:ascii="Calibri" w:hAnsi="Calibri" w:cs="Tahoma"/>
          <w:bCs/>
        </w:rPr>
      </w:pPr>
    </w:p>
    <w:p w:rsidR="009E472B" w:rsidRDefault="009E472B" w:rsidP="002D0B28">
      <w:pPr>
        <w:spacing w:before="120" w:after="120"/>
        <w:rPr>
          <w:rFonts w:ascii="Calibri" w:hAnsi="Calibri" w:cs="Tahoma"/>
          <w:bCs/>
        </w:rPr>
      </w:pPr>
    </w:p>
    <w:p w:rsidR="009E472B" w:rsidRDefault="009E472B" w:rsidP="002D0B28">
      <w:pPr>
        <w:spacing w:before="120" w:after="120"/>
        <w:rPr>
          <w:rFonts w:ascii="Calibri" w:hAnsi="Calibri" w:cs="Tahoma"/>
          <w:bCs/>
        </w:rPr>
      </w:pPr>
    </w:p>
    <w:p w:rsidR="002D0B28" w:rsidRDefault="002D0B28" w:rsidP="002D0B28">
      <w:pPr>
        <w:spacing w:before="120" w:after="120"/>
        <w:rPr>
          <w:rFonts w:ascii="Calibri" w:hAnsi="Calibri" w:cs="Tahoma"/>
          <w:bCs/>
        </w:rPr>
      </w:pPr>
      <w:r w:rsidRPr="00F31B28">
        <w:rPr>
          <w:rFonts w:ascii="Calibri" w:hAnsi="Calibri" w:cs="Tahoma"/>
          <w:bCs/>
        </w:rPr>
        <w:t xml:space="preserve">Η </w:t>
      </w:r>
      <w:r w:rsidRPr="00F31B28">
        <w:rPr>
          <w:rFonts w:ascii="Calibri" w:hAnsi="Calibri" w:cs="Tahoma"/>
          <w:b/>
          <w:bCs/>
        </w:rPr>
        <w:t>Κεφαλαιοποίηση του Χ</w:t>
      </w:r>
      <w:r w:rsidR="00C20202">
        <w:rPr>
          <w:rFonts w:ascii="Calibri" w:hAnsi="Calibri" w:cs="Tahoma"/>
          <w:b/>
          <w:bCs/>
        </w:rPr>
        <w:t xml:space="preserve">ρηματιστηρίου </w:t>
      </w:r>
      <w:r w:rsidRPr="00F31B28">
        <w:rPr>
          <w:rFonts w:ascii="Calibri" w:hAnsi="Calibri" w:cs="Tahoma"/>
          <w:b/>
          <w:bCs/>
        </w:rPr>
        <w:t>Α</w:t>
      </w:r>
      <w:r w:rsidR="00C20202">
        <w:rPr>
          <w:rFonts w:ascii="Calibri" w:hAnsi="Calibri" w:cs="Tahoma"/>
          <w:b/>
          <w:bCs/>
        </w:rPr>
        <w:t xml:space="preserve">θηνών </w:t>
      </w:r>
      <w:r w:rsidRPr="00005F45">
        <w:rPr>
          <w:rFonts w:ascii="Calibri" w:hAnsi="Calibri" w:cs="Tahoma"/>
          <w:b/>
          <w:bCs/>
        </w:rPr>
        <w:t>στο τέλος του μήνα υπολογίστηκε στα</w:t>
      </w:r>
      <w:r w:rsidRPr="00F31B28">
        <w:rPr>
          <w:rFonts w:ascii="Calibri" w:hAnsi="Calibri" w:cs="Tahoma"/>
          <w:bCs/>
        </w:rPr>
        <w:t xml:space="preserve"> </w:t>
      </w:r>
      <w:r w:rsidRPr="00201CDD">
        <w:rPr>
          <w:rFonts w:ascii="Calibri" w:hAnsi="Calibri" w:cs="Tahoma"/>
          <w:b/>
          <w:bCs/>
        </w:rPr>
        <w:t>€</w:t>
      </w:r>
      <w:r w:rsidR="00AB1D89" w:rsidRPr="00AB1D89">
        <w:rPr>
          <w:rFonts w:ascii="Calibri" w:hAnsi="Calibri" w:cs="Tahoma"/>
          <w:b/>
          <w:bCs/>
        </w:rPr>
        <w:t>41,43</w:t>
      </w:r>
      <w:r w:rsidRPr="00B13002">
        <w:rPr>
          <w:rFonts w:ascii="Calibri" w:hAnsi="Calibri" w:cs="Tahoma"/>
          <w:b/>
          <w:bCs/>
        </w:rPr>
        <w:t xml:space="preserve"> </w:t>
      </w:r>
      <w:r w:rsidR="00C17DC3">
        <w:rPr>
          <w:rFonts w:ascii="Calibri" w:hAnsi="Calibri" w:cs="Tahoma"/>
          <w:b/>
          <w:bCs/>
        </w:rPr>
        <w:t>δισ.</w:t>
      </w:r>
      <w:r w:rsidRPr="00F31B28">
        <w:rPr>
          <w:rFonts w:ascii="Calibri" w:hAnsi="Calibri" w:cs="Tahoma"/>
          <w:bCs/>
          <w:i/>
        </w:rPr>
        <w:t>.</w:t>
      </w:r>
      <w:r w:rsidRPr="00F31B28">
        <w:rPr>
          <w:rFonts w:ascii="Calibri" w:hAnsi="Calibri" w:cs="Tahoma"/>
          <w:bCs/>
        </w:rPr>
        <w:t xml:space="preserve"> Σε σχέση με την αντίστοιχη κεφαλαιοποίηση του </w:t>
      </w:r>
      <w:r>
        <w:rPr>
          <w:rFonts w:ascii="Calibri" w:hAnsi="Calibri" w:cs="Tahoma"/>
          <w:bCs/>
        </w:rPr>
        <w:t>προηγούμενου μήνα</w:t>
      </w:r>
      <w:r w:rsidRPr="00F31B28">
        <w:rPr>
          <w:rFonts w:ascii="Calibri" w:hAnsi="Calibri" w:cs="Tahoma"/>
          <w:bCs/>
        </w:rPr>
        <w:t xml:space="preserve"> που ήταν </w:t>
      </w:r>
      <w:r w:rsidRPr="00213C93">
        <w:rPr>
          <w:rFonts w:ascii="Calibri" w:hAnsi="Calibri" w:cs="Tahoma"/>
          <w:bCs/>
        </w:rPr>
        <w:t>€</w:t>
      </w:r>
      <w:r w:rsidR="00AB1D89" w:rsidRPr="00AB1D89">
        <w:rPr>
          <w:rFonts w:ascii="Calibri" w:hAnsi="Calibri" w:cs="Tahoma"/>
          <w:bCs/>
        </w:rPr>
        <w:t>50,06</w:t>
      </w:r>
      <w:r w:rsidR="00950E23" w:rsidRPr="00950E23">
        <w:rPr>
          <w:rFonts w:ascii="Calibri" w:hAnsi="Calibri" w:cs="Tahoma"/>
          <w:bCs/>
        </w:rPr>
        <w:t xml:space="preserve"> </w:t>
      </w:r>
      <w:r w:rsidRPr="00213C93">
        <w:rPr>
          <w:rFonts w:ascii="Calibri" w:hAnsi="Calibri" w:cs="Tahoma"/>
          <w:bCs/>
        </w:rPr>
        <w:t>δισ.,</w:t>
      </w:r>
      <w:r w:rsidRPr="00F31B28">
        <w:rPr>
          <w:rFonts w:ascii="Calibri" w:hAnsi="Calibri" w:cs="Tahoma"/>
          <w:bCs/>
        </w:rPr>
        <w:t xml:space="preserve"> </w:t>
      </w:r>
      <w:r>
        <w:rPr>
          <w:rFonts w:ascii="Calibri" w:hAnsi="Calibri" w:cs="Tahoma"/>
          <w:bCs/>
        </w:rPr>
        <w:t>σημειώθηκε</w:t>
      </w:r>
      <w:r w:rsidRPr="00F31B28">
        <w:rPr>
          <w:rFonts w:ascii="Calibri" w:hAnsi="Calibri" w:cs="Tahoma"/>
          <w:bCs/>
        </w:rPr>
        <w:t xml:space="preserve"> </w:t>
      </w:r>
      <w:r w:rsidR="00AB1D89" w:rsidRPr="00005F45">
        <w:rPr>
          <w:rFonts w:ascii="Calibri" w:hAnsi="Calibri" w:cs="Tahoma"/>
          <w:bCs/>
        </w:rPr>
        <w:t>μείωση</w:t>
      </w:r>
      <w:r w:rsidR="00950E23" w:rsidRPr="00005F45">
        <w:rPr>
          <w:rFonts w:ascii="Calibri" w:hAnsi="Calibri" w:cs="Tahoma"/>
          <w:bCs/>
        </w:rPr>
        <w:t xml:space="preserve"> </w:t>
      </w:r>
      <w:r w:rsidRPr="00005F45">
        <w:rPr>
          <w:rFonts w:ascii="Calibri" w:hAnsi="Calibri" w:cs="Tahoma"/>
          <w:bCs/>
        </w:rPr>
        <w:t xml:space="preserve">της τάξης του </w:t>
      </w:r>
      <w:r w:rsidR="00AB1D89" w:rsidRPr="00005F45">
        <w:rPr>
          <w:rFonts w:ascii="Calibri" w:hAnsi="Calibri" w:cs="Tahoma"/>
          <w:bCs/>
        </w:rPr>
        <w:t>17,2%</w:t>
      </w:r>
      <w:r w:rsidR="00950E23" w:rsidRPr="00950E23">
        <w:rPr>
          <w:rFonts w:ascii="Calibri" w:hAnsi="Calibri" w:cs="Tahoma"/>
          <w:bCs/>
        </w:rPr>
        <w:t xml:space="preserve"> </w:t>
      </w:r>
      <w:r w:rsidRPr="00F31B28">
        <w:rPr>
          <w:rFonts w:ascii="Calibri" w:hAnsi="Calibri" w:cs="Tahoma"/>
          <w:bCs/>
        </w:rPr>
        <w:t xml:space="preserve">ενώ συγκρινόμενη με την αντίστοιχη κεφαλαιοποίηση του </w:t>
      </w:r>
      <w:r>
        <w:rPr>
          <w:rFonts w:ascii="Calibri" w:hAnsi="Calibri" w:cs="Tahoma"/>
          <w:bCs/>
        </w:rPr>
        <w:t>ίδιου μήνα</w:t>
      </w:r>
      <w:r w:rsidR="008F5651">
        <w:rPr>
          <w:rFonts w:ascii="Calibri" w:hAnsi="Calibri" w:cs="Tahoma"/>
          <w:bCs/>
        </w:rPr>
        <w:t xml:space="preserve"> του προηγούμενου</w:t>
      </w:r>
      <w:r w:rsidR="008F5651" w:rsidRPr="008F5651">
        <w:rPr>
          <w:rFonts w:ascii="Calibri" w:hAnsi="Calibri" w:cs="Tahoma"/>
          <w:bCs/>
        </w:rPr>
        <w:t xml:space="preserve"> </w:t>
      </w:r>
      <w:r w:rsidR="008F5651">
        <w:rPr>
          <w:rFonts w:ascii="Calibri" w:hAnsi="Calibri" w:cs="Tahoma"/>
          <w:bCs/>
        </w:rPr>
        <w:t>έτους</w:t>
      </w:r>
      <w:r w:rsidRPr="00213C93">
        <w:rPr>
          <w:rFonts w:ascii="Calibri" w:hAnsi="Calibri" w:cs="Tahoma"/>
          <w:bCs/>
        </w:rPr>
        <w:t>,</w:t>
      </w:r>
      <w:r>
        <w:rPr>
          <w:rFonts w:ascii="Calibri" w:hAnsi="Calibri" w:cs="Tahoma"/>
          <w:bCs/>
        </w:rPr>
        <w:t xml:space="preserve"> σημειώθηκε</w:t>
      </w:r>
      <w:r w:rsidRPr="00854831">
        <w:rPr>
          <w:rFonts w:ascii="Calibri" w:hAnsi="Calibri" w:cs="Tahoma"/>
          <w:bCs/>
        </w:rPr>
        <w:t xml:space="preserve"> </w:t>
      </w:r>
      <w:r w:rsidR="00AB1D89" w:rsidRPr="00AB1D89">
        <w:rPr>
          <w:rFonts w:ascii="Calibri" w:hAnsi="Calibri" w:cs="Tahoma"/>
          <w:bCs/>
        </w:rPr>
        <w:t>αύξηση</w:t>
      </w:r>
      <w:r w:rsidR="00950E23" w:rsidRPr="00950E23">
        <w:rPr>
          <w:rFonts w:ascii="Calibri" w:hAnsi="Calibri" w:cs="Tahoma"/>
          <w:bCs/>
        </w:rPr>
        <w:t xml:space="preserve"> </w:t>
      </w:r>
      <w:r w:rsidRPr="004C1D15">
        <w:rPr>
          <w:rFonts w:ascii="Calibri" w:hAnsi="Calibri" w:cs="Tahoma"/>
          <w:bCs/>
        </w:rPr>
        <w:t xml:space="preserve">κατά </w:t>
      </w:r>
      <w:r w:rsidR="00AB1D89" w:rsidRPr="00AB1D89">
        <w:rPr>
          <w:rFonts w:ascii="Calibri" w:hAnsi="Calibri" w:cs="Tahoma"/>
          <w:bCs/>
        </w:rPr>
        <w:t>4,6%</w:t>
      </w:r>
      <w:r w:rsidRPr="004C1D15">
        <w:rPr>
          <w:rFonts w:ascii="Calibri" w:hAnsi="Calibri" w:cs="Tahoma"/>
          <w:bCs/>
        </w:rPr>
        <w:t>.</w:t>
      </w:r>
    </w:p>
    <w:p w:rsidR="00C17DC3" w:rsidRPr="002A7B11" w:rsidRDefault="00C17DC3" w:rsidP="002D0B28">
      <w:pPr>
        <w:spacing w:before="120" w:after="120"/>
        <w:rPr>
          <w:rFonts w:ascii="Calibri" w:hAnsi="Calibri" w:cs="Tahoma"/>
          <w:bCs/>
        </w:rPr>
      </w:pPr>
    </w:p>
    <w:p w:rsidR="00316161" w:rsidRDefault="008F5651" w:rsidP="008F5651">
      <w:pPr>
        <w:rPr>
          <w:rFonts w:ascii="Calibri" w:hAnsi="Calibri"/>
          <w:i/>
          <w:sz w:val="18"/>
          <w:szCs w:val="18"/>
        </w:rPr>
      </w:pPr>
      <w:r>
        <w:rPr>
          <w:rFonts w:ascii="Calibri" w:hAnsi="Calibri"/>
          <w:i/>
          <w:noProof/>
          <w:sz w:val="18"/>
          <w:szCs w:val="18"/>
          <w:lang w:val="en-GB" w:eastAsia="en-GB"/>
        </w:rPr>
        <w:drawing>
          <wp:inline distT="0" distB="0" distL="0" distR="0" wp14:anchorId="1136036E">
            <wp:extent cx="5191954" cy="161925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00626" cy="1621955"/>
                    </a:xfrm>
                    <a:prstGeom prst="rect">
                      <a:avLst/>
                    </a:prstGeom>
                    <a:noFill/>
                  </pic:spPr>
                </pic:pic>
              </a:graphicData>
            </a:graphic>
          </wp:inline>
        </w:drawing>
      </w:r>
    </w:p>
    <w:p w:rsidR="00C17DC3" w:rsidRDefault="00C17DC3" w:rsidP="002D0B28">
      <w:pPr>
        <w:spacing w:before="120"/>
        <w:rPr>
          <w:rFonts w:ascii="Calibri" w:hAnsi="Calibri" w:cs="Tahoma"/>
          <w:b/>
          <w:bCs/>
        </w:rPr>
      </w:pPr>
    </w:p>
    <w:p w:rsidR="002D0B28" w:rsidRPr="00561D1D" w:rsidRDefault="002D0B28" w:rsidP="002D0B28">
      <w:pPr>
        <w:spacing w:before="120"/>
        <w:rPr>
          <w:rFonts w:ascii="Calibri" w:hAnsi="Calibri" w:cs="Tahoma"/>
          <w:bCs/>
        </w:rPr>
      </w:pPr>
      <w:r w:rsidRPr="00005F45">
        <w:rPr>
          <w:rFonts w:ascii="Calibri" w:hAnsi="Calibri" w:cs="Tahoma"/>
          <w:b/>
          <w:bCs/>
        </w:rPr>
        <w:t>Οι ξένοι</w:t>
      </w:r>
      <w:r w:rsidRPr="0013530D">
        <w:rPr>
          <w:rFonts w:ascii="Calibri" w:hAnsi="Calibri" w:cs="Tahoma"/>
          <w:b/>
          <w:bCs/>
        </w:rPr>
        <w:t xml:space="preserve"> επενδυτές πραγματοποίησαν το </w:t>
      </w:r>
      <w:r w:rsidR="00AB1D89" w:rsidRPr="00AB1D89">
        <w:rPr>
          <w:rFonts w:ascii="Calibri" w:hAnsi="Calibri" w:cs="Tahoma"/>
          <w:b/>
          <w:bCs/>
        </w:rPr>
        <w:t>53,0%</w:t>
      </w:r>
      <w:r w:rsidR="0052679B" w:rsidRPr="0013530D">
        <w:rPr>
          <w:rFonts w:ascii="Calibri" w:hAnsi="Calibri" w:cs="Tahoma"/>
          <w:b/>
          <w:bCs/>
        </w:rPr>
        <w:t xml:space="preserve"> </w:t>
      </w:r>
      <w:r w:rsidRPr="0013530D">
        <w:rPr>
          <w:rFonts w:ascii="Calibri" w:hAnsi="Calibri" w:cs="Tahoma"/>
          <w:b/>
          <w:bCs/>
        </w:rPr>
        <w:t>των συναλλαγών</w:t>
      </w:r>
      <w:r w:rsidR="00005F45">
        <w:rPr>
          <w:rFonts w:ascii="Calibri" w:hAnsi="Calibri" w:cs="Tahoma"/>
          <w:b/>
          <w:bCs/>
        </w:rPr>
        <w:t xml:space="preserve">, </w:t>
      </w:r>
      <w:r w:rsidR="00005F45" w:rsidRPr="0013530D">
        <w:rPr>
          <w:rFonts w:ascii="Calibri" w:hAnsi="Calibri" w:cs="Tahoma"/>
          <w:bCs/>
        </w:rPr>
        <w:t xml:space="preserve">τον </w:t>
      </w:r>
      <w:r w:rsidR="00005F45" w:rsidRPr="00AB1D89">
        <w:rPr>
          <w:rFonts w:ascii="Calibri" w:hAnsi="Calibri" w:cs="Tahoma"/>
          <w:bCs/>
        </w:rPr>
        <w:t>Φεβρουάριο 2020</w:t>
      </w:r>
      <w:r w:rsidR="00005F45">
        <w:rPr>
          <w:rFonts w:ascii="Calibri" w:hAnsi="Calibri" w:cs="Tahoma"/>
          <w:bCs/>
        </w:rPr>
        <w:t>,</w:t>
      </w:r>
      <w:r w:rsidRPr="0013530D">
        <w:rPr>
          <w:rFonts w:ascii="Calibri" w:hAnsi="Calibri" w:cs="Tahoma"/>
          <w:bCs/>
        </w:rPr>
        <w:t xml:space="preserve"> σε σχέση με το </w:t>
      </w:r>
      <w:r w:rsidR="00AB1D89" w:rsidRPr="00AB1D89">
        <w:rPr>
          <w:rFonts w:ascii="Calibri" w:hAnsi="Calibri" w:cs="Tahoma"/>
          <w:bCs/>
        </w:rPr>
        <w:t>53,9%</w:t>
      </w:r>
      <w:r w:rsidR="001609EB" w:rsidRPr="0013530D">
        <w:rPr>
          <w:rFonts w:ascii="Calibri" w:hAnsi="Calibri" w:cs="Tahoma"/>
          <w:bCs/>
        </w:rPr>
        <w:t xml:space="preserve"> </w:t>
      </w:r>
      <w:r w:rsidRPr="0013530D">
        <w:rPr>
          <w:rFonts w:ascii="Calibri" w:hAnsi="Calibri" w:cs="Tahoma"/>
          <w:bCs/>
        </w:rPr>
        <w:t>τον προηγούμενο μήνα</w:t>
      </w:r>
      <w:r w:rsidR="00005F45">
        <w:rPr>
          <w:rFonts w:ascii="Calibri" w:hAnsi="Calibri" w:cs="Tahoma"/>
          <w:bCs/>
        </w:rPr>
        <w:t>,</w:t>
      </w:r>
      <w:r w:rsidRPr="0013530D">
        <w:rPr>
          <w:rFonts w:ascii="Calibri" w:hAnsi="Calibri" w:cs="Tahoma"/>
          <w:bCs/>
        </w:rPr>
        <w:t xml:space="preserve"> ενώ </w:t>
      </w:r>
      <w:bookmarkStart w:id="0" w:name="OLE_LINK1"/>
      <w:bookmarkStart w:id="1" w:name="OLE_LINK2"/>
      <w:r w:rsidRPr="0013530D">
        <w:rPr>
          <w:rFonts w:ascii="Calibri" w:hAnsi="Calibri" w:cs="Tahoma"/>
          <w:bCs/>
        </w:rPr>
        <w:t xml:space="preserve">τον </w:t>
      </w:r>
      <w:bookmarkEnd w:id="0"/>
      <w:bookmarkEnd w:id="1"/>
      <w:r w:rsidR="00AB1D89" w:rsidRPr="00AB1D89">
        <w:rPr>
          <w:rFonts w:ascii="Calibri" w:hAnsi="Calibri" w:cs="Tahoma"/>
          <w:bCs/>
        </w:rPr>
        <w:t>Φεβρουάριο του 2019</w:t>
      </w:r>
      <w:r w:rsidR="001609EB" w:rsidRPr="0013530D">
        <w:rPr>
          <w:rFonts w:ascii="Calibri" w:hAnsi="Calibri" w:cs="Tahoma"/>
          <w:bCs/>
        </w:rPr>
        <w:t xml:space="preserve"> </w:t>
      </w:r>
      <w:r w:rsidRPr="0013530D">
        <w:rPr>
          <w:rFonts w:ascii="Calibri" w:hAnsi="Calibri" w:cs="Tahoma"/>
          <w:bCs/>
        </w:rPr>
        <w:t xml:space="preserve">είχαν πραγματοποιήσει το </w:t>
      </w:r>
      <w:r w:rsidR="00AB1D89" w:rsidRPr="00AB1D89">
        <w:rPr>
          <w:rFonts w:ascii="Calibri" w:hAnsi="Calibri" w:cs="Tahoma"/>
          <w:bCs/>
        </w:rPr>
        <w:t>52,0%</w:t>
      </w:r>
      <w:r w:rsidR="001609EB" w:rsidRPr="0013530D">
        <w:rPr>
          <w:rFonts w:ascii="Calibri" w:hAnsi="Calibri" w:cs="Tahoma"/>
          <w:bCs/>
        </w:rPr>
        <w:t xml:space="preserve"> </w:t>
      </w:r>
      <w:r w:rsidR="00005F45">
        <w:rPr>
          <w:rFonts w:ascii="Calibri" w:hAnsi="Calibri" w:cs="Tahoma"/>
          <w:bCs/>
        </w:rPr>
        <w:t>των συναλλαγών</w:t>
      </w:r>
      <w:r w:rsidR="00C81AAD" w:rsidRPr="0013530D">
        <w:rPr>
          <w:rFonts w:ascii="Calibri" w:hAnsi="Calibri" w:cs="Tahoma"/>
          <w:bCs/>
          <w:i/>
        </w:rPr>
        <w:t xml:space="preserve"> (βλ. γράφημα 3)</w:t>
      </w:r>
      <w:r w:rsidR="00C81AAD" w:rsidRPr="0013530D">
        <w:rPr>
          <w:rFonts w:ascii="Calibri" w:hAnsi="Calibri" w:cs="Tahoma"/>
          <w:bCs/>
        </w:rPr>
        <w:t>.</w:t>
      </w:r>
      <w:r w:rsidR="00561D1D" w:rsidRPr="00561D1D">
        <w:rPr>
          <w:rFonts w:ascii="Calibri" w:hAnsi="Calibri" w:cs="Tahoma"/>
          <w:bCs/>
        </w:rPr>
        <w:t xml:space="preserve"> </w:t>
      </w:r>
    </w:p>
    <w:p w:rsidR="00C17DC3" w:rsidRDefault="002D0B28" w:rsidP="002D0B28">
      <w:pPr>
        <w:spacing w:before="120" w:after="120"/>
        <w:rPr>
          <w:rFonts w:ascii="Calibri" w:hAnsi="Calibri" w:cs="Tahoma"/>
          <w:bCs/>
        </w:rPr>
      </w:pPr>
      <w:r w:rsidRPr="00005F45">
        <w:rPr>
          <w:rFonts w:ascii="Calibri" w:hAnsi="Calibri" w:cs="Tahoma"/>
          <w:b/>
          <w:bCs/>
        </w:rPr>
        <w:t xml:space="preserve">Οι </w:t>
      </w:r>
      <w:r w:rsidRPr="003E0080">
        <w:rPr>
          <w:rFonts w:ascii="Calibri" w:hAnsi="Calibri" w:cs="Tahoma"/>
          <w:b/>
          <w:bCs/>
        </w:rPr>
        <w:t xml:space="preserve">Έλληνες </w:t>
      </w:r>
      <w:r>
        <w:rPr>
          <w:rFonts w:ascii="Calibri" w:hAnsi="Calibri" w:cs="Tahoma"/>
          <w:b/>
          <w:bCs/>
        </w:rPr>
        <w:t>Ιδιώτες</w:t>
      </w:r>
      <w:r w:rsidRPr="003E0080">
        <w:rPr>
          <w:rFonts w:ascii="Calibri" w:hAnsi="Calibri" w:cs="Tahoma"/>
          <w:b/>
          <w:bCs/>
        </w:rPr>
        <w:t xml:space="preserve"> επενδυτές</w:t>
      </w:r>
      <w:r>
        <w:rPr>
          <w:rFonts w:ascii="Calibri" w:hAnsi="Calibri" w:cs="Tahoma"/>
          <w:bCs/>
        </w:rPr>
        <w:t xml:space="preserve"> </w:t>
      </w:r>
      <w:r w:rsidRPr="00005F45">
        <w:rPr>
          <w:rFonts w:ascii="Calibri" w:hAnsi="Calibri" w:cs="Tahoma"/>
          <w:b/>
          <w:bCs/>
        </w:rPr>
        <w:t xml:space="preserve">τον </w:t>
      </w:r>
      <w:r w:rsidR="00AB1D89" w:rsidRPr="00005F45">
        <w:rPr>
          <w:rFonts w:ascii="Calibri" w:hAnsi="Calibri" w:cs="Tahoma"/>
          <w:b/>
          <w:bCs/>
        </w:rPr>
        <w:t>Φεβρουάριο 2020</w:t>
      </w:r>
      <w:r w:rsidR="00561D1D" w:rsidRPr="00561D1D">
        <w:rPr>
          <w:rFonts w:ascii="Calibri" w:hAnsi="Calibri" w:cs="Tahoma"/>
          <w:bCs/>
        </w:rPr>
        <w:t xml:space="preserve"> </w:t>
      </w:r>
      <w:r w:rsidRPr="003E0080">
        <w:rPr>
          <w:rFonts w:ascii="Calibri" w:hAnsi="Calibri" w:cs="Tahoma"/>
          <w:b/>
          <w:bCs/>
        </w:rPr>
        <w:t xml:space="preserve">πραγματοποίησαν το </w:t>
      </w:r>
      <w:r w:rsidR="00AB1D89" w:rsidRPr="00AB1D89">
        <w:rPr>
          <w:rFonts w:ascii="Calibri" w:hAnsi="Calibri" w:cs="Tahoma"/>
          <w:b/>
          <w:bCs/>
        </w:rPr>
        <w:t>21,5%</w:t>
      </w:r>
      <w:r w:rsidR="008D14A1" w:rsidRPr="008D14A1">
        <w:rPr>
          <w:rFonts w:ascii="Calibri" w:hAnsi="Calibri" w:cs="Tahoma"/>
          <w:b/>
          <w:bCs/>
        </w:rPr>
        <w:t xml:space="preserve"> </w:t>
      </w:r>
      <w:r w:rsidRPr="003E0080">
        <w:rPr>
          <w:rFonts w:ascii="Calibri" w:hAnsi="Calibri" w:cs="Tahoma"/>
          <w:b/>
          <w:bCs/>
        </w:rPr>
        <w:t>των συναλλαγών</w:t>
      </w:r>
      <w:r w:rsidRPr="003E0080">
        <w:rPr>
          <w:rFonts w:ascii="Calibri" w:hAnsi="Calibri" w:cs="Tahoma"/>
          <w:bCs/>
        </w:rPr>
        <w:t xml:space="preserve"> (τον </w:t>
      </w:r>
      <w:r>
        <w:rPr>
          <w:rFonts w:ascii="Calibri" w:hAnsi="Calibri" w:cs="Tahoma"/>
          <w:bCs/>
        </w:rPr>
        <w:t>προηγούμενο μήνα</w:t>
      </w:r>
      <w:r w:rsidRPr="003E0080">
        <w:rPr>
          <w:rFonts w:ascii="Calibri" w:hAnsi="Calibri" w:cs="Tahoma"/>
          <w:bCs/>
        </w:rPr>
        <w:t xml:space="preserve"> πραγματοποίησαν το </w:t>
      </w:r>
      <w:r w:rsidR="00AB1D89" w:rsidRPr="00AB1D89">
        <w:rPr>
          <w:rFonts w:ascii="Calibri" w:hAnsi="Calibri" w:cs="Tahoma"/>
          <w:bCs/>
        </w:rPr>
        <w:t>21,5%</w:t>
      </w:r>
      <w:r w:rsidR="008D14A1" w:rsidRPr="008D14A1">
        <w:rPr>
          <w:rFonts w:ascii="Calibri" w:hAnsi="Calibri" w:cs="Tahoma"/>
          <w:bCs/>
        </w:rPr>
        <w:t xml:space="preserve"> </w:t>
      </w:r>
      <w:r w:rsidRPr="003E0080">
        <w:rPr>
          <w:rFonts w:ascii="Calibri" w:hAnsi="Calibri" w:cs="Tahoma"/>
          <w:bCs/>
        </w:rPr>
        <w:t xml:space="preserve">των συναλλαγών, ενώ τον </w:t>
      </w:r>
      <w:r>
        <w:rPr>
          <w:rFonts w:ascii="Calibri" w:hAnsi="Calibri" w:cs="Tahoma"/>
          <w:bCs/>
        </w:rPr>
        <w:t>ίδιο μήνα του προηγούμενου έτους</w:t>
      </w:r>
      <w:r w:rsidRPr="003E0080">
        <w:rPr>
          <w:rFonts w:ascii="Calibri" w:hAnsi="Calibri" w:cs="Tahoma"/>
          <w:bCs/>
        </w:rPr>
        <w:t xml:space="preserve"> είχαν πραγματοποιήσει το </w:t>
      </w:r>
      <w:r w:rsidR="00AB1D89" w:rsidRPr="00AB1D89">
        <w:rPr>
          <w:rFonts w:ascii="Calibri" w:hAnsi="Calibri" w:cs="Tahoma"/>
          <w:bCs/>
        </w:rPr>
        <w:t>20,7%</w:t>
      </w:r>
      <w:r w:rsidR="00C17DC3">
        <w:rPr>
          <w:rFonts w:ascii="Calibri" w:hAnsi="Calibri" w:cs="Tahoma"/>
          <w:bCs/>
        </w:rPr>
        <w:t xml:space="preserve"> των συναλλαγών).</w:t>
      </w:r>
    </w:p>
    <w:p w:rsidR="00C17DC3" w:rsidRPr="002D0B28" w:rsidRDefault="00C17DC3" w:rsidP="002D0B28">
      <w:pPr>
        <w:spacing w:before="120" w:after="120"/>
        <w:rPr>
          <w:rFonts w:ascii="Calibri" w:hAnsi="Calibri" w:cs="Tahoma"/>
          <w:bCs/>
        </w:rPr>
      </w:pPr>
    </w:p>
    <w:p w:rsidR="005E1B32" w:rsidRDefault="00005F45" w:rsidP="00005F45">
      <w:pPr>
        <w:pStyle w:val="Caption"/>
        <w:ind w:left="709"/>
        <w:jc w:val="both"/>
        <w:rPr>
          <w:rFonts w:ascii="Calibri" w:eastAsiaTheme="minorHAnsi" w:hAnsi="Calibri" w:cstheme="minorBidi"/>
          <w:color w:val="58585A"/>
          <w:sz w:val="18"/>
          <w:szCs w:val="18"/>
        </w:rPr>
      </w:pPr>
      <w:r>
        <w:rPr>
          <w:rFonts w:ascii="Calibri" w:eastAsiaTheme="minorHAnsi" w:hAnsi="Calibri" w:cstheme="minorBidi"/>
          <w:noProof/>
          <w:color w:val="58585A"/>
          <w:sz w:val="18"/>
          <w:szCs w:val="18"/>
          <w:lang w:val="en-GB" w:eastAsia="en-GB"/>
        </w:rPr>
        <w:drawing>
          <wp:inline distT="0" distB="0" distL="0" distR="0" wp14:anchorId="77F667BB">
            <wp:extent cx="5305067" cy="1647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0985" cy="1652769"/>
                    </a:xfrm>
                    <a:prstGeom prst="rect">
                      <a:avLst/>
                    </a:prstGeom>
                    <a:noFill/>
                  </pic:spPr>
                </pic:pic>
              </a:graphicData>
            </a:graphic>
          </wp:inline>
        </w:drawing>
      </w:r>
    </w:p>
    <w:p w:rsidR="00C17DC3" w:rsidRDefault="00C17DC3">
      <w:pPr>
        <w:jc w:val="left"/>
        <w:rPr>
          <w:rFonts w:ascii="Calibri" w:hAnsi="Calibri" w:cs="Tahoma"/>
          <w:b/>
          <w:bCs/>
        </w:rPr>
      </w:pPr>
      <w:r>
        <w:rPr>
          <w:rFonts w:ascii="Calibri" w:hAnsi="Calibri" w:cs="Tahoma"/>
          <w:b/>
          <w:bCs/>
        </w:rPr>
        <w:br w:type="page"/>
      </w:r>
    </w:p>
    <w:p w:rsidR="002D0B28" w:rsidRPr="00363CFE" w:rsidRDefault="002D0B28" w:rsidP="00C17DC3">
      <w:pPr>
        <w:jc w:val="left"/>
        <w:rPr>
          <w:rFonts w:ascii="Calibri" w:hAnsi="Calibri" w:cs="Tahoma"/>
          <w:bCs/>
        </w:rPr>
      </w:pPr>
      <w:r w:rsidRPr="008F5651">
        <w:rPr>
          <w:rFonts w:ascii="Calibri" w:hAnsi="Calibri" w:cs="Tahoma"/>
          <w:b/>
          <w:bCs/>
        </w:rPr>
        <w:lastRenderedPageBreak/>
        <w:t>Η</w:t>
      </w:r>
      <w:r w:rsidRPr="00255634">
        <w:rPr>
          <w:rFonts w:ascii="Calibri" w:hAnsi="Calibri" w:cs="Tahoma"/>
          <w:bCs/>
        </w:rPr>
        <w:t xml:space="preserve"> </w:t>
      </w:r>
      <w:r w:rsidRPr="00255634">
        <w:rPr>
          <w:rFonts w:ascii="Calibri" w:hAnsi="Calibri" w:cs="Tahoma"/>
          <w:b/>
          <w:bCs/>
        </w:rPr>
        <w:t xml:space="preserve">συμμετοχή των ξένων επενδυτών </w:t>
      </w:r>
      <w:r w:rsidRPr="00005F45">
        <w:rPr>
          <w:rFonts w:ascii="Calibri" w:hAnsi="Calibri" w:cs="Tahoma"/>
          <w:b/>
          <w:bCs/>
        </w:rPr>
        <w:t>στην κεφαλαιοποίηση</w:t>
      </w:r>
      <w:r w:rsidRPr="00255634">
        <w:rPr>
          <w:rFonts w:ascii="Calibri" w:hAnsi="Calibri" w:cs="Tahoma"/>
          <w:bCs/>
        </w:rPr>
        <w:t xml:space="preserve"> του Χρηματιστηρίου στο τέλος του μήνα -συνυπολογίζοντας την συμμετοχή του ΤΧΣ- ανήλθε στο </w:t>
      </w:r>
      <w:r w:rsidR="00AB1D89" w:rsidRPr="00AB1D89">
        <w:rPr>
          <w:rFonts w:ascii="Calibri" w:hAnsi="Calibri" w:cs="Tahoma"/>
          <w:b/>
          <w:bCs/>
        </w:rPr>
        <w:t>66,4%</w:t>
      </w:r>
      <w:r w:rsidR="00005F45">
        <w:rPr>
          <w:rFonts w:ascii="Calibri" w:hAnsi="Calibri" w:cs="Tahoma"/>
          <w:b/>
          <w:bCs/>
        </w:rPr>
        <w:t>,</w:t>
      </w:r>
      <w:r w:rsidR="003E1BA5" w:rsidRPr="003E1BA5">
        <w:rPr>
          <w:rFonts w:ascii="Calibri" w:hAnsi="Calibri" w:cs="Tahoma"/>
          <w:bCs/>
        </w:rPr>
        <w:t xml:space="preserve"> </w:t>
      </w:r>
      <w:r w:rsidRPr="00255634">
        <w:rPr>
          <w:rFonts w:ascii="Calibri" w:hAnsi="Calibri" w:cs="Tahoma"/>
          <w:bCs/>
        </w:rPr>
        <w:t xml:space="preserve">παρουσιάζοντας </w:t>
      </w:r>
      <w:r w:rsidR="00AB1D89" w:rsidRPr="00005F45">
        <w:rPr>
          <w:rFonts w:ascii="Calibri" w:hAnsi="Calibri" w:cs="Tahoma"/>
          <w:bCs/>
        </w:rPr>
        <w:t>αύξηση</w:t>
      </w:r>
      <w:r w:rsidR="00BC2C8A" w:rsidRPr="00BC2C8A">
        <w:rPr>
          <w:rFonts w:ascii="Calibri" w:hAnsi="Calibri" w:cs="Tahoma"/>
          <w:b/>
          <w:bCs/>
        </w:rPr>
        <w:t xml:space="preserve"> </w:t>
      </w:r>
      <w:r w:rsidRPr="00255634">
        <w:rPr>
          <w:rFonts w:ascii="Calibri" w:hAnsi="Calibri" w:cs="Tahoma"/>
          <w:bCs/>
        </w:rPr>
        <w:t>συγκριτικά με το ποσοστό που είχε διαμορφωθεί στο τέλος</w:t>
      </w:r>
      <w:r w:rsidR="003E1BA5" w:rsidRPr="003E1BA5">
        <w:rPr>
          <w:rFonts w:ascii="Calibri" w:hAnsi="Calibri" w:cs="Tahoma"/>
          <w:bCs/>
        </w:rPr>
        <w:t xml:space="preserve"> </w:t>
      </w:r>
      <w:r w:rsidR="00AB1D89" w:rsidRPr="00AB1D89">
        <w:rPr>
          <w:rFonts w:ascii="Calibri" w:hAnsi="Calibri" w:cs="Tahoma"/>
          <w:bCs/>
        </w:rPr>
        <w:t>Ιανουαρίου 2020</w:t>
      </w:r>
      <w:r w:rsidR="0055551E">
        <w:rPr>
          <w:rFonts w:ascii="Calibri" w:hAnsi="Calibri" w:cs="Tahoma"/>
          <w:bCs/>
        </w:rPr>
        <w:t>.</w:t>
      </w:r>
      <w:r w:rsidRPr="00255634">
        <w:rPr>
          <w:rFonts w:ascii="Calibri" w:hAnsi="Calibri" w:cs="Tahoma"/>
          <w:bCs/>
        </w:rPr>
        <w:t xml:space="preserve"> </w:t>
      </w:r>
      <w:r w:rsidR="0055551E">
        <w:rPr>
          <w:rFonts w:ascii="Calibri" w:hAnsi="Calibri" w:cs="Tahoma"/>
          <w:bCs/>
        </w:rPr>
        <w:t>Χ</w:t>
      </w:r>
      <w:r w:rsidRPr="00255634">
        <w:rPr>
          <w:rFonts w:ascii="Calibri" w:hAnsi="Calibri" w:cs="Tahoma"/>
          <w:bCs/>
        </w:rPr>
        <w:t>ωρίς την συμμετοχή του ΤΧΣ το ποσοστό αυτό δι</w:t>
      </w:r>
      <w:bookmarkStart w:id="2" w:name="_GoBack"/>
      <w:bookmarkEnd w:id="2"/>
      <w:r w:rsidRPr="00255634">
        <w:rPr>
          <w:rFonts w:ascii="Calibri" w:hAnsi="Calibri" w:cs="Tahoma"/>
          <w:bCs/>
        </w:rPr>
        <w:t xml:space="preserve">αμορφώθηκε στο </w:t>
      </w:r>
      <w:r w:rsidR="00AB1D89" w:rsidRPr="00AB1D89">
        <w:rPr>
          <w:rFonts w:ascii="Calibri" w:hAnsi="Calibri" w:cs="Tahoma"/>
          <w:bCs/>
        </w:rPr>
        <w:t>68,4%</w:t>
      </w:r>
      <w:r w:rsidR="00092F61" w:rsidRPr="00092F61">
        <w:rPr>
          <w:rFonts w:ascii="Calibri" w:hAnsi="Calibri" w:cs="Tahoma"/>
          <w:bCs/>
        </w:rPr>
        <w:t xml:space="preserve">. </w:t>
      </w:r>
      <w:r w:rsidRPr="00255634">
        <w:rPr>
          <w:rFonts w:ascii="Calibri" w:hAnsi="Calibri" w:cs="Tahoma"/>
          <w:bCs/>
        </w:rPr>
        <w:t xml:space="preserve">Τον ίδιο μήνα του προηγούμενου έτους η συμμετοχή των ξένων επενδυτών ήταν </w:t>
      </w:r>
      <w:r w:rsidR="00AB1D89" w:rsidRPr="00AB1D89">
        <w:rPr>
          <w:rFonts w:ascii="Calibri" w:hAnsi="Calibri" w:cs="Tahoma"/>
          <w:bCs/>
        </w:rPr>
        <w:t>63,9%</w:t>
      </w:r>
      <w:r w:rsidR="004E42D5" w:rsidRPr="004E42D5">
        <w:rPr>
          <w:rFonts w:ascii="Calibri" w:hAnsi="Calibri" w:cs="Tahoma"/>
          <w:bCs/>
        </w:rPr>
        <w:t xml:space="preserve"> </w:t>
      </w:r>
      <w:r w:rsidRPr="00255634">
        <w:rPr>
          <w:rFonts w:ascii="Calibri" w:hAnsi="Calibri" w:cs="Tahoma"/>
          <w:bCs/>
        </w:rPr>
        <w:t xml:space="preserve">συνυπολογίζοντας την συμμετοχή του ΤΧΣ και </w:t>
      </w:r>
      <w:r w:rsidR="00AB1D89" w:rsidRPr="00AB1D89">
        <w:rPr>
          <w:rFonts w:ascii="Calibri" w:hAnsi="Calibri" w:cs="Tahoma"/>
          <w:bCs/>
        </w:rPr>
        <w:t>65,5%</w:t>
      </w:r>
      <w:r w:rsidR="004E42D5" w:rsidRPr="004E42D5">
        <w:rPr>
          <w:rFonts w:ascii="Calibri" w:hAnsi="Calibri" w:cs="Tahoma"/>
          <w:bCs/>
        </w:rPr>
        <w:t xml:space="preserve"> </w:t>
      </w:r>
      <w:r w:rsidRPr="00255634">
        <w:rPr>
          <w:rFonts w:ascii="Calibri" w:hAnsi="Calibri" w:cs="Tahoma"/>
          <w:bCs/>
        </w:rPr>
        <w:t>χωρίς την συμμετοχή του ΤΧΣ (</w:t>
      </w:r>
      <w:r w:rsidRPr="00667C71">
        <w:rPr>
          <w:rFonts w:ascii="Calibri" w:hAnsi="Calibri" w:cs="Tahoma"/>
          <w:bCs/>
          <w:i/>
        </w:rPr>
        <w:t>βλ. γράφημα 4</w:t>
      </w:r>
      <w:r w:rsidRPr="00255634">
        <w:rPr>
          <w:rFonts w:ascii="Calibri" w:hAnsi="Calibri" w:cs="Tahoma"/>
          <w:bCs/>
        </w:rPr>
        <w:t xml:space="preserve">). </w:t>
      </w:r>
    </w:p>
    <w:p w:rsidR="005E1B32" w:rsidRPr="00031134" w:rsidRDefault="002D0B28" w:rsidP="00C17DC3">
      <w:pPr>
        <w:spacing w:before="120" w:after="120"/>
        <w:jc w:val="left"/>
        <w:rPr>
          <w:rFonts w:ascii="Calibri" w:hAnsi="Calibri" w:cs="Tahoma"/>
          <w:bCs/>
        </w:rPr>
      </w:pPr>
      <w:r w:rsidRPr="00F31B28">
        <w:rPr>
          <w:rFonts w:ascii="Calibri" w:hAnsi="Calibri" w:cs="Tahoma"/>
          <w:bCs/>
        </w:rPr>
        <w:t xml:space="preserve">Οι </w:t>
      </w:r>
      <w:r w:rsidRPr="00F31B28">
        <w:rPr>
          <w:rFonts w:ascii="Calibri" w:hAnsi="Calibri" w:cs="Tahoma"/>
          <w:b/>
          <w:bCs/>
        </w:rPr>
        <w:t>Έλληνες επενδυτές</w:t>
      </w:r>
      <w:r w:rsidRPr="00F31B28">
        <w:rPr>
          <w:rFonts w:ascii="Calibri" w:hAnsi="Calibri" w:cs="Tahoma"/>
          <w:bCs/>
        </w:rPr>
        <w:t xml:space="preserve"> </w:t>
      </w:r>
      <w:r>
        <w:rPr>
          <w:rFonts w:ascii="Calibri" w:hAnsi="Calibri" w:cs="Tahoma"/>
          <w:bCs/>
        </w:rPr>
        <w:t>στο τέλος του μήνα</w:t>
      </w:r>
      <w:r w:rsidRPr="00F31B28">
        <w:rPr>
          <w:rFonts w:ascii="Calibri" w:hAnsi="Calibri" w:cs="Tahoma"/>
          <w:bCs/>
        </w:rPr>
        <w:t xml:space="preserve"> κατείχαν το </w:t>
      </w:r>
      <w:r w:rsidR="00AB1D89" w:rsidRPr="00AB1D89">
        <w:rPr>
          <w:rFonts w:ascii="Calibri" w:hAnsi="Calibri" w:cs="Tahoma"/>
          <w:bCs/>
        </w:rPr>
        <w:t>33,5%</w:t>
      </w:r>
      <w:r w:rsidR="00290616" w:rsidRPr="00290616">
        <w:rPr>
          <w:rFonts w:ascii="Calibri" w:hAnsi="Calibri" w:cs="Tahoma"/>
          <w:bCs/>
        </w:rPr>
        <w:t xml:space="preserve"> </w:t>
      </w:r>
      <w:r>
        <w:rPr>
          <w:rFonts w:ascii="Calibri" w:hAnsi="Calibri" w:cs="Tahoma"/>
          <w:bCs/>
        </w:rPr>
        <w:t>του συνόλου της κεφαλαιοποίησης των μετοχών στο Χ.Α.</w:t>
      </w:r>
      <w:r w:rsidR="00005F45">
        <w:rPr>
          <w:rFonts w:ascii="Calibri" w:hAnsi="Calibri" w:cs="Tahoma"/>
          <w:bCs/>
          <w:noProof/>
          <w:lang w:val="en-GB" w:eastAsia="en-GB"/>
        </w:rPr>
        <w:drawing>
          <wp:inline distT="0" distB="0" distL="0" distR="0" wp14:anchorId="59275AE0">
            <wp:extent cx="5263515" cy="2320954"/>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81980" cy="2329096"/>
                    </a:xfrm>
                    <a:prstGeom prst="rect">
                      <a:avLst/>
                    </a:prstGeom>
                    <a:noFill/>
                  </pic:spPr>
                </pic:pic>
              </a:graphicData>
            </a:graphic>
          </wp:inline>
        </w:drawing>
      </w:r>
    </w:p>
    <w:p w:rsidR="00B51F92" w:rsidRPr="00C17DC3" w:rsidRDefault="00B51F92" w:rsidP="00B51F92">
      <w:pPr>
        <w:pStyle w:val="NormalStrong"/>
        <w:rPr>
          <w:b w:val="0"/>
          <w:szCs w:val="24"/>
        </w:rPr>
      </w:pPr>
      <w:r w:rsidRPr="002610EA">
        <w:rPr>
          <w:szCs w:val="24"/>
        </w:rPr>
        <w:t xml:space="preserve">Εκδόσεις και Αναφορές του Χρηματιστηρίου </w:t>
      </w:r>
    </w:p>
    <w:p w:rsidR="00B51F92" w:rsidRPr="002610EA" w:rsidRDefault="00B51F92" w:rsidP="00B51F92">
      <w:pPr>
        <w:spacing w:after="0"/>
        <w:rPr>
          <w:sz w:val="20"/>
          <w:szCs w:val="20"/>
        </w:rPr>
      </w:pPr>
      <w:r w:rsidRPr="002610EA">
        <w:rPr>
          <w:sz w:val="20"/>
          <w:szCs w:val="20"/>
        </w:rPr>
        <w:t xml:space="preserve">Επισκεφθείτε το σχετικό </w:t>
      </w:r>
      <w:hyperlink r:id="rId15" w:history="1">
        <w:r w:rsidRPr="002610EA">
          <w:rPr>
            <w:rStyle w:val="Hyperlink"/>
            <w:sz w:val="20"/>
            <w:szCs w:val="20"/>
          </w:rPr>
          <w:t>σύνδεσμο</w:t>
        </w:r>
      </w:hyperlink>
      <w:r w:rsidRPr="002610EA">
        <w:rPr>
          <w:sz w:val="20"/>
          <w:szCs w:val="20"/>
        </w:rPr>
        <w:t>.</w:t>
      </w:r>
    </w:p>
    <w:p w:rsidR="00B51F92" w:rsidRPr="0055551E" w:rsidRDefault="00B51F92" w:rsidP="00B51F92">
      <w:pPr>
        <w:spacing w:after="0"/>
        <w:rPr>
          <w:rStyle w:val="Hyperlink"/>
          <w:sz w:val="20"/>
          <w:szCs w:val="20"/>
          <w:lang w:val="en-GB"/>
        </w:rPr>
      </w:pPr>
      <w:r w:rsidRPr="002610EA">
        <w:rPr>
          <w:sz w:val="20"/>
          <w:szCs w:val="20"/>
        </w:rPr>
        <w:t>Τηλ</w:t>
      </w:r>
      <w:r w:rsidRPr="002610EA">
        <w:rPr>
          <w:sz w:val="20"/>
          <w:szCs w:val="20"/>
          <w:lang w:val="it-IT"/>
        </w:rPr>
        <w:t xml:space="preserve">: 210 33 66 </w:t>
      </w:r>
      <w:r w:rsidR="004C3373">
        <w:rPr>
          <w:sz w:val="20"/>
          <w:szCs w:val="20"/>
          <w:lang w:val="it-IT"/>
        </w:rPr>
        <w:t>294</w:t>
      </w:r>
      <w:r w:rsidRPr="002610EA">
        <w:rPr>
          <w:sz w:val="20"/>
          <w:szCs w:val="20"/>
          <w:lang w:val="it-IT"/>
        </w:rPr>
        <w:t xml:space="preserve">, e-mail: </w:t>
      </w:r>
      <w:r w:rsidR="004C3373">
        <w:rPr>
          <w:sz w:val="20"/>
          <w:szCs w:val="20"/>
          <w:lang w:val="en-US"/>
        </w:rPr>
        <w:t>AthexStats</w:t>
      </w:r>
      <w:r w:rsidR="004C3373" w:rsidRPr="0055551E">
        <w:rPr>
          <w:sz w:val="20"/>
          <w:szCs w:val="20"/>
          <w:lang w:val="en-GB"/>
        </w:rPr>
        <w:t>@</w:t>
      </w:r>
      <w:r w:rsidR="004C3373">
        <w:rPr>
          <w:sz w:val="20"/>
          <w:szCs w:val="20"/>
          <w:lang w:val="en-US"/>
        </w:rPr>
        <w:t>athexgroup</w:t>
      </w:r>
      <w:r w:rsidR="004C3373" w:rsidRPr="0055551E">
        <w:rPr>
          <w:sz w:val="20"/>
          <w:szCs w:val="20"/>
          <w:lang w:val="en-GB"/>
        </w:rPr>
        <w:t>.</w:t>
      </w:r>
      <w:r w:rsidR="004C3373">
        <w:rPr>
          <w:sz w:val="20"/>
          <w:szCs w:val="20"/>
          <w:lang w:val="en-US"/>
        </w:rPr>
        <w:t>gr</w:t>
      </w:r>
      <w:hyperlink r:id="rId16" w:history="1"/>
    </w:p>
    <w:p w:rsidR="00340388" w:rsidRPr="0055551E" w:rsidRDefault="00340388" w:rsidP="00B51F92">
      <w:pPr>
        <w:spacing w:after="0"/>
        <w:rPr>
          <w:rStyle w:val="Hyperlink"/>
          <w:lang w:val="en-GB"/>
        </w:rPr>
      </w:pPr>
    </w:p>
    <w:p w:rsidR="00C84581" w:rsidRPr="00C5252B" w:rsidRDefault="00C84581" w:rsidP="00C84581">
      <w:pPr>
        <w:pStyle w:val="NormalStrong"/>
        <w:rPr>
          <w:rFonts w:cs="Arial"/>
          <w:szCs w:val="24"/>
        </w:rPr>
      </w:pPr>
      <w:r w:rsidRPr="00C5252B">
        <w:rPr>
          <w:rFonts w:cs="Arial"/>
          <w:szCs w:val="24"/>
        </w:rPr>
        <w:t>Σχετικά με τον Όμιλο Χρηματιστηρίου Αθηνών</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 xml:space="preserve">Το </w:t>
      </w:r>
      <w:r w:rsidRPr="004D1CBE">
        <w:rPr>
          <w:b/>
          <w:color w:val="7F7F7F"/>
          <w:sz w:val="20"/>
          <w:szCs w:val="20"/>
          <w:shd w:val="clear" w:color="auto" w:fill="FFFFFF"/>
        </w:rPr>
        <w:t>Χρηματιστήριο Αθηνών</w:t>
      </w:r>
      <w:r w:rsidRPr="004D1CBE">
        <w:rPr>
          <w:color w:val="7F7F7F"/>
          <w:sz w:val="20"/>
          <w:szCs w:val="20"/>
          <w:shd w:val="clear" w:color="auto" w:fill="FFFFFF"/>
        </w:rPr>
        <w:t xml:space="preserve"> από την ίδρυσή του, το 1876, συμμετέχει σταθερά στις οικονομικές και επιχειρηματικές εξελίξεις της χώρας.</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 xml:space="preserve">Οι μετοχές του Ομίλου διαπραγματεύονται στην Κύρια Αγορά του Χρηματιστηρίου Αθηνών (Σύμβολο: </w:t>
      </w:r>
      <w:r w:rsidRPr="004D1CBE">
        <w:rPr>
          <w:color w:val="7F7F7F"/>
          <w:sz w:val="20"/>
          <w:szCs w:val="20"/>
          <w:shd w:val="clear" w:color="auto" w:fill="FFFFFF"/>
          <w:lang w:val="en-US"/>
        </w:rPr>
        <w:t>EXAE</w:t>
      </w:r>
      <w:r w:rsidRPr="004D1CBE">
        <w:rPr>
          <w:color w:val="7F7F7F"/>
          <w:sz w:val="20"/>
          <w:szCs w:val="20"/>
          <w:shd w:val="clear" w:color="auto" w:fill="FFFFFF"/>
        </w:rPr>
        <w:t>).</w:t>
      </w:r>
    </w:p>
    <w:p w:rsidR="00C84581" w:rsidRPr="000D6F14" w:rsidRDefault="002610EA" w:rsidP="000D6F14">
      <w:pPr>
        <w:pBdr>
          <w:bottom w:val="single" w:sz="4" w:space="1" w:color="006EAB"/>
        </w:pBdr>
        <w:rPr>
          <w:sz w:val="20"/>
        </w:rPr>
      </w:pPr>
      <w:r w:rsidRPr="004D1CBE">
        <w:rPr>
          <w:color w:val="7F7F7F"/>
          <w:sz w:val="20"/>
          <w:szCs w:val="20"/>
          <w:shd w:val="clear" w:color="auto" w:fill="FFFFFF"/>
        </w:rPr>
        <w:t xml:space="preserve">Συνοπτικές πληροφορίες για την αγορά και τον Όμιλο του Χρηματιστηρίου Αθηνών μπορείτε να βρείτε στον </w:t>
      </w:r>
      <w:hyperlink r:id="rId17" w:history="1">
        <w:r w:rsidRPr="004D1CBE">
          <w:rPr>
            <w:rStyle w:val="Hyperlink"/>
            <w:sz w:val="20"/>
            <w:szCs w:val="20"/>
            <w:shd w:val="clear" w:color="auto" w:fill="FFFFFF"/>
          </w:rPr>
          <w:t>σύνδεσμο</w:t>
        </w:r>
      </w:hyperlink>
      <w:r w:rsidRPr="004D1CBE">
        <w:rPr>
          <w:color w:val="7F7F7F"/>
          <w:sz w:val="20"/>
          <w:szCs w:val="20"/>
          <w:shd w:val="clear" w:color="auto" w:fill="FFFFFF"/>
        </w:rPr>
        <w:t xml:space="preserve"> καθώς και στην ιστοσελίδα του</w:t>
      </w:r>
      <w:r w:rsidRPr="002610EA">
        <w:rPr>
          <w:color w:val="7F7F7F"/>
          <w:sz w:val="20"/>
          <w:szCs w:val="20"/>
          <w:shd w:val="clear" w:color="auto" w:fill="FFFFFF"/>
        </w:rPr>
        <w:t xml:space="preserve"> </w:t>
      </w:r>
      <w:hyperlink r:id="rId18" w:history="1">
        <w:r w:rsidRPr="00836A15">
          <w:rPr>
            <w:color w:val="0563C1"/>
            <w:sz w:val="20"/>
            <w:u w:val="single"/>
            <w:lang w:val="en-US"/>
          </w:rPr>
          <w:t>www</w:t>
        </w:r>
        <w:r w:rsidRPr="004D1CBE">
          <w:rPr>
            <w:color w:val="0563C1"/>
            <w:sz w:val="20"/>
            <w:u w:val="single"/>
          </w:rPr>
          <w:t>.</w:t>
        </w:r>
        <w:r w:rsidRPr="00836A15">
          <w:rPr>
            <w:color w:val="0563C1"/>
            <w:sz w:val="20"/>
            <w:u w:val="single"/>
            <w:lang w:val="en-US"/>
          </w:rPr>
          <w:t>athexgroup</w:t>
        </w:r>
        <w:r w:rsidRPr="004D1CBE">
          <w:rPr>
            <w:color w:val="0563C1"/>
            <w:sz w:val="20"/>
            <w:u w:val="single"/>
          </w:rPr>
          <w:t>.</w:t>
        </w:r>
        <w:r w:rsidRPr="00836A15">
          <w:rPr>
            <w:color w:val="0563C1"/>
            <w:sz w:val="20"/>
            <w:u w:val="single"/>
            <w:lang w:val="en-US"/>
          </w:rPr>
          <w:t>gr</w:t>
        </w:r>
      </w:hyperlink>
      <w:r w:rsidRPr="004D1CBE">
        <w:rPr>
          <w:sz w:val="20"/>
        </w:rPr>
        <w:t>.</w:t>
      </w:r>
    </w:p>
    <w:sectPr w:rsidR="00C84581" w:rsidRPr="000D6F14" w:rsidSect="00C17DC3">
      <w:headerReference w:type="default" r:id="rId19"/>
      <w:footerReference w:type="default" r:id="rId20"/>
      <w:pgSz w:w="11906" w:h="16838"/>
      <w:pgMar w:top="1276" w:right="1736" w:bottom="0" w:left="1800" w:header="0" w:footer="1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1154" w:rsidRDefault="003D1154" w:rsidP="00035040">
      <w:r>
        <w:separator/>
      </w:r>
    </w:p>
  </w:endnote>
  <w:endnote w:type="continuationSeparator" w:id="0">
    <w:p w:rsidR="003D1154" w:rsidRDefault="003D1154"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154" w:rsidRPr="001757B3" w:rsidRDefault="003D1154" w:rsidP="00787BB3">
    <w:pPr>
      <w:pStyle w:val="PageNumberNew"/>
      <w:tabs>
        <w:tab w:val="clear" w:pos="8280"/>
        <w:tab w:val="right" w:pos="8370"/>
      </w:tabs>
      <w:rPr>
        <w:rFonts w:asciiTheme="majorHAnsi" w:hAnsiTheme="majorHAnsi"/>
        <w:sz w:val="48"/>
        <w:szCs w:val="44"/>
      </w:rPr>
    </w:pPr>
    <w:r w:rsidRPr="00F96FBA">
      <w:rPr>
        <w:sz w:val="16"/>
        <w:szCs w:val="16"/>
      </w:rPr>
      <w:t>Λεωφ. Αθηνών 110, 104 42 Αθήνα, T + 30 210-3366 800, F +30 210-3366 101, www.athexgroup.gr</w:t>
    </w:r>
    <w:r>
      <w:tab/>
    </w:r>
    <w:sdt>
      <w:sdtPr>
        <w:rPr>
          <w:sz w:val="16"/>
          <w:szCs w:val="16"/>
        </w:rPr>
        <w:id w:val="-186454860"/>
        <w:docPartObj>
          <w:docPartGallery w:val="Page Numbers (Margins)"/>
          <w:docPartUnique/>
        </w:docPartObj>
      </w:sdtPr>
      <w:sdtEndPr>
        <w:rPr>
          <w:sz w:val="20"/>
          <w:szCs w:val="20"/>
        </w:rPr>
      </w:sdtEndPr>
      <w:sdtContent>
        <w:sdt>
          <w:sdtPr>
            <w:rPr>
              <w:sz w:val="16"/>
              <w:szCs w:val="16"/>
            </w:rPr>
            <w:id w:val="339128096"/>
            <w:docPartObj>
              <w:docPartGallery w:val="Page Numbers (Margins)"/>
              <w:docPartUnique/>
            </w:docPartObj>
          </w:sdtPr>
          <w:sdtEndPr/>
          <w:sdtContent>
            <w:r w:rsidRPr="00D47F87">
              <w:rPr>
                <w:rFonts w:eastAsiaTheme="minorEastAsia" w:cs="Times New Roman"/>
                <w:sz w:val="16"/>
                <w:szCs w:val="16"/>
              </w:rPr>
              <w:fldChar w:fldCharType="begin"/>
            </w:r>
            <w:r w:rsidRPr="00D47F87">
              <w:rPr>
                <w:sz w:val="16"/>
                <w:szCs w:val="16"/>
              </w:rPr>
              <w:instrText xml:space="preserve"> PAGE   \* MERGEFORMAT </w:instrText>
            </w:r>
            <w:r w:rsidRPr="00D47F87">
              <w:rPr>
                <w:rFonts w:eastAsiaTheme="minorEastAsia" w:cs="Times New Roman"/>
                <w:sz w:val="16"/>
                <w:szCs w:val="16"/>
              </w:rPr>
              <w:fldChar w:fldCharType="separate"/>
            </w:r>
            <w:r w:rsidR="0055551E">
              <w:rPr>
                <w:noProof/>
                <w:sz w:val="16"/>
                <w:szCs w:val="16"/>
              </w:rPr>
              <w:t>1</w:t>
            </w:r>
            <w:r w:rsidRPr="00D47F87">
              <w:rPr>
                <w:noProof/>
                <w:sz w:val="16"/>
                <w:szCs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7DC3" w:rsidRPr="001757B3" w:rsidRDefault="00C17DC3" w:rsidP="00787BB3">
    <w:pPr>
      <w:pStyle w:val="PageNumberNew"/>
      <w:tabs>
        <w:tab w:val="clear" w:pos="8280"/>
        <w:tab w:val="right" w:pos="8370"/>
      </w:tabs>
      <w:rPr>
        <w:rFonts w:asciiTheme="majorHAnsi" w:hAnsiTheme="majorHAnsi"/>
        <w:sz w:val="48"/>
        <w:szCs w:val="44"/>
      </w:rPr>
    </w:pPr>
    <w:r>
      <w:tab/>
    </w:r>
    <w:sdt>
      <w:sdtPr>
        <w:rPr>
          <w:sz w:val="16"/>
          <w:szCs w:val="16"/>
        </w:rPr>
        <w:id w:val="1268576686"/>
        <w:docPartObj>
          <w:docPartGallery w:val="Page Numbers (Margins)"/>
          <w:docPartUnique/>
        </w:docPartObj>
      </w:sdtPr>
      <w:sdtEndPr>
        <w:rPr>
          <w:sz w:val="20"/>
          <w:szCs w:val="20"/>
        </w:rPr>
      </w:sdtEndPr>
      <w:sdtContent>
        <w:sdt>
          <w:sdtPr>
            <w:rPr>
              <w:sz w:val="16"/>
              <w:szCs w:val="16"/>
            </w:rPr>
            <w:id w:val="33859144"/>
            <w:docPartObj>
              <w:docPartGallery w:val="Page Numbers (Margins)"/>
              <w:docPartUnique/>
            </w:docPartObj>
          </w:sdtPr>
          <w:sdtEndPr/>
          <w:sdtContent>
            <w:r w:rsidRPr="00D47F87">
              <w:rPr>
                <w:rFonts w:eastAsiaTheme="minorEastAsia" w:cs="Times New Roman"/>
                <w:sz w:val="16"/>
                <w:szCs w:val="16"/>
              </w:rPr>
              <w:fldChar w:fldCharType="begin"/>
            </w:r>
            <w:r w:rsidRPr="00D47F87">
              <w:rPr>
                <w:sz w:val="16"/>
                <w:szCs w:val="16"/>
              </w:rPr>
              <w:instrText xml:space="preserve"> PAGE   \* MERGEFORMAT </w:instrText>
            </w:r>
            <w:r w:rsidRPr="00D47F87">
              <w:rPr>
                <w:rFonts w:eastAsiaTheme="minorEastAsia" w:cs="Times New Roman"/>
                <w:sz w:val="16"/>
                <w:szCs w:val="16"/>
              </w:rPr>
              <w:fldChar w:fldCharType="separate"/>
            </w:r>
            <w:r w:rsidR="0055551E">
              <w:rPr>
                <w:noProof/>
                <w:sz w:val="16"/>
                <w:szCs w:val="16"/>
              </w:rPr>
              <w:t>2</w:t>
            </w:r>
            <w:r w:rsidRPr="00D47F87">
              <w:rPr>
                <w:noProof/>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1154" w:rsidRDefault="003D1154" w:rsidP="00035040">
      <w:r>
        <w:separator/>
      </w:r>
    </w:p>
  </w:footnote>
  <w:footnote w:type="continuationSeparator" w:id="0">
    <w:p w:rsidR="003D1154" w:rsidRDefault="003D1154"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154" w:rsidRDefault="003D1154" w:rsidP="00A7436B">
    <w:pPr>
      <w:pStyle w:val="Header"/>
      <w:tabs>
        <w:tab w:val="clear" w:pos="8306"/>
        <w:tab w:val="right" w:pos="8370"/>
      </w:tabs>
    </w:pPr>
    <w:r>
      <w:rPr>
        <w:noProof/>
        <w:lang w:val="en-GB" w:eastAsia="en-GB"/>
      </w:rPr>
      <w:drawing>
        <wp:inline distT="0" distB="0" distL="0" distR="0" wp14:anchorId="77571FE7" wp14:editId="646FE58A">
          <wp:extent cx="1453896" cy="1078992"/>
          <wp:effectExtent l="0" t="0" r="0" b="698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GR-PressQ.jpg"/>
                  <pic:cNvPicPr/>
                </pic:nvPicPr>
                <pic:blipFill>
                  <a:blip r:embed="rId1">
                    <a:extLst>
                      <a:ext uri="{28A0092B-C50C-407E-A947-70E740481C1C}">
                        <a14:useLocalDpi xmlns:a14="http://schemas.microsoft.com/office/drawing/2010/main" val="0"/>
                      </a:ext>
                    </a:extLst>
                  </a:blip>
                  <a:stretch>
                    <a:fillRect/>
                  </a:stretch>
                </pic:blipFill>
                <pic:spPr>
                  <a:xfrm>
                    <a:off x="0" y="0"/>
                    <a:ext cx="1453896" cy="107899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7DC3" w:rsidRDefault="00C17DC3" w:rsidP="00A7436B">
    <w:pPr>
      <w:pStyle w:val="Header"/>
      <w:tabs>
        <w:tab w:val="clear" w:pos="8306"/>
        <w:tab w:val="right" w:pos="837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6A5221E0"/>
    <w:multiLevelType w:val="hybridMultilevel"/>
    <w:tmpl w:val="8C30AB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6"/>
  </w:num>
  <w:num w:numId="4">
    <w:abstractNumId w:val="2"/>
  </w:num>
  <w:num w:numId="5">
    <w:abstractNumId w:val="10"/>
  </w:num>
  <w:num w:numId="6">
    <w:abstractNumId w:val="12"/>
  </w:num>
  <w:num w:numId="7">
    <w:abstractNumId w:val="4"/>
  </w:num>
  <w:num w:numId="8">
    <w:abstractNumId w:val="13"/>
  </w:num>
  <w:num w:numId="9">
    <w:abstractNumId w:val="0"/>
  </w:num>
  <w:num w:numId="10">
    <w:abstractNumId w:val="5"/>
  </w:num>
  <w:num w:numId="11">
    <w:abstractNumId w:val="7"/>
  </w:num>
  <w:num w:numId="12">
    <w:abstractNumId w:val="3"/>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4BE"/>
    <w:rsid w:val="00003DC9"/>
    <w:rsid w:val="00005F45"/>
    <w:rsid w:val="0001345C"/>
    <w:rsid w:val="0001729E"/>
    <w:rsid w:val="0001799B"/>
    <w:rsid w:val="00020A66"/>
    <w:rsid w:val="00027C6D"/>
    <w:rsid w:val="00031134"/>
    <w:rsid w:val="00035040"/>
    <w:rsid w:val="0004074A"/>
    <w:rsid w:val="00041C0E"/>
    <w:rsid w:val="00041F4E"/>
    <w:rsid w:val="00046892"/>
    <w:rsid w:val="000514D6"/>
    <w:rsid w:val="00051501"/>
    <w:rsid w:val="00052AC9"/>
    <w:rsid w:val="00055F8B"/>
    <w:rsid w:val="000646C2"/>
    <w:rsid w:val="00067A51"/>
    <w:rsid w:val="0007051C"/>
    <w:rsid w:val="00090D0B"/>
    <w:rsid w:val="0009144E"/>
    <w:rsid w:val="00092F61"/>
    <w:rsid w:val="00095613"/>
    <w:rsid w:val="000B079C"/>
    <w:rsid w:val="000C5940"/>
    <w:rsid w:val="000D4C76"/>
    <w:rsid w:val="000D52EF"/>
    <w:rsid w:val="000D6F14"/>
    <w:rsid w:val="000E6407"/>
    <w:rsid w:val="000F0B14"/>
    <w:rsid w:val="00111569"/>
    <w:rsid w:val="001176D4"/>
    <w:rsid w:val="00127070"/>
    <w:rsid w:val="0013530D"/>
    <w:rsid w:val="00137A4F"/>
    <w:rsid w:val="00140E03"/>
    <w:rsid w:val="00156469"/>
    <w:rsid w:val="0016049D"/>
    <w:rsid w:val="001609EB"/>
    <w:rsid w:val="001757B3"/>
    <w:rsid w:val="00176CB9"/>
    <w:rsid w:val="00176FC1"/>
    <w:rsid w:val="00177E6C"/>
    <w:rsid w:val="001803C7"/>
    <w:rsid w:val="0018603F"/>
    <w:rsid w:val="00190C2A"/>
    <w:rsid w:val="001922E5"/>
    <w:rsid w:val="001933FE"/>
    <w:rsid w:val="001A3A61"/>
    <w:rsid w:val="001A492B"/>
    <w:rsid w:val="001B07DE"/>
    <w:rsid w:val="001B0C65"/>
    <w:rsid w:val="001C27DD"/>
    <w:rsid w:val="001C362B"/>
    <w:rsid w:val="001C6047"/>
    <w:rsid w:val="001F48E9"/>
    <w:rsid w:val="001F52EC"/>
    <w:rsid w:val="00201CDD"/>
    <w:rsid w:val="00213D9F"/>
    <w:rsid w:val="00244E4F"/>
    <w:rsid w:val="00247144"/>
    <w:rsid w:val="002472F7"/>
    <w:rsid w:val="002610EA"/>
    <w:rsid w:val="00261DC8"/>
    <w:rsid w:val="0026650A"/>
    <w:rsid w:val="00267ED9"/>
    <w:rsid w:val="0027020F"/>
    <w:rsid w:val="002741D2"/>
    <w:rsid w:val="002761DE"/>
    <w:rsid w:val="00285EB3"/>
    <w:rsid w:val="00290616"/>
    <w:rsid w:val="002918D3"/>
    <w:rsid w:val="0029756F"/>
    <w:rsid w:val="002A5EFF"/>
    <w:rsid w:val="002C06A3"/>
    <w:rsid w:val="002C20E4"/>
    <w:rsid w:val="002C504C"/>
    <w:rsid w:val="002C6E3F"/>
    <w:rsid w:val="002D0B28"/>
    <w:rsid w:val="002E020F"/>
    <w:rsid w:val="002E4833"/>
    <w:rsid w:val="002E5700"/>
    <w:rsid w:val="003026A1"/>
    <w:rsid w:val="003043FB"/>
    <w:rsid w:val="00304BD7"/>
    <w:rsid w:val="00316161"/>
    <w:rsid w:val="00336963"/>
    <w:rsid w:val="00340388"/>
    <w:rsid w:val="00345289"/>
    <w:rsid w:val="003456E2"/>
    <w:rsid w:val="00353650"/>
    <w:rsid w:val="00354513"/>
    <w:rsid w:val="00363CFE"/>
    <w:rsid w:val="00371ADF"/>
    <w:rsid w:val="003723FC"/>
    <w:rsid w:val="0038195D"/>
    <w:rsid w:val="00397C0E"/>
    <w:rsid w:val="003B5303"/>
    <w:rsid w:val="003B7EA0"/>
    <w:rsid w:val="003C4403"/>
    <w:rsid w:val="003D1154"/>
    <w:rsid w:val="003D1207"/>
    <w:rsid w:val="003D3A7C"/>
    <w:rsid w:val="003D523D"/>
    <w:rsid w:val="003E1BA5"/>
    <w:rsid w:val="003F3EDE"/>
    <w:rsid w:val="003F4D1A"/>
    <w:rsid w:val="003F4E95"/>
    <w:rsid w:val="0040487A"/>
    <w:rsid w:val="00405690"/>
    <w:rsid w:val="00416DEE"/>
    <w:rsid w:val="00421020"/>
    <w:rsid w:val="00421DB2"/>
    <w:rsid w:val="004272A8"/>
    <w:rsid w:val="00430337"/>
    <w:rsid w:val="004377D4"/>
    <w:rsid w:val="004564E9"/>
    <w:rsid w:val="004676BC"/>
    <w:rsid w:val="00471EEA"/>
    <w:rsid w:val="004754AE"/>
    <w:rsid w:val="004837D7"/>
    <w:rsid w:val="00492B38"/>
    <w:rsid w:val="004A6465"/>
    <w:rsid w:val="004B3AFA"/>
    <w:rsid w:val="004B6506"/>
    <w:rsid w:val="004C3373"/>
    <w:rsid w:val="004C4CF3"/>
    <w:rsid w:val="004C59B9"/>
    <w:rsid w:val="004C651F"/>
    <w:rsid w:val="004C6AAB"/>
    <w:rsid w:val="004D71F4"/>
    <w:rsid w:val="004E0ECD"/>
    <w:rsid w:val="004E42D5"/>
    <w:rsid w:val="004E5CC4"/>
    <w:rsid w:val="00501724"/>
    <w:rsid w:val="005023D2"/>
    <w:rsid w:val="005176C4"/>
    <w:rsid w:val="005251E4"/>
    <w:rsid w:val="00525B60"/>
    <w:rsid w:val="0052679B"/>
    <w:rsid w:val="00533C37"/>
    <w:rsid w:val="005421C4"/>
    <w:rsid w:val="00543C3D"/>
    <w:rsid w:val="0055551E"/>
    <w:rsid w:val="0055693A"/>
    <w:rsid w:val="00561D1D"/>
    <w:rsid w:val="005773BD"/>
    <w:rsid w:val="00585102"/>
    <w:rsid w:val="005902FD"/>
    <w:rsid w:val="005A6FCE"/>
    <w:rsid w:val="005C03B8"/>
    <w:rsid w:val="005C0EFF"/>
    <w:rsid w:val="005D49C3"/>
    <w:rsid w:val="005D56C9"/>
    <w:rsid w:val="005E1B32"/>
    <w:rsid w:val="005F03FA"/>
    <w:rsid w:val="0060105E"/>
    <w:rsid w:val="00612216"/>
    <w:rsid w:val="0061623B"/>
    <w:rsid w:val="00625430"/>
    <w:rsid w:val="00642787"/>
    <w:rsid w:val="00654735"/>
    <w:rsid w:val="00666F90"/>
    <w:rsid w:val="00667C71"/>
    <w:rsid w:val="00674BFD"/>
    <w:rsid w:val="00676EE8"/>
    <w:rsid w:val="00676FBA"/>
    <w:rsid w:val="006773A3"/>
    <w:rsid w:val="006818C8"/>
    <w:rsid w:val="00682ED5"/>
    <w:rsid w:val="00684FFC"/>
    <w:rsid w:val="00693891"/>
    <w:rsid w:val="006A7F91"/>
    <w:rsid w:val="00701590"/>
    <w:rsid w:val="00713276"/>
    <w:rsid w:val="0071689B"/>
    <w:rsid w:val="00717BBE"/>
    <w:rsid w:val="0072053C"/>
    <w:rsid w:val="00722E82"/>
    <w:rsid w:val="00724BAE"/>
    <w:rsid w:val="007255EF"/>
    <w:rsid w:val="00734810"/>
    <w:rsid w:val="0073703A"/>
    <w:rsid w:val="0074132D"/>
    <w:rsid w:val="007466AC"/>
    <w:rsid w:val="007546F0"/>
    <w:rsid w:val="00761C11"/>
    <w:rsid w:val="007630FF"/>
    <w:rsid w:val="00774E7D"/>
    <w:rsid w:val="007804B0"/>
    <w:rsid w:val="007804FA"/>
    <w:rsid w:val="0078318B"/>
    <w:rsid w:val="00787BB3"/>
    <w:rsid w:val="007A43DA"/>
    <w:rsid w:val="007D0822"/>
    <w:rsid w:val="007D1F80"/>
    <w:rsid w:val="007D2C2C"/>
    <w:rsid w:val="007E4474"/>
    <w:rsid w:val="007E5FED"/>
    <w:rsid w:val="007E66ED"/>
    <w:rsid w:val="007F23B1"/>
    <w:rsid w:val="00803A1F"/>
    <w:rsid w:val="008101F5"/>
    <w:rsid w:val="008128D2"/>
    <w:rsid w:val="00816FD9"/>
    <w:rsid w:val="00820504"/>
    <w:rsid w:val="0082298F"/>
    <w:rsid w:val="008359C6"/>
    <w:rsid w:val="00842DAD"/>
    <w:rsid w:val="00845D8C"/>
    <w:rsid w:val="00846341"/>
    <w:rsid w:val="008465BB"/>
    <w:rsid w:val="00847563"/>
    <w:rsid w:val="008500B7"/>
    <w:rsid w:val="00850E08"/>
    <w:rsid w:val="0087013A"/>
    <w:rsid w:val="00870B13"/>
    <w:rsid w:val="00877096"/>
    <w:rsid w:val="00887493"/>
    <w:rsid w:val="00892D52"/>
    <w:rsid w:val="00893F12"/>
    <w:rsid w:val="008B770D"/>
    <w:rsid w:val="008C09AA"/>
    <w:rsid w:val="008D14A1"/>
    <w:rsid w:val="008F1847"/>
    <w:rsid w:val="008F4DD7"/>
    <w:rsid w:val="008F5651"/>
    <w:rsid w:val="0090156C"/>
    <w:rsid w:val="009101AF"/>
    <w:rsid w:val="00911070"/>
    <w:rsid w:val="0093609D"/>
    <w:rsid w:val="0094280A"/>
    <w:rsid w:val="00942CFF"/>
    <w:rsid w:val="00943160"/>
    <w:rsid w:val="00950E23"/>
    <w:rsid w:val="00954780"/>
    <w:rsid w:val="00972192"/>
    <w:rsid w:val="00986936"/>
    <w:rsid w:val="00992757"/>
    <w:rsid w:val="00994AB5"/>
    <w:rsid w:val="009C01A1"/>
    <w:rsid w:val="009E37AA"/>
    <w:rsid w:val="009E472B"/>
    <w:rsid w:val="009E7597"/>
    <w:rsid w:val="009F1084"/>
    <w:rsid w:val="009F7A56"/>
    <w:rsid w:val="00A0483E"/>
    <w:rsid w:val="00A172E4"/>
    <w:rsid w:val="00A212BA"/>
    <w:rsid w:val="00A24B53"/>
    <w:rsid w:val="00A3056F"/>
    <w:rsid w:val="00A41876"/>
    <w:rsid w:val="00A42E8C"/>
    <w:rsid w:val="00A442E1"/>
    <w:rsid w:val="00A70329"/>
    <w:rsid w:val="00A7436B"/>
    <w:rsid w:val="00A85295"/>
    <w:rsid w:val="00A94992"/>
    <w:rsid w:val="00A97B21"/>
    <w:rsid w:val="00AA5943"/>
    <w:rsid w:val="00AB1BEA"/>
    <w:rsid w:val="00AB1D89"/>
    <w:rsid w:val="00AB28A5"/>
    <w:rsid w:val="00AB392A"/>
    <w:rsid w:val="00AB6B71"/>
    <w:rsid w:val="00AC612F"/>
    <w:rsid w:val="00AE4818"/>
    <w:rsid w:val="00AE5169"/>
    <w:rsid w:val="00AF6F21"/>
    <w:rsid w:val="00B003FE"/>
    <w:rsid w:val="00B0345F"/>
    <w:rsid w:val="00B03981"/>
    <w:rsid w:val="00B22439"/>
    <w:rsid w:val="00B26431"/>
    <w:rsid w:val="00B30BE7"/>
    <w:rsid w:val="00B3269B"/>
    <w:rsid w:val="00B33500"/>
    <w:rsid w:val="00B40A17"/>
    <w:rsid w:val="00B51F92"/>
    <w:rsid w:val="00B534BE"/>
    <w:rsid w:val="00B55F2B"/>
    <w:rsid w:val="00B8420B"/>
    <w:rsid w:val="00B92E15"/>
    <w:rsid w:val="00BA526A"/>
    <w:rsid w:val="00BB6DC5"/>
    <w:rsid w:val="00BC2C8A"/>
    <w:rsid w:val="00BD0045"/>
    <w:rsid w:val="00BD55CD"/>
    <w:rsid w:val="00BE1A9D"/>
    <w:rsid w:val="00BE245F"/>
    <w:rsid w:val="00BF074E"/>
    <w:rsid w:val="00BF5BA6"/>
    <w:rsid w:val="00C17C6B"/>
    <w:rsid w:val="00C17D66"/>
    <w:rsid w:val="00C17DC3"/>
    <w:rsid w:val="00C20202"/>
    <w:rsid w:val="00C27798"/>
    <w:rsid w:val="00C50D2F"/>
    <w:rsid w:val="00C54640"/>
    <w:rsid w:val="00C54848"/>
    <w:rsid w:val="00C67976"/>
    <w:rsid w:val="00C7188E"/>
    <w:rsid w:val="00C81AAD"/>
    <w:rsid w:val="00C8227D"/>
    <w:rsid w:val="00C84581"/>
    <w:rsid w:val="00CB6708"/>
    <w:rsid w:val="00CB7799"/>
    <w:rsid w:val="00CC795C"/>
    <w:rsid w:val="00CD2293"/>
    <w:rsid w:val="00CD5B23"/>
    <w:rsid w:val="00CD7501"/>
    <w:rsid w:val="00CE057F"/>
    <w:rsid w:val="00CE163A"/>
    <w:rsid w:val="00CE2721"/>
    <w:rsid w:val="00CE6157"/>
    <w:rsid w:val="00CF562E"/>
    <w:rsid w:val="00D050AA"/>
    <w:rsid w:val="00D22DA8"/>
    <w:rsid w:val="00D247A6"/>
    <w:rsid w:val="00D253CB"/>
    <w:rsid w:val="00D313EA"/>
    <w:rsid w:val="00D32652"/>
    <w:rsid w:val="00D34A7D"/>
    <w:rsid w:val="00D37454"/>
    <w:rsid w:val="00D37FEC"/>
    <w:rsid w:val="00D45075"/>
    <w:rsid w:val="00D467C8"/>
    <w:rsid w:val="00D468BE"/>
    <w:rsid w:val="00D476BE"/>
    <w:rsid w:val="00D47F87"/>
    <w:rsid w:val="00D576E0"/>
    <w:rsid w:val="00D6511E"/>
    <w:rsid w:val="00D6548A"/>
    <w:rsid w:val="00D66985"/>
    <w:rsid w:val="00D8379C"/>
    <w:rsid w:val="00D875B6"/>
    <w:rsid w:val="00D927CD"/>
    <w:rsid w:val="00D93D15"/>
    <w:rsid w:val="00D95939"/>
    <w:rsid w:val="00D97DBC"/>
    <w:rsid w:val="00DC2BF5"/>
    <w:rsid w:val="00DF0D05"/>
    <w:rsid w:val="00DF2965"/>
    <w:rsid w:val="00E0318C"/>
    <w:rsid w:val="00E050A6"/>
    <w:rsid w:val="00E23D98"/>
    <w:rsid w:val="00E54DF1"/>
    <w:rsid w:val="00E618FE"/>
    <w:rsid w:val="00E761BF"/>
    <w:rsid w:val="00E90CA1"/>
    <w:rsid w:val="00E93C97"/>
    <w:rsid w:val="00EB44D8"/>
    <w:rsid w:val="00ED2B58"/>
    <w:rsid w:val="00ED5076"/>
    <w:rsid w:val="00EE54DA"/>
    <w:rsid w:val="00EE6261"/>
    <w:rsid w:val="00EE6C63"/>
    <w:rsid w:val="00EF30E5"/>
    <w:rsid w:val="00EF6454"/>
    <w:rsid w:val="00F03EFC"/>
    <w:rsid w:val="00F066B3"/>
    <w:rsid w:val="00F11A00"/>
    <w:rsid w:val="00F15970"/>
    <w:rsid w:val="00F174ED"/>
    <w:rsid w:val="00F236A0"/>
    <w:rsid w:val="00F55162"/>
    <w:rsid w:val="00F56D41"/>
    <w:rsid w:val="00F63B21"/>
    <w:rsid w:val="00F720C7"/>
    <w:rsid w:val="00F72F57"/>
    <w:rsid w:val="00F87464"/>
    <w:rsid w:val="00F95C88"/>
    <w:rsid w:val="00F96FBA"/>
    <w:rsid w:val="00FA1969"/>
    <w:rsid w:val="00FA370B"/>
    <w:rsid w:val="00FA7830"/>
    <w:rsid w:val="00FB252D"/>
    <w:rsid w:val="00FB2652"/>
    <w:rsid w:val="00FB2F1E"/>
    <w:rsid w:val="00FC752A"/>
    <w:rsid w:val="00FE12E5"/>
    <w:rsid w:val="00FE262C"/>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A1CAF04"/>
  <w15:docId w15:val="{8E2C6FBC-C1E9-4819-8747-52B1220FF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Caption">
    <w:name w:val="caption"/>
    <w:basedOn w:val="Normal"/>
    <w:next w:val="Normal"/>
    <w:qFormat/>
    <w:rsid w:val="002D0B28"/>
    <w:pPr>
      <w:spacing w:after="240" w:line="360" w:lineRule="auto"/>
      <w:ind w:left="851" w:hanging="851"/>
      <w:jc w:val="left"/>
    </w:pPr>
    <w:rPr>
      <w:rFonts w:ascii="Arial" w:eastAsia="Times New Roman" w:hAnsi="Arial" w:cs="Times New Roman"/>
      <w: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641859">
      <w:bodyDiv w:val="1"/>
      <w:marLeft w:val="0"/>
      <w:marRight w:val="0"/>
      <w:marTop w:val="0"/>
      <w:marBottom w:val="0"/>
      <w:divBdr>
        <w:top w:val="none" w:sz="0" w:space="0" w:color="auto"/>
        <w:left w:val="none" w:sz="0" w:space="0" w:color="auto"/>
        <w:bottom w:val="none" w:sz="0" w:space="0" w:color="auto"/>
        <w:right w:val="none" w:sz="0" w:space="0" w:color="auto"/>
      </w:divBdr>
    </w:div>
    <w:div w:id="791434294">
      <w:bodyDiv w:val="1"/>
      <w:marLeft w:val="0"/>
      <w:marRight w:val="0"/>
      <w:marTop w:val="0"/>
      <w:marBottom w:val="0"/>
      <w:divBdr>
        <w:top w:val="none" w:sz="0" w:space="0" w:color="auto"/>
        <w:left w:val="none" w:sz="0" w:space="0" w:color="auto"/>
        <w:bottom w:val="none" w:sz="0" w:space="0" w:color="auto"/>
        <w:right w:val="none" w:sz="0" w:space="0" w:color="auto"/>
      </w:divBdr>
    </w:div>
    <w:div w:id="802118073">
      <w:bodyDiv w:val="1"/>
      <w:marLeft w:val="0"/>
      <w:marRight w:val="0"/>
      <w:marTop w:val="0"/>
      <w:marBottom w:val="0"/>
      <w:divBdr>
        <w:top w:val="none" w:sz="0" w:space="0" w:color="auto"/>
        <w:left w:val="none" w:sz="0" w:space="0" w:color="auto"/>
        <w:bottom w:val="none" w:sz="0" w:space="0" w:color="auto"/>
        <w:right w:val="none" w:sz="0" w:space="0" w:color="auto"/>
      </w:divBdr>
    </w:div>
    <w:div w:id="843589054">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124157291">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487356385">
      <w:bodyDiv w:val="1"/>
      <w:marLeft w:val="0"/>
      <w:marRight w:val="0"/>
      <w:marTop w:val="0"/>
      <w:marBottom w:val="0"/>
      <w:divBdr>
        <w:top w:val="none" w:sz="0" w:space="0" w:color="auto"/>
        <w:left w:val="none" w:sz="0" w:space="0" w:color="auto"/>
        <w:bottom w:val="none" w:sz="0" w:space="0" w:color="auto"/>
        <w:right w:val="none" w:sz="0" w:space="0" w:color="auto"/>
      </w:divBdr>
    </w:div>
    <w:div w:id="1536193982">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 w:id="1954241779">
      <w:bodyDiv w:val="1"/>
      <w:marLeft w:val="0"/>
      <w:marRight w:val="0"/>
      <w:marTop w:val="0"/>
      <w:marBottom w:val="0"/>
      <w:divBdr>
        <w:top w:val="none" w:sz="0" w:space="0" w:color="auto"/>
        <w:left w:val="none" w:sz="0" w:space="0" w:color="auto"/>
        <w:bottom w:val="none" w:sz="0" w:space="0" w:color="auto"/>
        <w:right w:val="none" w:sz="0" w:space="0" w:color="auto"/>
      </w:divBdr>
    </w:div>
    <w:div w:id="196306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yperlink" Target="http://www.athexgroup.gr"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yperlink" Target="http://www.helex.gr/el/ir" TargetMode="External"/><Relationship Id="rId2" Type="http://schemas.openxmlformats.org/officeDocument/2006/relationships/customXml" Target="../customXml/item2.xml"/><Relationship Id="rId16" Type="http://schemas.openxmlformats.org/officeDocument/2006/relationships/hyperlink" Target="mailto:Information-Services-Dpt@athexgroup.g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athexgroup.gr/el/web/guest/statistics-publications" TargetMode="External"/><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0C4E8-6184-4810-A845-FD47E58D4C23}">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B21BD39B-72BA-4F58-B103-84E063189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633</Words>
  <Characters>3612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Xenos, Aggelos</dc:creator>
  <cp:lastModifiedBy>Kokkalis, Ignatios</cp:lastModifiedBy>
  <cp:revision>7</cp:revision>
  <cp:lastPrinted>2016-03-07T10:06:00Z</cp:lastPrinted>
  <dcterms:created xsi:type="dcterms:W3CDTF">2020-03-09T14:05:00Z</dcterms:created>
  <dcterms:modified xsi:type="dcterms:W3CDTF">2020-03-09T14:48:00Z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84d4560b-5f81-4e24-8b23-bf9420b9173a</vt:lpwstr>
  </property>
  <property fmtid="{D5CDD505-2E9C-101B-9397-08002B2CF9AE}" pid="3" name="bjSaver">
    <vt:lpwstr>59R3sZNEEto3sNR6WPwbplIweadDziyk</vt:lpwstr>
  </property>
  <property fmtid="{D5CDD505-2E9C-101B-9397-08002B2CF9AE}" pid="4" name="bjDocumentSecurityLabel">
    <vt:lpwstr>No Marking</vt:lpwstr>
  </property>
</Properties>
</file>