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FED18" w14:textId="77777777" w:rsidR="00F54363" w:rsidRPr="00A165FC" w:rsidRDefault="00F54363" w:rsidP="00F54363">
      <w:pPr>
        <w:pStyle w:val="a"/>
        <w:spacing w:before="0" w:after="200" w:line="240" w:lineRule="auto"/>
        <w:rPr>
          <w:rFonts w:ascii="Aptos" w:hAnsi="Aptos"/>
          <w:b/>
          <w:bCs/>
          <w:color w:val="auto"/>
          <w:u w:val="single"/>
          <w:shd w:val="clear" w:color="auto" w:fill="FFFFFF"/>
          <w:lang w:val="en-US"/>
        </w:rPr>
      </w:pPr>
    </w:p>
    <w:p w14:paraId="03E7AAF5" w14:textId="77777777" w:rsidR="00F54363" w:rsidRPr="00A165FC" w:rsidRDefault="00F54363" w:rsidP="00F54363">
      <w:pPr>
        <w:pStyle w:val="a"/>
        <w:spacing w:before="0" w:after="200" w:line="240" w:lineRule="auto"/>
        <w:jc w:val="center"/>
        <w:rPr>
          <w:rFonts w:ascii="Aptos" w:eastAsia="Arial" w:hAnsi="Aptos" w:cs="Arial"/>
          <w:color w:val="auto"/>
          <w:u w:val="single"/>
          <w:shd w:val="clear" w:color="auto" w:fill="FFFFFF"/>
        </w:rPr>
      </w:pPr>
      <w:r w:rsidRPr="00A165FC">
        <w:rPr>
          <w:rFonts w:ascii="Aptos" w:hAnsi="Aptos"/>
          <w:b/>
          <w:bCs/>
          <w:color w:val="auto"/>
          <w:u w:val="single"/>
          <w:shd w:val="clear" w:color="auto" w:fill="FFFFFF"/>
        </w:rPr>
        <w:t>Δελτίο Τύπου – Οικονομικά Αποτελέσματα Α</w:t>
      </w:r>
      <w:r w:rsidRPr="00A165FC">
        <w:rPr>
          <w:rFonts w:ascii="Aptos" w:hAnsi="Aptos"/>
          <w:b/>
          <w:bCs/>
          <w:color w:val="auto"/>
          <w:u w:val="single"/>
          <w:shd w:val="clear" w:color="auto" w:fill="FFFFFF"/>
          <w:lang w:val="ru-RU"/>
        </w:rPr>
        <w:t xml:space="preserve">' </w:t>
      </w:r>
      <w:r w:rsidRPr="00A165FC">
        <w:rPr>
          <w:rFonts w:ascii="Aptos" w:hAnsi="Aptos"/>
          <w:b/>
          <w:bCs/>
          <w:color w:val="auto"/>
          <w:u w:val="single"/>
          <w:shd w:val="clear" w:color="auto" w:fill="FFFFFF"/>
        </w:rPr>
        <w:t>Εξαμήνου 2024</w:t>
      </w:r>
    </w:p>
    <w:p w14:paraId="6996286E" w14:textId="77777777" w:rsidR="00F54363" w:rsidRPr="00A165FC" w:rsidRDefault="00F54363" w:rsidP="00F54363">
      <w:pPr>
        <w:pStyle w:val="a"/>
        <w:spacing w:before="0" w:after="200" w:line="240" w:lineRule="auto"/>
        <w:jc w:val="both"/>
        <w:rPr>
          <w:rFonts w:ascii="Aptos" w:eastAsia="Arial" w:hAnsi="Aptos" w:cs="Arial"/>
          <w:color w:val="auto"/>
          <w:shd w:val="clear" w:color="auto" w:fill="FFFFFF"/>
        </w:rPr>
      </w:pPr>
    </w:p>
    <w:p w14:paraId="409A0357" w14:textId="7828495A" w:rsidR="00F54363" w:rsidRPr="00A165FC" w:rsidRDefault="00F54363" w:rsidP="00F54363">
      <w:pPr>
        <w:pStyle w:val="a"/>
        <w:spacing w:before="0" w:after="200" w:line="240" w:lineRule="auto"/>
        <w:jc w:val="both"/>
        <w:rPr>
          <w:rFonts w:ascii="Aptos" w:hAnsi="Aptos"/>
          <w:color w:val="auto"/>
          <w:shd w:val="clear" w:color="auto" w:fill="FFFFFF"/>
        </w:rPr>
      </w:pPr>
      <w:r w:rsidRPr="00A165FC">
        <w:rPr>
          <w:rFonts w:ascii="Aptos" w:hAnsi="Aptos"/>
          <w:color w:val="auto"/>
          <w:shd w:val="clear" w:color="auto" w:fill="FFFFFF"/>
        </w:rPr>
        <w:t xml:space="preserve">Η ALUMIL συνεχίζει την </w:t>
      </w:r>
      <w:r w:rsidR="00545E25" w:rsidRPr="00A165FC">
        <w:rPr>
          <w:rFonts w:ascii="Aptos" w:hAnsi="Aptos"/>
          <w:color w:val="auto"/>
          <w:shd w:val="clear" w:color="auto" w:fill="FFFFFF"/>
        </w:rPr>
        <w:t xml:space="preserve">σταθερά </w:t>
      </w:r>
      <w:r w:rsidRPr="00A165FC">
        <w:rPr>
          <w:rFonts w:ascii="Aptos" w:hAnsi="Aptos"/>
          <w:color w:val="auto"/>
          <w:shd w:val="clear" w:color="auto" w:fill="FFFFFF"/>
        </w:rPr>
        <w:t>αναπτυξιακή της πορεία το πρώτο εξάμηνο του 2024, διατηρώντας τη δυναμική της και επεκτείνοντας τη δραστηριότητά της, παρά τις παγκόσμιες προκλήσεις και το ρευστό διεθνές οικονομικό περιβάλλον.</w:t>
      </w:r>
    </w:p>
    <w:p w14:paraId="6F7EF25A" w14:textId="77777777" w:rsidR="00F54363" w:rsidRPr="00A165FC" w:rsidRDefault="00F54363" w:rsidP="00F54363">
      <w:pPr>
        <w:pStyle w:val="a"/>
        <w:spacing w:before="0" w:after="200" w:line="240" w:lineRule="auto"/>
        <w:jc w:val="both"/>
        <w:rPr>
          <w:rFonts w:ascii="Aptos" w:eastAsia="Verdana" w:hAnsi="Aptos" w:cs="Verdana"/>
          <w:b/>
          <w:bCs/>
          <w:color w:val="auto"/>
          <w:u w:val="single"/>
          <w:shd w:val="clear" w:color="auto" w:fill="FFFFFF"/>
        </w:rPr>
      </w:pPr>
      <w:r w:rsidRPr="00A165FC">
        <w:rPr>
          <w:rFonts w:ascii="Aptos" w:hAnsi="Aptos"/>
          <w:b/>
          <w:bCs/>
          <w:color w:val="auto"/>
          <w:u w:val="single"/>
          <w:shd w:val="clear" w:color="auto" w:fill="FFFFFF"/>
        </w:rPr>
        <w:t>Η πορεία του Ομίλου</w:t>
      </w:r>
    </w:p>
    <w:p w14:paraId="7424470D" w14:textId="77777777"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Συγκεκριμένα, ο Όμιλος σημείωσε αύξηση στον κύκλο εργασιών κατά 9,7%, αγγίζοντας τα </w:t>
      </w:r>
      <w:r w:rsidRPr="00A165FC">
        <w:rPr>
          <w:rFonts w:ascii="Aptos" w:hAnsi="Aptos"/>
          <w:b/>
          <w:bCs/>
          <w:color w:val="auto"/>
          <w:shd w:val="clear" w:color="auto" w:fill="FFFFFF"/>
        </w:rPr>
        <w:t>214,8 εκατ. ευρώ</w:t>
      </w:r>
      <w:r w:rsidRPr="00A165FC">
        <w:rPr>
          <w:rFonts w:ascii="Aptos" w:hAnsi="Aptos"/>
          <w:color w:val="auto"/>
          <w:shd w:val="clear" w:color="auto" w:fill="FFFFFF"/>
        </w:rPr>
        <w:t> για την περίοδο που έληξε στις 30 Ιουνίου 2024, σε σύγκριση με τα </w:t>
      </w:r>
      <w:r w:rsidRPr="00A165FC">
        <w:rPr>
          <w:rFonts w:ascii="Aptos" w:hAnsi="Aptos"/>
          <w:b/>
          <w:bCs/>
          <w:color w:val="auto"/>
          <w:shd w:val="clear" w:color="auto" w:fill="FFFFFF"/>
        </w:rPr>
        <w:t>195,8 εκατ. ευρώ</w:t>
      </w:r>
      <w:r w:rsidRPr="00A165FC">
        <w:rPr>
          <w:rFonts w:ascii="Aptos" w:hAnsi="Aptos"/>
          <w:color w:val="auto"/>
          <w:shd w:val="clear" w:color="auto" w:fill="FFFFFF"/>
        </w:rPr>
        <w:t> της αντίστοιχης περιόδου του 2023.</w:t>
      </w:r>
    </w:p>
    <w:p w14:paraId="2EC6AE31" w14:textId="77777777" w:rsidR="00F54363" w:rsidRPr="00A165FC" w:rsidRDefault="00F54363" w:rsidP="00F54363">
      <w:pPr>
        <w:pStyle w:val="a"/>
        <w:spacing w:before="0" w:after="200" w:line="240" w:lineRule="auto"/>
        <w:jc w:val="both"/>
        <w:rPr>
          <w:rFonts w:ascii="Aptos" w:eastAsia="Verdana" w:hAnsi="Aptos" w:cs="Verdana"/>
          <w:color w:val="auto"/>
          <w:shd w:val="clear" w:color="auto" w:fill="FFFFFF"/>
        </w:rPr>
      </w:pPr>
      <w:r w:rsidRPr="00A165FC">
        <w:rPr>
          <w:rFonts w:ascii="Aptos" w:hAnsi="Aptos"/>
          <w:color w:val="auto"/>
          <w:shd w:val="clear" w:color="auto" w:fill="FFFFFF"/>
        </w:rPr>
        <w:t>Το </w:t>
      </w:r>
      <w:r w:rsidRPr="00A165FC">
        <w:rPr>
          <w:rFonts w:ascii="Aptos" w:hAnsi="Aptos"/>
          <w:b/>
          <w:bCs/>
          <w:color w:val="auto"/>
          <w:shd w:val="clear" w:color="auto" w:fill="FFFFFF"/>
        </w:rPr>
        <w:t>μικτό κέρδος</w:t>
      </w:r>
      <w:r w:rsidRPr="00A165FC">
        <w:rPr>
          <w:rFonts w:ascii="Aptos" w:hAnsi="Aptos"/>
          <w:color w:val="auto"/>
          <w:shd w:val="clear" w:color="auto" w:fill="FFFFFF"/>
        </w:rPr>
        <w:t> αυξήθηκε κατά </w:t>
      </w:r>
      <w:r w:rsidRPr="00A165FC">
        <w:rPr>
          <w:rFonts w:ascii="Aptos" w:hAnsi="Aptos"/>
          <w:b/>
          <w:bCs/>
          <w:color w:val="auto"/>
          <w:shd w:val="clear" w:color="auto" w:fill="FFFFFF"/>
        </w:rPr>
        <w:t>25,9%</w:t>
      </w:r>
      <w:r w:rsidRPr="00A165FC">
        <w:rPr>
          <w:rFonts w:ascii="Aptos" w:hAnsi="Aptos"/>
          <w:color w:val="auto"/>
          <w:shd w:val="clear" w:color="auto" w:fill="FFFFFF"/>
        </w:rPr>
        <w:t>, φτάνοντας τα </w:t>
      </w:r>
      <w:r w:rsidRPr="00A165FC">
        <w:rPr>
          <w:rFonts w:ascii="Aptos" w:hAnsi="Aptos"/>
          <w:b/>
          <w:bCs/>
          <w:color w:val="auto"/>
          <w:shd w:val="clear" w:color="auto" w:fill="FFFFFF"/>
        </w:rPr>
        <w:t>57,8 εκατ. ευρώ</w:t>
      </w:r>
      <w:r w:rsidRPr="00A165FC">
        <w:rPr>
          <w:rFonts w:ascii="Aptos" w:hAnsi="Aptos"/>
          <w:color w:val="auto"/>
          <w:shd w:val="clear" w:color="auto" w:fill="FFFFFF"/>
        </w:rPr>
        <w:t>, έναντι των </w:t>
      </w:r>
      <w:r w:rsidRPr="00A165FC">
        <w:rPr>
          <w:rFonts w:ascii="Aptos" w:hAnsi="Aptos"/>
          <w:b/>
          <w:bCs/>
          <w:color w:val="auto"/>
          <w:shd w:val="clear" w:color="auto" w:fill="FFFFFF"/>
        </w:rPr>
        <w:t>45,9 εκατ. ευρώ</w:t>
      </w:r>
      <w:r w:rsidRPr="00A165FC">
        <w:rPr>
          <w:rFonts w:ascii="Aptos" w:hAnsi="Aptos"/>
          <w:color w:val="auto"/>
          <w:shd w:val="clear" w:color="auto" w:fill="FFFFFF"/>
        </w:rPr>
        <w:t> το 2023 ενώ τα </w:t>
      </w:r>
      <w:r w:rsidRPr="00A165FC">
        <w:rPr>
          <w:rFonts w:ascii="Aptos" w:hAnsi="Aptos"/>
          <w:b/>
          <w:bCs/>
          <w:color w:val="auto"/>
          <w:shd w:val="clear" w:color="auto" w:fill="FFFFFF"/>
        </w:rPr>
        <w:t>κέρδη προ φόρων</w:t>
      </w:r>
      <w:r w:rsidRPr="00A165FC">
        <w:rPr>
          <w:rFonts w:ascii="Aptos" w:hAnsi="Aptos"/>
          <w:color w:val="auto"/>
          <w:shd w:val="clear" w:color="auto" w:fill="FFFFFF"/>
        </w:rPr>
        <w:t> ανήλθαν σε </w:t>
      </w:r>
      <w:r w:rsidRPr="00A165FC">
        <w:rPr>
          <w:rFonts w:ascii="Aptos" w:hAnsi="Aptos"/>
          <w:b/>
          <w:bCs/>
          <w:color w:val="auto"/>
          <w:shd w:val="clear" w:color="auto" w:fill="FFFFFF"/>
        </w:rPr>
        <w:t>12,1 εκατ. ευρώ</w:t>
      </w:r>
      <w:r w:rsidRPr="00A165FC">
        <w:rPr>
          <w:rFonts w:ascii="Aptos" w:hAnsi="Aptos"/>
          <w:color w:val="auto"/>
          <w:shd w:val="clear" w:color="auto" w:fill="FFFFFF"/>
        </w:rPr>
        <w:t>, σημειώνοντας αύξηση </w:t>
      </w:r>
      <w:r w:rsidRPr="00A165FC">
        <w:rPr>
          <w:rFonts w:ascii="Aptos" w:hAnsi="Aptos"/>
          <w:b/>
          <w:bCs/>
          <w:color w:val="auto"/>
          <w:shd w:val="clear" w:color="auto" w:fill="FFFFFF"/>
        </w:rPr>
        <w:t>152,1%</w:t>
      </w:r>
      <w:r w:rsidRPr="00A165FC">
        <w:rPr>
          <w:rFonts w:ascii="Aptos" w:hAnsi="Aptos"/>
          <w:color w:val="auto"/>
          <w:shd w:val="clear" w:color="auto" w:fill="FFFFFF"/>
        </w:rPr>
        <w:t> από τα </w:t>
      </w:r>
      <w:r w:rsidRPr="00A165FC">
        <w:rPr>
          <w:rFonts w:ascii="Aptos" w:hAnsi="Aptos"/>
          <w:b/>
          <w:bCs/>
          <w:color w:val="auto"/>
          <w:shd w:val="clear" w:color="auto" w:fill="FFFFFF"/>
        </w:rPr>
        <w:t>4,8 εκατ. ευρώ</w:t>
      </w:r>
      <w:r w:rsidRPr="00A165FC">
        <w:rPr>
          <w:rFonts w:ascii="Aptos" w:hAnsi="Aptos"/>
          <w:color w:val="auto"/>
          <w:shd w:val="clear" w:color="auto" w:fill="FFFFFF"/>
        </w:rPr>
        <w:t> το αντίστοιχο εξάμηνο του 2023. Τα </w:t>
      </w:r>
      <w:r w:rsidRPr="00A165FC">
        <w:rPr>
          <w:rFonts w:ascii="Aptos" w:hAnsi="Aptos"/>
          <w:b/>
          <w:bCs/>
          <w:color w:val="auto"/>
          <w:shd w:val="clear" w:color="auto" w:fill="FFFFFF"/>
        </w:rPr>
        <w:t>καθαρά κέρδη μετά από φόρους</w:t>
      </w:r>
      <w:r w:rsidRPr="00A165FC">
        <w:rPr>
          <w:rFonts w:ascii="Aptos" w:hAnsi="Aptos"/>
          <w:color w:val="auto"/>
          <w:shd w:val="clear" w:color="auto" w:fill="FFFFFF"/>
        </w:rPr>
        <w:t> ανήλθαν σε </w:t>
      </w:r>
      <w:r w:rsidRPr="00A165FC">
        <w:rPr>
          <w:rFonts w:ascii="Aptos" w:hAnsi="Aptos"/>
          <w:b/>
          <w:bCs/>
          <w:color w:val="auto"/>
          <w:shd w:val="clear" w:color="auto" w:fill="FFFFFF"/>
        </w:rPr>
        <w:t>9,0 εκατ. ευρώ</w:t>
      </w:r>
      <w:r w:rsidRPr="00A165FC">
        <w:rPr>
          <w:rFonts w:ascii="Aptos" w:hAnsi="Aptos"/>
          <w:color w:val="auto"/>
          <w:shd w:val="clear" w:color="auto" w:fill="FFFFFF"/>
        </w:rPr>
        <w:t>, σημειώνοντας αύξηση </w:t>
      </w:r>
      <w:r w:rsidRPr="00A165FC">
        <w:rPr>
          <w:rFonts w:ascii="Aptos" w:hAnsi="Aptos"/>
          <w:b/>
          <w:bCs/>
          <w:color w:val="auto"/>
          <w:shd w:val="clear" w:color="auto" w:fill="FFFFFF"/>
        </w:rPr>
        <w:t>221,4%</w:t>
      </w:r>
      <w:r w:rsidRPr="00A165FC">
        <w:rPr>
          <w:rFonts w:ascii="Aptos" w:hAnsi="Aptos"/>
          <w:color w:val="auto"/>
          <w:shd w:val="clear" w:color="auto" w:fill="FFFFFF"/>
        </w:rPr>
        <w:t> σε σχέση με τα </w:t>
      </w:r>
      <w:r w:rsidRPr="00A165FC">
        <w:rPr>
          <w:rFonts w:ascii="Aptos" w:hAnsi="Aptos"/>
          <w:b/>
          <w:bCs/>
          <w:color w:val="auto"/>
          <w:shd w:val="clear" w:color="auto" w:fill="FFFFFF"/>
        </w:rPr>
        <w:t>2,8 εκατ. ευρώ</w:t>
      </w:r>
      <w:r w:rsidRPr="00A165FC">
        <w:rPr>
          <w:rFonts w:ascii="Aptos" w:hAnsi="Aptos"/>
          <w:color w:val="auto"/>
          <w:shd w:val="clear" w:color="auto" w:fill="FFFFFF"/>
        </w:rPr>
        <w:t> της περασμένης χρονιάς.</w:t>
      </w:r>
    </w:p>
    <w:p w14:paraId="17155A01" w14:textId="440B3A74"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Αυτή η αύξηση αντανακλά τη βελτίωση της αποτελεσματικότητας των υπηρεσιών και των λειτουργιών του Ομίλου</w:t>
      </w:r>
      <w:r w:rsidR="00545E25" w:rsidRPr="00A165FC">
        <w:rPr>
          <w:rFonts w:ascii="Aptos" w:hAnsi="Aptos"/>
          <w:color w:val="auto"/>
          <w:shd w:val="clear" w:color="auto" w:fill="FFFFFF"/>
        </w:rPr>
        <w:t xml:space="preserve">, το νέο επιχειρηματικό μοντέλο της </w:t>
      </w:r>
      <w:r w:rsidR="00545E25" w:rsidRPr="00A165FC">
        <w:rPr>
          <w:rFonts w:ascii="Aptos" w:hAnsi="Aptos"/>
          <w:color w:val="auto"/>
          <w:shd w:val="clear" w:color="auto" w:fill="FFFFFF"/>
          <w:lang w:val="en-US"/>
        </w:rPr>
        <w:t>ALUMIL</w:t>
      </w:r>
      <w:r w:rsidR="00545E25" w:rsidRPr="00A165FC">
        <w:rPr>
          <w:rFonts w:ascii="Aptos" w:hAnsi="Aptos"/>
          <w:color w:val="auto"/>
          <w:shd w:val="clear" w:color="auto" w:fill="FFFFFF"/>
        </w:rPr>
        <w:t>,</w:t>
      </w:r>
      <w:r w:rsidRPr="00A165FC">
        <w:rPr>
          <w:rFonts w:ascii="Aptos" w:hAnsi="Aptos"/>
          <w:color w:val="auto"/>
          <w:shd w:val="clear" w:color="auto" w:fill="FFFFFF"/>
        </w:rPr>
        <w:t xml:space="preserve"> την ισχυρή ζήτηση για τα προϊόντα της ALUMIL</w:t>
      </w:r>
      <w:r w:rsidR="00545E25" w:rsidRPr="00A165FC">
        <w:rPr>
          <w:rFonts w:ascii="Aptos" w:hAnsi="Aptos"/>
          <w:color w:val="auto"/>
          <w:shd w:val="clear" w:color="auto" w:fill="FFFFFF"/>
        </w:rPr>
        <w:t>, και μάλιστα κυρίως αυτά των υψηλών προδιαγραφών με τη μεγαλύτερη προστιθέμενη αξία.</w:t>
      </w:r>
    </w:p>
    <w:p w14:paraId="292AA7CA" w14:textId="77777777" w:rsidR="00F54363" w:rsidRPr="00A165FC" w:rsidRDefault="00F54363" w:rsidP="00F54363">
      <w:pPr>
        <w:pStyle w:val="a"/>
        <w:spacing w:before="0" w:after="200" w:line="240" w:lineRule="auto"/>
        <w:jc w:val="both"/>
        <w:rPr>
          <w:rFonts w:ascii="Aptos" w:eastAsia="Verdana" w:hAnsi="Aptos" w:cs="Verdana"/>
          <w:color w:val="auto"/>
          <w:shd w:val="clear" w:color="auto" w:fill="FFFFFF"/>
        </w:rPr>
      </w:pPr>
      <w:r w:rsidRPr="00A165FC">
        <w:rPr>
          <w:rFonts w:ascii="Aptos" w:hAnsi="Aptos"/>
          <w:color w:val="auto"/>
          <w:shd w:val="clear" w:color="auto" w:fill="FFFFFF"/>
        </w:rPr>
        <w:t>Τα </w:t>
      </w:r>
      <w:r w:rsidRPr="00A165FC">
        <w:rPr>
          <w:rFonts w:ascii="Aptos" w:hAnsi="Aptos"/>
          <w:b/>
          <w:bCs/>
          <w:color w:val="auto"/>
          <w:shd w:val="clear" w:color="auto" w:fill="FFFFFF"/>
        </w:rPr>
        <w:t>λειτουργικά κέρδη (EBITDA)</w:t>
      </w:r>
      <w:r w:rsidRPr="00A165FC">
        <w:rPr>
          <w:rFonts w:ascii="Aptos" w:hAnsi="Aptos"/>
          <w:color w:val="auto"/>
          <w:shd w:val="clear" w:color="auto" w:fill="FFFFFF"/>
        </w:rPr>
        <w:t> διαμορφώθηκαν σε </w:t>
      </w:r>
      <w:r w:rsidRPr="00A165FC">
        <w:rPr>
          <w:rFonts w:ascii="Aptos" w:hAnsi="Aptos"/>
          <w:b/>
          <w:bCs/>
          <w:color w:val="auto"/>
          <w:shd w:val="clear" w:color="auto" w:fill="FFFFFF"/>
        </w:rPr>
        <w:t>26,0 εκατ. ευρώ</w:t>
      </w:r>
      <w:r w:rsidRPr="00A165FC">
        <w:rPr>
          <w:rFonts w:ascii="Aptos" w:hAnsi="Aptos"/>
          <w:color w:val="auto"/>
          <w:shd w:val="clear" w:color="auto" w:fill="FFFFFF"/>
        </w:rPr>
        <w:t>, σημειώνοντας σημαντική αύξηση </w:t>
      </w:r>
      <w:r w:rsidRPr="00A165FC">
        <w:rPr>
          <w:rFonts w:ascii="Aptos" w:hAnsi="Aptos"/>
          <w:b/>
          <w:bCs/>
          <w:color w:val="auto"/>
          <w:shd w:val="clear" w:color="auto" w:fill="FFFFFF"/>
        </w:rPr>
        <w:t>51,2%</w:t>
      </w:r>
      <w:r w:rsidRPr="00A165FC">
        <w:rPr>
          <w:rFonts w:ascii="Aptos" w:hAnsi="Aptos"/>
          <w:color w:val="auto"/>
          <w:shd w:val="clear" w:color="auto" w:fill="FFFFFF"/>
        </w:rPr>
        <w:t> έναντι των </w:t>
      </w:r>
      <w:r w:rsidRPr="00A165FC">
        <w:rPr>
          <w:rFonts w:ascii="Aptos" w:hAnsi="Aptos"/>
          <w:b/>
          <w:bCs/>
          <w:color w:val="auto"/>
          <w:shd w:val="clear" w:color="auto" w:fill="FFFFFF"/>
          <w:lang w:val="nl-NL"/>
        </w:rPr>
        <w:t xml:space="preserve">17,2 </w:t>
      </w:r>
      <w:r w:rsidRPr="00A165FC">
        <w:rPr>
          <w:rFonts w:ascii="Aptos" w:hAnsi="Aptos"/>
          <w:b/>
          <w:bCs/>
          <w:color w:val="auto"/>
          <w:shd w:val="clear" w:color="auto" w:fill="FFFFFF"/>
        </w:rPr>
        <w:t>εκατ. ευρώ</w:t>
      </w:r>
      <w:r w:rsidRPr="00A165FC">
        <w:rPr>
          <w:rFonts w:ascii="Aptos" w:hAnsi="Aptos"/>
          <w:color w:val="auto"/>
          <w:shd w:val="clear" w:color="auto" w:fill="FFFFFF"/>
        </w:rPr>
        <w:t> το 2023. Η αύξηση αυτή αποδεικνύει την επιτυχημένη διαχείριση μέσα  και  από την αυξημένη απόδοση των επενδύσεων του Ομίλου.</w:t>
      </w:r>
    </w:p>
    <w:p w14:paraId="6473B889" w14:textId="77777777" w:rsidR="00F54363" w:rsidRPr="00A165FC" w:rsidRDefault="00F54363" w:rsidP="00F54363">
      <w:pPr>
        <w:pStyle w:val="a"/>
        <w:spacing w:before="0" w:after="280" w:line="240" w:lineRule="auto"/>
        <w:jc w:val="both"/>
        <w:rPr>
          <w:rFonts w:ascii="Aptos" w:eastAsia="Arial" w:hAnsi="Aptos" w:cs="Arial"/>
          <w:color w:val="auto"/>
          <w:u w:val="single"/>
          <w:shd w:val="clear" w:color="auto" w:fill="FFFFFF"/>
        </w:rPr>
      </w:pPr>
      <w:r w:rsidRPr="00A165FC">
        <w:rPr>
          <w:rFonts w:ascii="Aptos" w:hAnsi="Aptos"/>
          <w:b/>
          <w:bCs/>
          <w:color w:val="auto"/>
          <w:u w:val="single"/>
          <w:shd w:val="clear" w:color="auto" w:fill="FFFFFF"/>
        </w:rPr>
        <w:t>Η πορεία της Εταιρείας</w:t>
      </w:r>
    </w:p>
    <w:p w14:paraId="467B5CE6" w14:textId="0E9758AE"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Ο </w:t>
      </w:r>
      <w:r w:rsidRPr="00A165FC">
        <w:rPr>
          <w:rFonts w:ascii="Aptos" w:hAnsi="Aptos"/>
          <w:b/>
          <w:bCs/>
          <w:color w:val="auto"/>
          <w:shd w:val="clear" w:color="auto" w:fill="FFFFFF"/>
        </w:rPr>
        <w:t>κύκλος εργασιών</w:t>
      </w:r>
      <w:r w:rsidRPr="00A165FC">
        <w:rPr>
          <w:rFonts w:ascii="Aptos" w:hAnsi="Aptos"/>
          <w:color w:val="auto"/>
          <w:shd w:val="clear" w:color="auto" w:fill="FFFFFF"/>
        </w:rPr>
        <w:t xml:space="preserve"> της </w:t>
      </w:r>
      <w:r w:rsidR="00A57209" w:rsidRPr="00A165FC">
        <w:rPr>
          <w:rFonts w:ascii="Aptos" w:hAnsi="Aptos"/>
          <w:color w:val="auto"/>
          <w:shd w:val="clear" w:color="auto" w:fill="FFFFFF"/>
        </w:rPr>
        <w:t>Ε</w:t>
      </w:r>
      <w:r w:rsidRPr="00A165FC">
        <w:rPr>
          <w:rFonts w:ascii="Aptos" w:hAnsi="Aptos"/>
          <w:color w:val="auto"/>
          <w:shd w:val="clear" w:color="auto" w:fill="FFFFFF"/>
        </w:rPr>
        <w:t>ταιρείας αυξήθηκε κατά </w:t>
      </w:r>
      <w:r w:rsidRPr="00A165FC">
        <w:rPr>
          <w:rFonts w:ascii="Aptos" w:hAnsi="Aptos"/>
          <w:b/>
          <w:bCs/>
          <w:color w:val="auto"/>
          <w:shd w:val="clear" w:color="auto" w:fill="FFFFFF"/>
        </w:rPr>
        <w:t>2,4%</w:t>
      </w:r>
      <w:r w:rsidRPr="00A165FC">
        <w:rPr>
          <w:rFonts w:ascii="Aptos" w:hAnsi="Aptos"/>
          <w:color w:val="auto"/>
          <w:shd w:val="clear" w:color="auto" w:fill="FFFFFF"/>
        </w:rPr>
        <w:t>, φτάνοντας τα </w:t>
      </w:r>
      <w:r w:rsidRPr="00A165FC">
        <w:rPr>
          <w:rFonts w:ascii="Aptos" w:hAnsi="Aptos"/>
          <w:b/>
          <w:bCs/>
          <w:color w:val="auto"/>
          <w:shd w:val="clear" w:color="auto" w:fill="FFFFFF"/>
        </w:rPr>
        <w:t>130,4 εκατ. ευρώ</w:t>
      </w:r>
      <w:r w:rsidRPr="00A165FC">
        <w:rPr>
          <w:rFonts w:ascii="Aptos" w:hAnsi="Aptos"/>
          <w:color w:val="auto"/>
          <w:shd w:val="clear" w:color="auto" w:fill="FFFFFF"/>
        </w:rPr>
        <w:t> το 2024 από τα </w:t>
      </w:r>
      <w:r w:rsidRPr="00A165FC">
        <w:rPr>
          <w:rFonts w:ascii="Aptos" w:hAnsi="Aptos"/>
          <w:b/>
          <w:bCs/>
          <w:color w:val="auto"/>
          <w:shd w:val="clear" w:color="auto" w:fill="FFFFFF"/>
        </w:rPr>
        <w:t>127,3 εκατ. ευρώ</w:t>
      </w:r>
      <w:r w:rsidRPr="00A165FC">
        <w:rPr>
          <w:rFonts w:ascii="Aptos" w:hAnsi="Aptos"/>
          <w:color w:val="auto"/>
          <w:shd w:val="clear" w:color="auto" w:fill="FFFFFF"/>
        </w:rPr>
        <w:t xml:space="preserve"> το 2023. Η κερδοφορία της </w:t>
      </w:r>
      <w:r w:rsidR="00A57209" w:rsidRPr="00A165FC">
        <w:rPr>
          <w:rFonts w:ascii="Aptos" w:hAnsi="Aptos"/>
          <w:color w:val="auto"/>
          <w:shd w:val="clear" w:color="auto" w:fill="FFFFFF"/>
        </w:rPr>
        <w:t>Εταιρείας</w:t>
      </w:r>
      <w:r w:rsidRPr="00A165FC">
        <w:rPr>
          <w:rFonts w:ascii="Aptos" w:hAnsi="Aptos"/>
          <w:color w:val="auto"/>
          <w:shd w:val="clear" w:color="auto" w:fill="FFFFFF"/>
        </w:rPr>
        <w:t xml:space="preserve"> αυξήθηκε σημαντικά, χάρη στην αναβάθμιση των λειτουργικών διαδικασιών, την επένδυση στην καινοτομία και την αυξημένη αποδοτικότητα.</w:t>
      </w:r>
    </w:p>
    <w:p w14:paraId="05A7CA6F" w14:textId="77777777"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Το </w:t>
      </w:r>
      <w:r w:rsidRPr="00A165FC">
        <w:rPr>
          <w:rFonts w:ascii="Aptos" w:hAnsi="Aptos"/>
          <w:b/>
          <w:bCs/>
          <w:color w:val="auto"/>
          <w:shd w:val="clear" w:color="auto" w:fill="FFFFFF"/>
        </w:rPr>
        <w:t>μικτό κέρδος</w:t>
      </w:r>
      <w:r w:rsidRPr="00A165FC">
        <w:rPr>
          <w:rFonts w:ascii="Aptos" w:hAnsi="Aptos"/>
          <w:color w:val="auto"/>
          <w:shd w:val="clear" w:color="auto" w:fill="FFFFFF"/>
        </w:rPr>
        <w:t> σημείωσε σημαντική άνοδο κατά </w:t>
      </w:r>
      <w:r w:rsidRPr="00A165FC">
        <w:rPr>
          <w:rFonts w:ascii="Aptos" w:hAnsi="Aptos"/>
          <w:b/>
          <w:bCs/>
          <w:color w:val="auto"/>
          <w:shd w:val="clear" w:color="auto" w:fill="FFFFFF"/>
        </w:rPr>
        <w:t>37,8%</w:t>
      </w:r>
      <w:r w:rsidRPr="00A165FC">
        <w:rPr>
          <w:rFonts w:ascii="Aptos" w:hAnsi="Aptos"/>
          <w:color w:val="auto"/>
          <w:shd w:val="clear" w:color="auto" w:fill="FFFFFF"/>
        </w:rPr>
        <w:t>, φτάνοντας τα </w:t>
      </w:r>
      <w:r w:rsidRPr="00A165FC">
        <w:rPr>
          <w:rFonts w:ascii="Aptos" w:hAnsi="Aptos"/>
          <w:b/>
          <w:bCs/>
          <w:color w:val="auto"/>
          <w:shd w:val="clear" w:color="auto" w:fill="FFFFFF"/>
        </w:rPr>
        <w:t>23,7 εκατ. ευρώ</w:t>
      </w:r>
      <w:r w:rsidRPr="00A165FC">
        <w:rPr>
          <w:rFonts w:ascii="Aptos" w:hAnsi="Aptos"/>
          <w:color w:val="auto"/>
          <w:shd w:val="clear" w:color="auto" w:fill="FFFFFF"/>
        </w:rPr>
        <w:t> σε σύγκριση με τα </w:t>
      </w:r>
      <w:r w:rsidRPr="00A165FC">
        <w:rPr>
          <w:rFonts w:ascii="Aptos" w:hAnsi="Aptos"/>
          <w:b/>
          <w:bCs/>
          <w:color w:val="auto"/>
          <w:shd w:val="clear" w:color="auto" w:fill="FFFFFF"/>
          <w:lang w:val="nl-NL"/>
        </w:rPr>
        <w:t xml:space="preserve">17,2 </w:t>
      </w:r>
      <w:r w:rsidRPr="00A165FC">
        <w:rPr>
          <w:rFonts w:ascii="Aptos" w:hAnsi="Aptos"/>
          <w:b/>
          <w:bCs/>
          <w:color w:val="auto"/>
          <w:shd w:val="clear" w:color="auto" w:fill="FFFFFF"/>
        </w:rPr>
        <w:t>εκατ. ευρώ</w:t>
      </w:r>
      <w:r w:rsidRPr="00A165FC">
        <w:rPr>
          <w:rFonts w:ascii="Aptos" w:hAnsi="Aptos"/>
          <w:color w:val="auto"/>
          <w:shd w:val="clear" w:color="auto" w:fill="FFFFFF"/>
        </w:rPr>
        <w:t> της αντίστοιχης περιόδου του 2023. Η ισχυρή αυτή άνοδος αποδεικνύει την αποτελεσματική τιμολογιακή πολιτική και τη συνεχή βελτιστοποίηση των διαδικασιών παραγωγής.</w:t>
      </w:r>
    </w:p>
    <w:p w14:paraId="110DC6DD" w14:textId="77777777"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Τα </w:t>
      </w:r>
      <w:r w:rsidRPr="00A165FC">
        <w:rPr>
          <w:rFonts w:ascii="Aptos" w:hAnsi="Aptos"/>
          <w:b/>
          <w:bCs/>
          <w:color w:val="auto"/>
          <w:shd w:val="clear" w:color="auto" w:fill="FFFFFF"/>
        </w:rPr>
        <w:t>κέρδη προ φόρων</w:t>
      </w:r>
      <w:r w:rsidRPr="00A165FC">
        <w:rPr>
          <w:rFonts w:ascii="Aptos" w:hAnsi="Aptos"/>
          <w:color w:val="auto"/>
          <w:shd w:val="clear" w:color="auto" w:fill="FFFFFF"/>
        </w:rPr>
        <w:t> της Εταιρείας διαμορφώθηκαν στα </w:t>
      </w:r>
      <w:r w:rsidRPr="00A165FC">
        <w:rPr>
          <w:rFonts w:ascii="Aptos" w:hAnsi="Aptos"/>
          <w:b/>
          <w:bCs/>
          <w:color w:val="auto"/>
          <w:shd w:val="clear" w:color="auto" w:fill="FFFFFF"/>
        </w:rPr>
        <w:t>5,0 εκατ. ευρώ</w:t>
      </w:r>
      <w:r w:rsidRPr="00A165FC">
        <w:rPr>
          <w:rFonts w:ascii="Aptos" w:hAnsi="Aptos"/>
          <w:color w:val="auto"/>
          <w:shd w:val="clear" w:color="auto" w:fill="FFFFFF"/>
        </w:rPr>
        <w:t>, σημειώνοντας αύξηση </w:t>
      </w:r>
      <w:r w:rsidRPr="00A165FC">
        <w:rPr>
          <w:rFonts w:ascii="Aptos" w:hAnsi="Aptos"/>
          <w:b/>
          <w:bCs/>
          <w:color w:val="auto"/>
          <w:shd w:val="clear" w:color="auto" w:fill="FFFFFF"/>
        </w:rPr>
        <w:t>38,9%</w:t>
      </w:r>
      <w:r w:rsidRPr="00A165FC">
        <w:rPr>
          <w:rFonts w:ascii="Aptos" w:hAnsi="Aptos"/>
          <w:color w:val="auto"/>
          <w:shd w:val="clear" w:color="auto" w:fill="FFFFFF"/>
        </w:rPr>
        <w:t> έναντι των </w:t>
      </w:r>
      <w:r w:rsidRPr="00A165FC">
        <w:rPr>
          <w:rFonts w:ascii="Aptos" w:hAnsi="Aptos"/>
          <w:b/>
          <w:bCs/>
          <w:color w:val="auto"/>
          <w:shd w:val="clear" w:color="auto" w:fill="FFFFFF"/>
        </w:rPr>
        <w:t>3,6 εκατ. ευρώ</w:t>
      </w:r>
      <w:r w:rsidRPr="00A165FC">
        <w:rPr>
          <w:rFonts w:ascii="Aptos" w:hAnsi="Aptos"/>
          <w:color w:val="auto"/>
          <w:shd w:val="clear" w:color="auto" w:fill="FFFFFF"/>
        </w:rPr>
        <w:t> του πρώτου εξαμήνου του 2023. Τα </w:t>
      </w:r>
      <w:r w:rsidRPr="00A165FC">
        <w:rPr>
          <w:rFonts w:ascii="Aptos" w:hAnsi="Aptos"/>
          <w:b/>
          <w:bCs/>
          <w:color w:val="auto"/>
          <w:shd w:val="clear" w:color="auto" w:fill="FFFFFF"/>
        </w:rPr>
        <w:t>καθαρά κέρδη μετά από φόρους</w:t>
      </w:r>
      <w:r w:rsidRPr="00A165FC">
        <w:rPr>
          <w:rFonts w:ascii="Aptos" w:hAnsi="Aptos"/>
          <w:color w:val="auto"/>
          <w:shd w:val="clear" w:color="auto" w:fill="FFFFFF"/>
        </w:rPr>
        <w:t> σημείωσαν άνοδο </w:t>
      </w:r>
      <w:r w:rsidRPr="00A165FC">
        <w:rPr>
          <w:rFonts w:ascii="Aptos" w:hAnsi="Aptos"/>
          <w:b/>
          <w:bCs/>
          <w:color w:val="auto"/>
          <w:shd w:val="clear" w:color="auto" w:fill="FFFFFF"/>
        </w:rPr>
        <w:t>37,0%</w:t>
      </w:r>
      <w:r w:rsidRPr="00A165FC">
        <w:rPr>
          <w:rFonts w:ascii="Aptos" w:hAnsi="Aptos"/>
          <w:color w:val="auto"/>
          <w:shd w:val="clear" w:color="auto" w:fill="FFFFFF"/>
        </w:rPr>
        <w:t>, φτάνοντας τα </w:t>
      </w:r>
      <w:r w:rsidRPr="00A165FC">
        <w:rPr>
          <w:rFonts w:ascii="Aptos" w:hAnsi="Aptos"/>
          <w:b/>
          <w:bCs/>
          <w:color w:val="auto"/>
          <w:shd w:val="clear" w:color="auto" w:fill="FFFFFF"/>
        </w:rPr>
        <w:t>3,7 εκατ. ευρώ</w:t>
      </w:r>
      <w:r w:rsidRPr="00A165FC">
        <w:rPr>
          <w:rFonts w:ascii="Aptos" w:hAnsi="Aptos"/>
          <w:color w:val="auto"/>
          <w:shd w:val="clear" w:color="auto" w:fill="FFFFFF"/>
        </w:rPr>
        <w:t>, σε σύγκριση με τα </w:t>
      </w:r>
      <w:r w:rsidRPr="00A165FC">
        <w:rPr>
          <w:rFonts w:ascii="Aptos" w:hAnsi="Aptos"/>
          <w:b/>
          <w:bCs/>
          <w:color w:val="auto"/>
          <w:shd w:val="clear" w:color="auto" w:fill="FFFFFF"/>
        </w:rPr>
        <w:t>2,7 εκατ. ευρώ</w:t>
      </w:r>
      <w:r w:rsidRPr="00A165FC">
        <w:rPr>
          <w:rFonts w:ascii="Aptos" w:hAnsi="Aptos"/>
          <w:color w:val="auto"/>
          <w:shd w:val="clear" w:color="auto" w:fill="FFFFFF"/>
        </w:rPr>
        <w:t> το 2023.</w:t>
      </w:r>
    </w:p>
    <w:p w14:paraId="128859DB" w14:textId="1FCE1D9F" w:rsidR="00F54363" w:rsidRPr="00A165FC" w:rsidRDefault="00F54363" w:rsidP="00A57209">
      <w:pPr>
        <w:pStyle w:val="a"/>
        <w:spacing w:before="0" w:after="200" w:line="240" w:lineRule="auto"/>
        <w:jc w:val="both"/>
        <w:rPr>
          <w:rFonts w:ascii="Aptos" w:eastAsia="Verdana" w:hAnsi="Aptos" w:cs="Verdana"/>
          <w:color w:val="auto"/>
          <w:shd w:val="clear" w:color="auto" w:fill="FFFFFF"/>
        </w:rPr>
      </w:pPr>
      <w:r w:rsidRPr="00A165FC">
        <w:rPr>
          <w:rFonts w:ascii="Aptos" w:hAnsi="Aptos"/>
          <w:color w:val="auto"/>
          <w:shd w:val="clear" w:color="auto" w:fill="FFFFFF"/>
        </w:rPr>
        <w:lastRenderedPageBreak/>
        <w:t>Τα </w:t>
      </w:r>
      <w:r w:rsidRPr="00A165FC">
        <w:rPr>
          <w:rFonts w:ascii="Aptos" w:hAnsi="Aptos"/>
          <w:b/>
          <w:bCs/>
          <w:color w:val="auto"/>
          <w:shd w:val="clear" w:color="auto" w:fill="FFFFFF"/>
        </w:rPr>
        <w:t>λειτουργικά κέρδη (EBITDA)</w:t>
      </w:r>
      <w:r w:rsidRPr="00A165FC">
        <w:rPr>
          <w:rFonts w:ascii="Aptos" w:hAnsi="Aptos"/>
          <w:color w:val="auto"/>
          <w:shd w:val="clear" w:color="auto" w:fill="FFFFFF"/>
        </w:rPr>
        <w:t> </w:t>
      </w:r>
      <w:r w:rsidR="00A57209" w:rsidRPr="00A165FC">
        <w:rPr>
          <w:rFonts w:ascii="Aptos" w:hAnsi="Aptos"/>
          <w:color w:val="auto"/>
          <w:shd w:val="clear" w:color="auto" w:fill="FFFFFF"/>
        </w:rPr>
        <w:t xml:space="preserve">της </w:t>
      </w:r>
      <w:r w:rsidRPr="00A165FC">
        <w:rPr>
          <w:rFonts w:ascii="Aptos" w:hAnsi="Aptos"/>
          <w:color w:val="auto"/>
          <w:shd w:val="clear" w:color="auto" w:fill="FFFFFF"/>
        </w:rPr>
        <w:t>Εταιρείας σημείωσαν εντυπωσιακή αύξηση </w:t>
      </w:r>
      <w:r w:rsidRPr="00A165FC">
        <w:rPr>
          <w:rFonts w:ascii="Aptos" w:hAnsi="Aptos"/>
          <w:b/>
          <w:bCs/>
          <w:color w:val="auto"/>
          <w:shd w:val="clear" w:color="auto" w:fill="FFFFFF"/>
        </w:rPr>
        <w:t>70,1%</w:t>
      </w:r>
      <w:r w:rsidRPr="00A165FC">
        <w:rPr>
          <w:rFonts w:ascii="Aptos" w:hAnsi="Aptos"/>
          <w:color w:val="auto"/>
          <w:shd w:val="clear" w:color="auto" w:fill="FFFFFF"/>
        </w:rPr>
        <w:t>, φτάνοντας τα </w:t>
      </w:r>
      <w:r w:rsidRPr="00A165FC">
        <w:rPr>
          <w:rFonts w:ascii="Aptos" w:hAnsi="Aptos"/>
          <w:b/>
          <w:bCs/>
          <w:color w:val="auto"/>
          <w:shd w:val="clear" w:color="auto" w:fill="FFFFFF"/>
        </w:rPr>
        <w:t>13,1 εκατ. ευρώ</w:t>
      </w:r>
      <w:r w:rsidRPr="00A165FC">
        <w:rPr>
          <w:rFonts w:ascii="Aptos" w:hAnsi="Aptos"/>
          <w:color w:val="auto"/>
          <w:shd w:val="clear" w:color="auto" w:fill="FFFFFF"/>
        </w:rPr>
        <w:t>, έναντι των </w:t>
      </w:r>
      <w:r w:rsidRPr="00A165FC">
        <w:rPr>
          <w:rFonts w:ascii="Aptos" w:hAnsi="Aptos"/>
          <w:b/>
          <w:bCs/>
          <w:color w:val="auto"/>
          <w:shd w:val="clear" w:color="auto" w:fill="FFFFFF"/>
        </w:rPr>
        <w:t>7,7 εκατ. ευρώ</w:t>
      </w:r>
      <w:r w:rsidRPr="00A165FC">
        <w:rPr>
          <w:rFonts w:ascii="Aptos" w:hAnsi="Aptos"/>
          <w:color w:val="auto"/>
          <w:shd w:val="clear" w:color="auto" w:fill="FFFFFF"/>
        </w:rPr>
        <w:t> την αντίστοιχη περυσινή περίοδο. Η αύξηση αυτή επιβεβαιώνει την ισχυρή οικονομική απόδοση και επιβραβεύουν την υλοποίηση στρατηγικών δράσεων για την ορθή χρήση των λειτουργικών στοιχείων. </w:t>
      </w:r>
    </w:p>
    <w:p w14:paraId="2D96C3D2" w14:textId="77777777" w:rsidR="00A57209" w:rsidRPr="00A165FC" w:rsidRDefault="00A57209" w:rsidP="00A57209">
      <w:pPr>
        <w:pStyle w:val="a"/>
        <w:spacing w:before="0" w:after="200" w:line="240" w:lineRule="auto"/>
        <w:jc w:val="both"/>
        <w:rPr>
          <w:rFonts w:ascii="Aptos" w:eastAsia="Verdana" w:hAnsi="Aptos" w:cs="Verdana"/>
          <w:color w:val="auto"/>
          <w:shd w:val="clear" w:color="auto" w:fill="FFFFFF"/>
        </w:rPr>
      </w:pPr>
    </w:p>
    <w:p w14:paraId="13EBF35D" w14:textId="77777777" w:rsidR="00F54363" w:rsidRPr="00A165FC" w:rsidRDefault="00F54363" w:rsidP="00F54363">
      <w:pPr>
        <w:pStyle w:val="a"/>
        <w:spacing w:before="0" w:after="240" w:line="240" w:lineRule="auto"/>
        <w:jc w:val="both"/>
        <w:rPr>
          <w:rFonts w:ascii="Aptos" w:hAnsi="Aptos"/>
          <w:b/>
          <w:bCs/>
          <w:color w:val="auto"/>
        </w:rPr>
      </w:pPr>
      <w:r w:rsidRPr="00A165FC">
        <w:rPr>
          <w:rFonts w:ascii="Aptos" w:hAnsi="Aptos"/>
          <w:b/>
          <w:bCs/>
          <w:color w:val="auto"/>
          <w:lang w:val="en-US"/>
        </w:rPr>
        <w:t>O</w:t>
      </w:r>
      <w:r w:rsidRPr="00A165FC">
        <w:rPr>
          <w:rFonts w:ascii="Aptos" w:hAnsi="Aptos"/>
          <w:b/>
          <w:bCs/>
          <w:color w:val="auto"/>
        </w:rPr>
        <w:t xml:space="preserve"> Πρόεδρος και Διευθύνων Σύμβουλος</w:t>
      </w:r>
    </w:p>
    <w:p w14:paraId="5DE3F13A" w14:textId="2C107DB8" w:rsidR="00F54363" w:rsidRPr="00A165FC" w:rsidRDefault="00F54363" w:rsidP="00F54363">
      <w:pPr>
        <w:pStyle w:val="a"/>
        <w:spacing w:before="0" w:after="240" w:line="240" w:lineRule="auto"/>
        <w:jc w:val="both"/>
        <w:rPr>
          <w:rFonts w:ascii="Aptos" w:eastAsia="Times Roman" w:hAnsi="Aptos" w:cs="Times Roman"/>
          <w:color w:val="auto"/>
        </w:rPr>
      </w:pPr>
      <w:r w:rsidRPr="00A165FC">
        <w:rPr>
          <w:rFonts w:ascii="Aptos" w:hAnsi="Aptos"/>
          <w:color w:val="auto"/>
        </w:rPr>
        <w:t>“</w:t>
      </w:r>
      <w:r w:rsidRPr="00A165FC">
        <w:rPr>
          <w:rFonts w:ascii="Aptos" w:hAnsi="Aptos"/>
          <w:i/>
          <w:iCs/>
          <w:color w:val="auto"/>
        </w:rPr>
        <w:t xml:space="preserve">Το 2024 αποδεικνύεται μια εξαιρετική χρονιά για την ALUMIL, παρά τις συνεχιζόμενες παγκόσμιες προκλήσεις και τις μεταβολές στην αγορά. Η αύξηση των πωλήσεών μας </w:t>
      </w:r>
      <w:r w:rsidR="00B105B3">
        <w:rPr>
          <w:rFonts w:ascii="Aptos" w:hAnsi="Aptos"/>
          <w:i/>
          <w:iCs/>
          <w:color w:val="auto"/>
        </w:rPr>
        <w:t xml:space="preserve">κατά </w:t>
      </w:r>
      <w:r w:rsidR="00B105B3" w:rsidRPr="00B105B3">
        <w:rPr>
          <w:rFonts w:ascii="Aptos" w:hAnsi="Aptos"/>
          <w:i/>
          <w:iCs/>
          <w:color w:val="auto"/>
        </w:rPr>
        <w:t xml:space="preserve">15,2% σε όγκο και κατά 9,7% σε αξία </w:t>
      </w:r>
      <w:r w:rsidRPr="00A165FC">
        <w:rPr>
          <w:rFonts w:ascii="Aptos" w:hAnsi="Aptos"/>
          <w:i/>
          <w:iCs/>
          <w:color w:val="auto"/>
        </w:rPr>
        <w:t>το Α</w:t>
      </w:r>
      <w:r w:rsidRPr="00A165FC">
        <w:rPr>
          <w:rFonts w:ascii="Aptos" w:hAnsi="Aptos"/>
          <w:i/>
          <w:iCs/>
          <w:color w:val="auto"/>
          <w:lang w:val="ru-RU"/>
        </w:rPr>
        <w:t xml:space="preserve">' </w:t>
      </w:r>
      <w:r w:rsidRPr="00A165FC">
        <w:rPr>
          <w:rFonts w:ascii="Aptos" w:hAnsi="Aptos"/>
          <w:i/>
          <w:iCs/>
          <w:color w:val="auto"/>
        </w:rPr>
        <w:t>εξάμηνο του έτους και η άνοδος των καθαρών κερδών κατά 221,4% σε σχέση με το 2023, αποτελούν ξεκάθαρη ένδειξη ότι η στρατηγική μας αποδίδει καρπούς</w:t>
      </w:r>
      <w:r w:rsidRPr="00A165FC">
        <w:rPr>
          <w:rFonts w:ascii="Aptos" w:hAnsi="Aptos"/>
          <w:color w:val="auto"/>
        </w:rPr>
        <w:t>”, επισημαίνει ο Πρόεδρος και Διευθύνων Σύμβουλος κ. Γιώργος Μυλωνάς, τονίζοντας ότι  “</w:t>
      </w:r>
      <w:r w:rsidRPr="00A165FC">
        <w:rPr>
          <w:rFonts w:ascii="Aptos" w:hAnsi="Aptos"/>
          <w:i/>
          <w:iCs/>
          <w:color w:val="auto"/>
        </w:rPr>
        <w:t>μέσα σε ένα περιβάλλον γεμάτο αβεβαιότητα, καταφέραμε να αυξήσουμε τις επιδόσεις μας και να ενισχύσουμε την παρουσία μας σε διεθνές επίπεδο, επιβεβαιώνοντας την ηγετική μας θέση στον κλάδο του αλουμινίου”</w:t>
      </w:r>
      <w:r w:rsidRPr="00A165FC">
        <w:rPr>
          <w:rFonts w:ascii="Aptos" w:hAnsi="Aptos"/>
          <w:color w:val="auto"/>
        </w:rPr>
        <w:t xml:space="preserve">. </w:t>
      </w:r>
    </w:p>
    <w:p w14:paraId="0CAA31FD" w14:textId="219F42E2" w:rsidR="00F54363" w:rsidRPr="00A165FC" w:rsidRDefault="00F54363" w:rsidP="00F54363">
      <w:pPr>
        <w:pStyle w:val="a"/>
        <w:spacing w:before="0" w:after="240" w:line="240" w:lineRule="auto"/>
        <w:jc w:val="both"/>
        <w:rPr>
          <w:rFonts w:ascii="Aptos" w:eastAsia="Times Roman" w:hAnsi="Aptos" w:cs="Times Roman"/>
          <w:i/>
          <w:iCs/>
          <w:color w:val="auto"/>
        </w:rPr>
      </w:pPr>
      <w:r w:rsidRPr="00A165FC">
        <w:rPr>
          <w:rFonts w:ascii="Aptos" w:hAnsi="Aptos"/>
          <w:color w:val="auto"/>
        </w:rPr>
        <w:t>“</w:t>
      </w:r>
      <w:r w:rsidRPr="00A165FC">
        <w:rPr>
          <w:rFonts w:ascii="Aptos" w:hAnsi="Aptos"/>
          <w:i/>
          <w:iCs/>
          <w:color w:val="auto"/>
        </w:rPr>
        <w:t>Το 2024 είναι χρονιά-ορόσημο για εμάς, καθώς επενδύουμε εντατικά στην καινοτομία και στην αυτοματοποίηση. Οι τεχνολογίες τεχνητής νοημοσύνης που ενσωματώνουμε στις γραμμές παραγωγής</w:t>
      </w:r>
      <w:r w:rsidR="00545E25" w:rsidRPr="00A165FC">
        <w:rPr>
          <w:rFonts w:ascii="Aptos" w:hAnsi="Aptos"/>
          <w:i/>
          <w:iCs/>
          <w:color w:val="auto"/>
        </w:rPr>
        <w:t xml:space="preserve"> τόσο </w:t>
      </w:r>
      <w:proofErr w:type="spellStart"/>
      <w:r w:rsidR="00545E25" w:rsidRPr="00A165FC">
        <w:rPr>
          <w:rFonts w:ascii="Aptos" w:hAnsi="Aptos"/>
          <w:i/>
          <w:iCs/>
          <w:color w:val="auto"/>
        </w:rPr>
        <w:t>διέλασης</w:t>
      </w:r>
      <w:proofErr w:type="spellEnd"/>
      <w:r w:rsidR="00545E25" w:rsidRPr="00A165FC">
        <w:rPr>
          <w:rFonts w:ascii="Aptos" w:hAnsi="Aptos"/>
          <w:i/>
          <w:iCs/>
          <w:color w:val="auto"/>
        </w:rPr>
        <w:t xml:space="preserve"> αλουμινίου όσο και βαφής </w:t>
      </w:r>
      <w:r w:rsidRPr="00A165FC">
        <w:rPr>
          <w:rFonts w:ascii="Aptos" w:hAnsi="Aptos"/>
          <w:i/>
          <w:iCs/>
          <w:color w:val="auto"/>
        </w:rPr>
        <w:t>, η λειτουργία της νέας μας ρομποτικής αποθήκης και οι αυτοματοποιημένες γραμμές συσκευασίας και παραγωγής, αυξάνουν την παραγωγικότητά μας και μειώνουν το περιβαλλοντικό μας αποτύπωμα</w:t>
      </w:r>
      <w:r w:rsidRPr="00A165FC">
        <w:rPr>
          <w:rFonts w:ascii="Aptos" w:hAnsi="Aptos"/>
          <w:color w:val="auto"/>
        </w:rPr>
        <w:t>” υπογραμμίζει ο κ. Μυλωνάς επισημαίνοντας ότι “</w:t>
      </w:r>
      <w:r w:rsidRPr="00A165FC">
        <w:rPr>
          <w:rFonts w:ascii="Aptos" w:hAnsi="Aptos"/>
          <w:i/>
          <w:iCs/>
          <w:color w:val="auto"/>
        </w:rPr>
        <w:t xml:space="preserve">συνεχίζουμε να ενισχύουμε τις επενδύσεις μας με στόχο την πλήρη ψηφιοποίηση και τον ψηφιακό μετασχηματισμό του Ομίλου”. </w:t>
      </w:r>
    </w:p>
    <w:p w14:paraId="784C6A4F" w14:textId="77777777" w:rsidR="00F54363" w:rsidRPr="00A165FC" w:rsidRDefault="00F54363" w:rsidP="00F54363">
      <w:pPr>
        <w:pStyle w:val="a"/>
        <w:spacing w:before="0" w:after="240" w:line="240" w:lineRule="auto"/>
        <w:jc w:val="both"/>
        <w:rPr>
          <w:rFonts w:ascii="Aptos" w:eastAsia="Times Roman" w:hAnsi="Aptos" w:cs="Times Roman"/>
          <w:color w:val="auto"/>
        </w:rPr>
      </w:pPr>
      <w:r w:rsidRPr="00A165FC">
        <w:rPr>
          <w:rFonts w:ascii="Aptos" w:hAnsi="Aptos"/>
          <w:i/>
          <w:iCs/>
          <w:color w:val="auto"/>
        </w:rPr>
        <w:t>“Στόχος μας είναι να πρωτοπορούμε στον κλάδο, όχι μόνο μέσω της αύξησης των μεγεθών μας, αλλά και μέσω της εφαρμογής βιώσιμων πρακτικών και τεχνολογιών αιχμής</w:t>
      </w:r>
      <w:r w:rsidRPr="00A165FC">
        <w:rPr>
          <w:rFonts w:ascii="Aptos" w:hAnsi="Aptos"/>
          <w:color w:val="auto"/>
        </w:rPr>
        <w:t xml:space="preserve">” καταλήγει ο κ. Μυλωνάς, σημειώνοντας πως “ </w:t>
      </w:r>
      <w:r w:rsidRPr="00A165FC">
        <w:rPr>
          <w:rFonts w:ascii="Aptos" w:hAnsi="Aptos"/>
          <w:i/>
          <w:iCs/>
          <w:color w:val="auto"/>
        </w:rPr>
        <w:t>κοιτώντας μπροστά, δεσμευόμαστε να συνεχίσουμε την ανάπτυξή μας με σεβασμό στο περιβάλλον και με καινοτομία στον πυρήνα των δραστηριοτήτων μας</w:t>
      </w:r>
      <w:r w:rsidRPr="00A165FC">
        <w:rPr>
          <w:rFonts w:ascii="Aptos" w:hAnsi="Aptos"/>
          <w:color w:val="auto"/>
        </w:rPr>
        <w:t>.”</w:t>
      </w:r>
    </w:p>
    <w:p w14:paraId="269749C5" w14:textId="23299A1F" w:rsidR="00F54363" w:rsidRPr="00A165FC" w:rsidRDefault="00F54363" w:rsidP="00F54363">
      <w:pPr>
        <w:pStyle w:val="a"/>
        <w:spacing w:before="0" w:after="280" w:line="240" w:lineRule="auto"/>
        <w:jc w:val="both"/>
        <w:rPr>
          <w:rFonts w:ascii="Aptos" w:eastAsia="Arial" w:hAnsi="Aptos" w:cs="Arial"/>
          <w:color w:val="auto"/>
          <w:shd w:val="clear" w:color="auto" w:fill="FFFFFF"/>
        </w:rPr>
      </w:pPr>
      <w:r w:rsidRPr="00A165FC">
        <w:rPr>
          <w:rFonts w:ascii="Aptos" w:hAnsi="Aptos"/>
          <w:b/>
          <w:bCs/>
          <w:color w:val="auto"/>
          <w:shd w:val="clear" w:color="auto" w:fill="FFFFFF"/>
        </w:rPr>
        <w:t>Ανάπτυξη και Στρατηγικές Επενδύσεις</w:t>
      </w:r>
    </w:p>
    <w:p w14:paraId="14F5C1CB" w14:textId="001E5C48"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 xml:space="preserve">Η ALUMIL συνεχίζει με δυναμισμό την υλοποίηση των στρατηγικών της επενδύσεων </w:t>
      </w:r>
      <w:r w:rsidR="00545E25" w:rsidRPr="00A165FC">
        <w:rPr>
          <w:rFonts w:ascii="Aptos" w:hAnsi="Aptos"/>
          <w:color w:val="auto"/>
          <w:shd w:val="clear" w:color="auto" w:fill="FFFFFF"/>
        </w:rPr>
        <w:t xml:space="preserve">εντός και εκτός Ελλάδος, </w:t>
      </w:r>
      <w:r w:rsidRPr="00A165FC">
        <w:rPr>
          <w:rFonts w:ascii="Aptos" w:hAnsi="Aptos"/>
          <w:color w:val="auto"/>
          <w:shd w:val="clear" w:color="auto" w:fill="FFFFFF"/>
        </w:rPr>
        <w:t>για την αύξηση της παραγωγικής της δυναμικότητας</w:t>
      </w:r>
      <w:r w:rsidR="00545E25" w:rsidRPr="00A165FC">
        <w:rPr>
          <w:rFonts w:ascii="Aptos" w:hAnsi="Aptos"/>
          <w:color w:val="auto"/>
          <w:shd w:val="clear" w:color="auto" w:fill="FFFFFF"/>
        </w:rPr>
        <w:t>, αλλά και</w:t>
      </w:r>
      <w:r w:rsidRPr="00A165FC">
        <w:rPr>
          <w:rFonts w:ascii="Aptos" w:hAnsi="Aptos"/>
          <w:color w:val="auto"/>
          <w:shd w:val="clear" w:color="auto" w:fill="FFFFFF"/>
        </w:rPr>
        <w:t xml:space="preserve"> </w:t>
      </w:r>
      <w:r w:rsidR="00545E25" w:rsidRPr="00A165FC">
        <w:rPr>
          <w:rFonts w:ascii="Aptos" w:hAnsi="Aptos"/>
          <w:color w:val="auto"/>
          <w:shd w:val="clear" w:color="auto" w:fill="FFFFFF"/>
        </w:rPr>
        <w:t xml:space="preserve">την αντιμετώπιση των περιορισμών που θέτει η ΕΕ </w:t>
      </w:r>
      <w:r w:rsidRPr="00A165FC">
        <w:rPr>
          <w:rFonts w:ascii="Aptos" w:hAnsi="Aptos"/>
          <w:color w:val="auto"/>
          <w:shd w:val="clear" w:color="auto" w:fill="FFFFFF"/>
        </w:rPr>
        <w:t>και την επέκταση των διεθνών δραστηριοτήτων της. Οι επενδύσεις αυτές, οι οποίες περιλαμβάνουν την αυτοματοποίηση των γραμμών παραγωγής, τη χρήση τεχνολογιών τεχνητής νοημοσύνης και τη</w:t>
      </w:r>
      <w:r w:rsidR="00545E25" w:rsidRPr="00A165FC">
        <w:rPr>
          <w:rFonts w:ascii="Aptos" w:hAnsi="Aptos"/>
          <w:color w:val="auto"/>
          <w:shd w:val="clear" w:color="auto" w:fill="FFFFFF"/>
        </w:rPr>
        <w:t xml:space="preserve">ν αύξηση και </w:t>
      </w:r>
      <w:r w:rsidRPr="00A165FC">
        <w:rPr>
          <w:rFonts w:ascii="Aptos" w:hAnsi="Aptos"/>
          <w:color w:val="auto"/>
          <w:shd w:val="clear" w:color="auto" w:fill="FFFFFF"/>
        </w:rPr>
        <w:t xml:space="preserve"> βελτίωση των εγκαταστάσεων αποθήκευσης και </w:t>
      </w:r>
      <w:r w:rsidRPr="00A165FC">
        <w:rPr>
          <w:rFonts w:ascii="Aptos" w:hAnsi="Aptos"/>
          <w:color w:val="auto"/>
          <w:shd w:val="clear" w:color="auto" w:fill="FFFFFF"/>
          <w:lang w:val="en-US"/>
        </w:rPr>
        <w:t>logistics</w:t>
      </w:r>
      <w:r w:rsidRPr="00A165FC">
        <w:rPr>
          <w:rFonts w:ascii="Aptos" w:hAnsi="Aptos"/>
          <w:color w:val="auto"/>
          <w:shd w:val="clear" w:color="auto" w:fill="FFFFFF"/>
        </w:rPr>
        <w:t>, υποστηρίζουν τη στρατηγική βιώσιμης ανάπτυξης που ακολουθεί η εταιρεία.</w:t>
      </w:r>
    </w:p>
    <w:p w14:paraId="33183734" w14:textId="68944FFB"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lastRenderedPageBreak/>
        <w:t xml:space="preserve">Η εταιρεία παραμένει προσηλωμένη στην καινοτομία </w:t>
      </w:r>
      <w:r w:rsidRPr="00A165FC">
        <w:rPr>
          <w:rFonts w:ascii="Aptos" w:hAnsi="Aptos"/>
          <w:strike/>
          <w:color w:val="auto"/>
          <w:shd w:val="clear" w:color="auto" w:fill="FFFFFF"/>
        </w:rPr>
        <w:t>και</w:t>
      </w:r>
      <w:r w:rsidRPr="00A165FC">
        <w:rPr>
          <w:rFonts w:ascii="Aptos" w:hAnsi="Aptos"/>
          <w:color w:val="auto"/>
          <w:shd w:val="clear" w:color="auto" w:fill="FFFFFF"/>
        </w:rPr>
        <w:t xml:space="preserve"> την αυτοματοποίηση, </w:t>
      </w:r>
      <w:r w:rsidR="00545E25" w:rsidRPr="00A165FC">
        <w:rPr>
          <w:rFonts w:ascii="Aptos" w:hAnsi="Aptos"/>
          <w:color w:val="auto"/>
          <w:shd w:val="clear" w:color="auto" w:fill="FFFFFF"/>
        </w:rPr>
        <w:t xml:space="preserve"> τη ρομποτική υποστήριξη παραγωγικών διαδικασιών, αποθήκευσης και διακίνησης , την ψηφιοποίηση και ανάπτυξη δικών της εξειδικευμένων πλατφορμών και εφαρμογών πληροφορικής εσωτερικά, αλλά και πλατφορμών ψηφιακών εφαρμογών για χρήση ακόμα και με έξυπνα κινητά από τους συνεργάτες της και τους πελάτες της σε όλο τον κόσμο, </w:t>
      </w:r>
      <w:r w:rsidRPr="00A165FC">
        <w:rPr>
          <w:rFonts w:ascii="Aptos" w:hAnsi="Aptos"/>
          <w:color w:val="auto"/>
          <w:shd w:val="clear" w:color="auto" w:fill="FFFFFF"/>
        </w:rPr>
        <w:t>επενδύοντας σε νέες τεχνολογίες και αναβαθμίζοντας τις υπάρχουσες υποδομές της, ώστε να ανταποκρίνεται στις αυξανόμενες απαιτήσεις των πελατών της σε παγκόσμιο επίπεδο.</w:t>
      </w:r>
    </w:p>
    <w:p w14:paraId="430A910B" w14:textId="77777777" w:rsidR="00F54363" w:rsidRPr="00A165FC" w:rsidRDefault="00F54363" w:rsidP="00F54363">
      <w:pPr>
        <w:pStyle w:val="a"/>
        <w:spacing w:before="0" w:after="200" w:line="240" w:lineRule="auto"/>
        <w:jc w:val="both"/>
        <w:rPr>
          <w:rFonts w:ascii="Aptos" w:eastAsia="Arial" w:hAnsi="Aptos" w:cs="Arial"/>
          <w:color w:val="auto"/>
          <w:shd w:val="clear" w:color="auto" w:fill="FFFFFF"/>
        </w:rPr>
      </w:pPr>
      <w:r w:rsidRPr="00A165FC">
        <w:rPr>
          <w:rFonts w:ascii="Aptos" w:hAnsi="Aptos"/>
          <w:color w:val="auto"/>
          <w:shd w:val="clear" w:color="auto" w:fill="FFFFFF"/>
        </w:rPr>
        <w:t>Με αυτή την αναπτυξιακή πορεία και τις ισχυρές οικονομικές επιδόσεις, η ALUMIL προχωρά με αυτοπεποίθηση στην υλοποίηση των στόχων της για το 2024, εστιάζοντας στην καινοτομία, τη βιώσιμη ανάπτυξη και την ενίσχυση της παγκόσμιας παρουσίας της.</w:t>
      </w:r>
    </w:p>
    <w:p w14:paraId="076B33F5" w14:textId="77777777" w:rsidR="00F54363" w:rsidRPr="00A165FC" w:rsidRDefault="00F54363" w:rsidP="00F54363">
      <w:pPr>
        <w:pStyle w:val="a"/>
        <w:spacing w:before="0" w:after="200" w:line="240" w:lineRule="auto"/>
        <w:jc w:val="both"/>
        <w:rPr>
          <w:rFonts w:ascii="Aptos" w:eastAsia="Verdana" w:hAnsi="Aptos" w:cs="Verdana"/>
          <w:color w:val="auto"/>
          <w:shd w:val="clear" w:color="auto" w:fill="FFFFFF"/>
        </w:rPr>
      </w:pPr>
    </w:p>
    <w:p w14:paraId="36B4F321" w14:textId="77777777" w:rsidR="00F54363" w:rsidRPr="00A165FC" w:rsidRDefault="00F54363" w:rsidP="00F54363">
      <w:pPr>
        <w:pStyle w:val="a"/>
        <w:spacing w:before="0" w:after="240" w:line="240" w:lineRule="auto"/>
        <w:jc w:val="both"/>
        <w:rPr>
          <w:rFonts w:ascii="Aptos" w:eastAsia="Times Roman" w:hAnsi="Aptos" w:cs="Times Roman"/>
          <w:color w:val="auto"/>
        </w:rPr>
      </w:pPr>
    </w:p>
    <w:p w14:paraId="56E00A82" w14:textId="77777777" w:rsidR="00F54363" w:rsidRPr="00A165FC" w:rsidRDefault="00F54363" w:rsidP="00F54363">
      <w:pPr>
        <w:pStyle w:val="a"/>
        <w:spacing w:before="0" w:after="240" w:line="240" w:lineRule="auto"/>
        <w:jc w:val="both"/>
        <w:rPr>
          <w:rFonts w:ascii="Aptos" w:hAnsi="Aptos"/>
          <w:color w:val="auto"/>
        </w:rPr>
      </w:pPr>
    </w:p>
    <w:p w14:paraId="347FA38F" w14:textId="6C042DE5" w:rsidR="0065037D" w:rsidRPr="00A165FC" w:rsidRDefault="0065037D" w:rsidP="00385FCE">
      <w:pPr>
        <w:spacing w:line="276" w:lineRule="auto"/>
        <w:rPr>
          <w:rFonts w:asciiTheme="minorHAnsi" w:hAnsiTheme="minorHAnsi" w:cstheme="minorHAnsi"/>
        </w:rPr>
      </w:pPr>
    </w:p>
    <w:sectPr w:rsidR="0065037D" w:rsidRPr="00A165FC" w:rsidSect="000F57DD">
      <w:headerReference w:type="default" r:id="rId7"/>
      <w:footerReference w:type="default" r:id="rId8"/>
      <w:pgSz w:w="11906" w:h="16838"/>
      <w:pgMar w:top="15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D73A1" w14:textId="77777777" w:rsidR="00D15751" w:rsidRDefault="00D15751" w:rsidP="00C72F67">
      <w:r>
        <w:separator/>
      </w:r>
    </w:p>
  </w:endnote>
  <w:endnote w:type="continuationSeparator" w:id="0">
    <w:p w14:paraId="0AEA29EB" w14:textId="77777777" w:rsidR="00D15751" w:rsidRDefault="00D15751" w:rsidP="00C7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9999999">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BADB4" w14:textId="77777777" w:rsidR="00C72F67" w:rsidRDefault="00A162A2">
    <w:pPr>
      <w:pStyle w:val="Footer"/>
    </w:pPr>
    <w:r>
      <w:rPr>
        <w:noProof/>
        <w:lang w:eastAsia="el-GR"/>
      </w:rPr>
      <w:drawing>
        <wp:inline distT="0" distB="0" distL="0" distR="0" wp14:anchorId="59606F47" wp14:editId="6399DB6B">
          <wp:extent cx="5278120" cy="586663"/>
          <wp:effectExtent l="0" t="0" r="0" b="4445"/>
          <wp:docPr id="2" name="Εικόνα 2" descr="C:\Users\t.tzivanidou\Desktop\LETTERHEAD_G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zivanidou\Desktop\LETTERHEAD_G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866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49691" w14:textId="77777777" w:rsidR="00D15751" w:rsidRDefault="00D15751" w:rsidP="00C72F67">
      <w:r>
        <w:separator/>
      </w:r>
    </w:p>
  </w:footnote>
  <w:footnote w:type="continuationSeparator" w:id="0">
    <w:p w14:paraId="2A0EB4A5" w14:textId="77777777" w:rsidR="00D15751" w:rsidRDefault="00D15751" w:rsidP="00C7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25E8C" w14:textId="77777777" w:rsidR="00F54363" w:rsidRPr="00AB7933" w:rsidRDefault="00E243E9" w:rsidP="00F54363">
    <w:pPr>
      <w:pStyle w:val="a"/>
      <w:spacing w:before="0" w:after="200" w:line="240" w:lineRule="auto"/>
      <w:ind w:left="5760" w:firstLine="720"/>
      <w:jc w:val="center"/>
      <w:rPr>
        <w:rFonts w:ascii="Aptos" w:hAnsi="Aptos"/>
        <w:color w:val="auto"/>
        <w:shd w:val="clear" w:color="auto" w:fill="FFFFFF"/>
      </w:rPr>
    </w:pPr>
    <w:r>
      <w:rPr>
        <w:noProof/>
        <w:lang w:eastAsia="el-GR"/>
      </w:rPr>
      <w:drawing>
        <wp:anchor distT="0" distB="0" distL="114300" distR="114300" simplePos="0" relativeHeight="251658240" behindDoc="1" locked="0" layoutInCell="1" allowOverlap="1" wp14:anchorId="2D912FC8" wp14:editId="5ECCFA6A">
          <wp:simplePos x="0" y="0"/>
          <wp:positionH relativeFrom="column">
            <wp:posOffset>-1154444</wp:posOffset>
          </wp:positionH>
          <wp:positionV relativeFrom="paragraph">
            <wp:posOffset>-463564</wp:posOffset>
          </wp:positionV>
          <wp:extent cx="2175510" cy="1374937"/>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IL GR ENVELOPE.emf"/>
                  <pic:cNvPicPr/>
                </pic:nvPicPr>
                <pic:blipFill>
                  <a:blip r:embed="rId1">
                    <a:extLst>
                      <a:ext uri="{28A0092B-C50C-407E-A947-70E740481C1C}">
                        <a14:useLocalDpi xmlns:a14="http://schemas.microsoft.com/office/drawing/2010/main" val="0"/>
                      </a:ext>
                    </a:extLst>
                  </a:blip>
                  <a:stretch>
                    <a:fillRect/>
                  </a:stretch>
                </pic:blipFill>
                <pic:spPr>
                  <a:xfrm>
                    <a:off x="0" y="0"/>
                    <a:ext cx="2222976" cy="1404936"/>
                  </a:xfrm>
                  <a:prstGeom prst="rect">
                    <a:avLst/>
                  </a:prstGeom>
                </pic:spPr>
              </pic:pic>
            </a:graphicData>
          </a:graphic>
          <wp14:sizeRelH relativeFrom="margin">
            <wp14:pctWidth>0</wp14:pctWidth>
          </wp14:sizeRelH>
          <wp14:sizeRelV relativeFrom="margin">
            <wp14:pctHeight>0</wp14:pctHeight>
          </wp14:sizeRelV>
        </wp:anchor>
      </w:drawing>
    </w:r>
    <w:r w:rsidR="00F54363">
      <w:tab/>
    </w:r>
    <w:r w:rsidR="00F54363">
      <w:tab/>
    </w:r>
    <w:r w:rsidR="00F54363">
      <w:rPr>
        <w:rFonts w:ascii="Aptos" w:hAnsi="Aptos"/>
        <w:color w:val="auto"/>
        <w:shd w:val="clear" w:color="auto" w:fill="FFFFFF"/>
      </w:rPr>
      <w:t xml:space="preserve">                     Κιλκίς, 30.09.2024</w:t>
    </w:r>
  </w:p>
  <w:p w14:paraId="44C2275B" w14:textId="57A209FC" w:rsidR="00695C97" w:rsidRDefault="00695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AC4F2D8"/>
    <w:name w:val="WWNum4"/>
    <w:lvl w:ilvl="0">
      <w:start w:val="1"/>
      <w:numFmt w:val="decimal"/>
      <w:lvlText w:val="%1."/>
      <w:lvlJc w:val="left"/>
      <w:pPr>
        <w:tabs>
          <w:tab w:val="num" w:pos="603"/>
        </w:tabs>
        <w:ind w:left="643" w:hanging="643"/>
      </w:pPr>
      <w:rPr>
        <w:rFonts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AD6666"/>
    <w:multiLevelType w:val="multilevel"/>
    <w:tmpl w:val="935250FC"/>
    <w:lvl w:ilvl="0">
      <w:start w:val="1"/>
      <w:numFmt w:val="bullet"/>
      <w:pStyle w:val="ListBullet1"/>
      <w:lvlText w:val="—"/>
      <w:lvlJc w:val="left"/>
      <w:pPr>
        <w:tabs>
          <w:tab w:val="num" w:pos="340"/>
        </w:tabs>
        <w:ind w:left="340" w:hanging="340"/>
      </w:pPr>
      <w:rPr>
        <w:rFonts w:ascii="Arial" w:hAnsi="Arial" w:cs="Arial" w:hint="default"/>
        <w:color w:val="auto"/>
        <w:sz w:val="24"/>
        <w:szCs w:val="22"/>
      </w:rPr>
    </w:lvl>
    <w:lvl w:ilvl="1">
      <w:start w:val="1"/>
      <w:numFmt w:val="bullet"/>
      <w:lvlText w:val=""/>
      <w:lvlJc w:val="left"/>
      <w:pPr>
        <w:tabs>
          <w:tab w:val="num" w:pos="680"/>
        </w:tabs>
        <w:ind w:left="680" w:hanging="340"/>
      </w:pPr>
      <w:rPr>
        <w:rFonts w:ascii="Symbol" w:hAnsi="Symbol" w:hint="default"/>
      </w:rPr>
    </w:lvl>
    <w:lvl w:ilvl="2">
      <w:start w:val="1"/>
      <w:numFmt w:val="bullet"/>
      <w:pStyle w:val="ListBullet3"/>
      <w:lvlText w:val="—"/>
      <w:lvlJc w:val="left"/>
      <w:pPr>
        <w:tabs>
          <w:tab w:val="num" w:pos="1020"/>
        </w:tabs>
        <w:ind w:left="1020" w:hanging="340"/>
      </w:pPr>
      <w:rPr>
        <w:rFonts w:ascii="Arial" w:hAnsi="Arial" w:hint="default"/>
        <w:color w:val="auto"/>
      </w:rPr>
    </w:lvl>
    <w:lvl w:ilvl="3">
      <w:start w:val="1"/>
      <w:numFmt w:val="bullet"/>
      <w:lvlText w:val="-"/>
      <w:lvlJc w:val="left"/>
      <w:pPr>
        <w:tabs>
          <w:tab w:val="num" w:pos="1360"/>
        </w:tabs>
        <w:ind w:left="1360" w:hanging="340"/>
      </w:pPr>
      <w:rPr>
        <w:rFonts w:ascii="Arial" w:hAnsi="Arial" w:hint="default"/>
      </w:rPr>
    </w:lvl>
    <w:lvl w:ilvl="4">
      <w:start w:val="1"/>
      <w:numFmt w:val="bullet"/>
      <w:pStyle w:val="ListBullet51"/>
      <w:lvlText w:val="—"/>
      <w:lvlJc w:val="left"/>
      <w:pPr>
        <w:tabs>
          <w:tab w:val="num" w:pos="1700"/>
        </w:tabs>
        <w:ind w:left="1700" w:hanging="340"/>
      </w:pPr>
      <w:rPr>
        <w:rFonts w:ascii="Arial" w:hAnsi="Arial" w:hint="default"/>
      </w:rPr>
    </w:lvl>
    <w:lvl w:ilvl="5">
      <w:start w:val="1"/>
      <w:numFmt w:val="bullet"/>
      <w:lvlText w:val="-"/>
      <w:lvlJc w:val="left"/>
      <w:pPr>
        <w:tabs>
          <w:tab w:val="num" w:pos="2040"/>
        </w:tabs>
        <w:ind w:left="2040" w:hanging="340"/>
      </w:pPr>
      <w:rPr>
        <w:rFonts w:ascii="Arial" w:hAnsi="Aria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2" w15:restartNumberingAfterBreak="0">
    <w:nsid w:val="03BC710F"/>
    <w:multiLevelType w:val="hybridMultilevel"/>
    <w:tmpl w:val="15E0803C"/>
    <w:lvl w:ilvl="0" w:tplc="16AE8B8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32E0B"/>
    <w:multiLevelType w:val="hybridMultilevel"/>
    <w:tmpl w:val="D6F892FE"/>
    <w:lvl w:ilvl="0" w:tplc="04080001">
      <w:start w:val="1"/>
      <w:numFmt w:val="bullet"/>
      <w:lvlText w:val=""/>
      <w:lvlJc w:val="left"/>
      <w:pPr>
        <w:ind w:left="642" w:hanging="360"/>
      </w:pPr>
      <w:rPr>
        <w:rFonts w:ascii="Symbol" w:hAnsi="Symbol" w:hint="default"/>
      </w:rPr>
    </w:lvl>
    <w:lvl w:ilvl="1" w:tplc="04080003" w:tentative="1">
      <w:start w:val="1"/>
      <w:numFmt w:val="bullet"/>
      <w:lvlText w:val="o"/>
      <w:lvlJc w:val="left"/>
      <w:pPr>
        <w:ind w:left="1362" w:hanging="360"/>
      </w:pPr>
      <w:rPr>
        <w:rFonts w:ascii="Courier New" w:hAnsi="Courier New" w:cs="Courier New" w:hint="default"/>
      </w:rPr>
    </w:lvl>
    <w:lvl w:ilvl="2" w:tplc="04080005" w:tentative="1">
      <w:start w:val="1"/>
      <w:numFmt w:val="bullet"/>
      <w:lvlText w:val=""/>
      <w:lvlJc w:val="left"/>
      <w:pPr>
        <w:ind w:left="2082" w:hanging="360"/>
      </w:pPr>
      <w:rPr>
        <w:rFonts w:ascii="Wingdings" w:hAnsi="Wingdings" w:hint="default"/>
      </w:rPr>
    </w:lvl>
    <w:lvl w:ilvl="3" w:tplc="04080001" w:tentative="1">
      <w:start w:val="1"/>
      <w:numFmt w:val="bullet"/>
      <w:lvlText w:val=""/>
      <w:lvlJc w:val="left"/>
      <w:pPr>
        <w:ind w:left="2802" w:hanging="360"/>
      </w:pPr>
      <w:rPr>
        <w:rFonts w:ascii="Symbol" w:hAnsi="Symbol" w:hint="default"/>
      </w:rPr>
    </w:lvl>
    <w:lvl w:ilvl="4" w:tplc="04080003" w:tentative="1">
      <w:start w:val="1"/>
      <w:numFmt w:val="bullet"/>
      <w:lvlText w:val="o"/>
      <w:lvlJc w:val="left"/>
      <w:pPr>
        <w:ind w:left="3522" w:hanging="360"/>
      </w:pPr>
      <w:rPr>
        <w:rFonts w:ascii="Courier New" w:hAnsi="Courier New" w:cs="Courier New" w:hint="default"/>
      </w:rPr>
    </w:lvl>
    <w:lvl w:ilvl="5" w:tplc="04080005" w:tentative="1">
      <w:start w:val="1"/>
      <w:numFmt w:val="bullet"/>
      <w:lvlText w:val=""/>
      <w:lvlJc w:val="left"/>
      <w:pPr>
        <w:ind w:left="4242" w:hanging="360"/>
      </w:pPr>
      <w:rPr>
        <w:rFonts w:ascii="Wingdings" w:hAnsi="Wingdings" w:hint="default"/>
      </w:rPr>
    </w:lvl>
    <w:lvl w:ilvl="6" w:tplc="04080001" w:tentative="1">
      <w:start w:val="1"/>
      <w:numFmt w:val="bullet"/>
      <w:lvlText w:val=""/>
      <w:lvlJc w:val="left"/>
      <w:pPr>
        <w:ind w:left="4962" w:hanging="360"/>
      </w:pPr>
      <w:rPr>
        <w:rFonts w:ascii="Symbol" w:hAnsi="Symbol" w:hint="default"/>
      </w:rPr>
    </w:lvl>
    <w:lvl w:ilvl="7" w:tplc="04080003" w:tentative="1">
      <w:start w:val="1"/>
      <w:numFmt w:val="bullet"/>
      <w:lvlText w:val="o"/>
      <w:lvlJc w:val="left"/>
      <w:pPr>
        <w:ind w:left="5682" w:hanging="360"/>
      </w:pPr>
      <w:rPr>
        <w:rFonts w:ascii="Courier New" w:hAnsi="Courier New" w:cs="Courier New" w:hint="default"/>
      </w:rPr>
    </w:lvl>
    <w:lvl w:ilvl="8" w:tplc="04080005" w:tentative="1">
      <w:start w:val="1"/>
      <w:numFmt w:val="bullet"/>
      <w:lvlText w:val=""/>
      <w:lvlJc w:val="left"/>
      <w:pPr>
        <w:ind w:left="6402" w:hanging="360"/>
      </w:pPr>
      <w:rPr>
        <w:rFonts w:ascii="Wingdings" w:hAnsi="Wingdings" w:hint="default"/>
      </w:rPr>
    </w:lvl>
  </w:abstractNum>
  <w:abstractNum w:abstractNumId="4" w15:restartNumberingAfterBreak="0">
    <w:nsid w:val="1A863D8A"/>
    <w:multiLevelType w:val="hybridMultilevel"/>
    <w:tmpl w:val="4F7A6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C1F19"/>
    <w:multiLevelType w:val="hybridMultilevel"/>
    <w:tmpl w:val="9700780C"/>
    <w:lvl w:ilvl="0" w:tplc="F9049E58">
      <w:start w:val="1"/>
      <w:numFmt w:val="bullet"/>
      <w:lvlText w:val=""/>
      <w:lvlJc w:val="left"/>
      <w:pPr>
        <w:tabs>
          <w:tab w:val="num" w:pos="720"/>
        </w:tabs>
        <w:ind w:left="720" w:hanging="360"/>
      </w:pPr>
      <w:rPr>
        <w:rFonts w:ascii="Symbol" w:hAnsi="Symbol" w:hint="default"/>
      </w:rPr>
    </w:lvl>
    <w:lvl w:ilvl="1" w:tplc="221E43C8" w:tentative="1">
      <w:start w:val="1"/>
      <w:numFmt w:val="bullet"/>
      <w:lvlText w:val=""/>
      <w:lvlJc w:val="left"/>
      <w:pPr>
        <w:tabs>
          <w:tab w:val="num" w:pos="1440"/>
        </w:tabs>
        <w:ind w:left="1440" w:hanging="360"/>
      </w:pPr>
      <w:rPr>
        <w:rFonts w:ascii="Symbol" w:hAnsi="Symbol" w:hint="default"/>
      </w:rPr>
    </w:lvl>
    <w:lvl w:ilvl="2" w:tplc="9DC62E04" w:tentative="1">
      <w:start w:val="1"/>
      <w:numFmt w:val="bullet"/>
      <w:lvlText w:val=""/>
      <w:lvlJc w:val="left"/>
      <w:pPr>
        <w:tabs>
          <w:tab w:val="num" w:pos="2160"/>
        </w:tabs>
        <w:ind w:left="2160" w:hanging="360"/>
      </w:pPr>
      <w:rPr>
        <w:rFonts w:ascii="Symbol" w:hAnsi="Symbol" w:hint="default"/>
      </w:rPr>
    </w:lvl>
    <w:lvl w:ilvl="3" w:tplc="DD7EC694" w:tentative="1">
      <w:start w:val="1"/>
      <w:numFmt w:val="bullet"/>
      <w:lvlText w:val=""/>
      <w:lvlJc w:val="left"/>
      <w:pPr>
        <w:tabs>
          <w:tab w:val="num" w:pos="2880"/>
        </w:tabs>
        <w:ind w:left="2880" w:hanging="360"/>
      </w:pPr>
      <w:rPr>
        <w:rFonts w:ascii="Symbol" w:hAnsi="Symbol" w:hint="default"/>
      </w:rPr>
    </w:lvl>
    <w:lvl w:ilvl="4" w:tplc="A03EEAE6" w:tentative="1">
      <w:start w:val="1"/>
      <w:numFmt w:val="bullet"/>
      <w:lvlText w:val=""/>
      <w:lvlJc w:val="left"/>
      <w:pPr>
        <w:tabs>
          <w:tab w:val="num" w:pos="3600"/>
        </w:tabs>
        <w:ind w:left="3600" w:hanging="360"/>
      </w:pPr>
      <w:rPr>
        <w:rFonts w:ascii="Symbol" w:hAnsi="Symbol" w:hint="default"/>
      </w:rPr>
    </w:lvl>
    <w:lvl w:ilvl="5" w:tplc="3670F66A" w:tentative="1">
      <w:start w:val="1"/>
      <w:numFmt w:val="bullet"/>
      <w:lvlText w:val=""/>
      <w:lvlJc w:val="left"/>
      <w:pPr>
        <w:tabs>
          <w:tab w:val="num" w:pos="4320"/>
        </w:tabs>
        <w:ind w:left="4320" w:hanging="360"/>
      </w:pPr>
      <w:rPr>
        <w:rFonts w:ascii="Symbol" w:hAnsi="Symbol" w:hint="default"/>
      </w:rPr>
    </w:lvl>
    <w:lvl w:ilvl="6" w:tplc="E7D0CEEC" w:tentative="1">
      <w:start w:val="1"/>
      <w:numFmt w:val="bullet"/>
      <w:lvlText w:val=""/>
      <w:lvlJc w:val="left"/>
      <w:pPr>
        <w:tabs>
          <w:tab w:val="num" w:pos="5040"/>
        </w:tabs>
        <w:ind w:left="5040" w:hanging="360"/>
      </w:pPr>
      <w:rPr>
        <w:rFonts w:ascii="Symbol" w:hAnsi="Symbol" w:hint="default"/>
      </w:rPr>
    </w:lvl>
    <w:lvl w:ilvl="7" w:tplc="ADC299A8" w:tentative="1">
      <w:start w:val="1"/>
      <w:numFmt w:val="bullet"/>
      <w:lvlText w:val=""/>
      <w:lvlJc w:val="left"/>
      <w:pPr>
        <w:tabs>
          <w:tab w:val="num" w:pos="5760"/>
        </w:tabs>
        <w:ind w:left="5760" w:hanging="360"/>
      </w:pPr>
      <w:rPr>
        <w:rFonts w:ascii="Symbol" w:hAnsi="Symbol" w:hint="default"/>
      </w:rPr>
    </w:lvl>
    <w:lvl w:ilvl="8" w:tplc="26CCED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D67FEA"/>
    <w:multiLevelType w:val="hybridMultilevel"/>
    <w:tmpl w:val="C2746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F65707"/>
    <w:multiLevelType w:val="hybridMultilevel"/>
    <w:tmpl w:val="D458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4403C"/>
    <w:multiLevelType w:val="hybridMultilevel"/>
    <w:tmpl w:val="13809A98"/>
    <w:lvl w:ilvl="0" w:tplc="04080001">
      <w:start w:val="1"/>
      <w:numFmt w:val="bullet"/>
      <w:pStyle w:val="ListBullet5"/>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E994215"/>
    <w:multiLevelType w:val="hybridMultilevel"/>
    <w:tmpl w:val="9F8ADD4A"/>
    <w:lvl w:ilvl="0" w:tplc="D02498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B0433"/>
    <w:multiLevelType w:val="singleLevel"/>
    <w:tmpl w:val="CBD8AAB6"/>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79E100B"/>
    <w:multiLevelType w:val="hybridMultilevel"/>
    <w:tmpl w:val="4258BDFE"/>
    <w:lvl w:ilvl="0" w:tplc="5618473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93333A"/>
    <w:multiLevelType w:val="hybridMultilevel"/>
    <w:tmpl w:val="2B0CB33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C655F0D"/>
    <w:multiLevelType w:val="hybridMultilevel"/>
    <w:tmpl w:val="89667D32"/>
    <w:lvl w:ilvl="0" w:tplc="64265AB4">
      <w:start w:val="1"/>
      <w:numFmt w:val="decimal"/>
      <w:lvlText w:val="%1."/>
      <w:lvlJc w:val="left"/>
      <w:pPr>
        <w:ind w:left="720" w:hanging="360"/>
      </w:pPr>
    </w:lvl>
    <w:lvl w:ilvl="1" w:tplc="2B7C9FD4">
      <w:start w:val="1"/>
      <w:numFmt w:val="lowerLetter"/>
      <w:lvlText w:val="%2."/>
      <w:lvlJc w:val="left"/>
      <w:pPr>
        <w:ind w:left="1440" w:hanging="360"/>
      </w:pPr>
    </w:lvl>
    <w:lvl w:ilvl="2" w:tplc="1E4A5A26">
      <w:start w:val="1"/>
      <w:numFmt w:val="lowerRoman"/>
      <w:lvlText w:val="%3."/>
      <w:lvlJc w:val="right"/>
      <w:pPr>
        <w:ind w:left="2160" w:hanging="180"/>
      </w:pPr>
    </w:lvl>
    <w:lvl w:ilvl="3" w:tplc="F8380EA2">
      <w:start w:val="1"/>
      <w:numFmt w:val="decimal"/>
      <w:lvlText w:val="%4."/>
      <w:lvlJc w:val="left"/>
      <w:pPr>
        <w:ind w:left="2880" w:hanging="360"/>
      </w:pPr>
    </w:lvl>
    <w:lvl w:ilvl="4" w:tplc="BEF40688">
      <w:start w:val="1"/>
      <w:numFmt w:val="lowerLetter"/>
      <w:lvlText w:val="%5."/>
      <w:lvlJc w:val="left"/>
      <w:pPr>
        <w:ind w:left="3600" w:hanging="360"/>
      </w:pPr>
    </w:lvl>
    <w:lvl w:ilvl="5" w:tplc="EC6A2EC4">
      <w:start w:val="1"/>
      <w:numFmt w:val="lowerRoman"/>
      <w:lvlText w:val="%6."/>
      <w:lvlJc w:val="right"/>
      <w:pPr>
        <w:ind w:left="4320" w:hanging="180"/>
      </w:pPr>
    </w:lvl>
    <w:lvl w:ilvl="6" w:tplc="8EAA721A">
      <w:start w:val="1"/>
      <w:numFmt w:val="decimal"/>
      <w:lvlText w:val="%7."/>
      <w:lvlJc w:val="left"/>
      <w:pPr>
        <w:ind w:left="5040" w:hanging="360"/>
      </w:pPr>
    </w:lvl>
    <w:lvl w:ilvl="7" w:tplc="D8DAAA06">
      <w:start w:val="1"/>
      <w:numFmt w:val="lowerLetter"/>
      <w:lvlText w:val="%8."/>
      <w:lvlJc w:val="left"/>
      <w:pPr>
        <w:ind w:left="5760" w:hanging="360"/>
      </w:pPr>
    </w:lvl>
    <w:lvl w:ilvl="8" w:tplc="3ED86F6A">
      <w:start w:val="1"/>
      <w:numFmt w:val="lowerRoman"/>
      <w:lvlText w:val="%9."/>
      <w:lvlJc w:val="right"/>
      <w:pPr>
        <w:ind w:left="6480" w:hanging="180"/>
      </w:pPr>
    </w:lvl>
  </w:abstractNum>
  <w:abstractNum w:abstractNumId="14" w15:restartNumberingAfterBreak="0">
    <w:nsid w:val="707E5A14"/>
    <w:multiLevelType w:val="hybridMultilevel"/>
    <w:tmpl w:val="E244C4AE"/>
    <w:lvl w:ilvl="0" w:tplc="A66CFAF2">
      <w:start w:val="1"/>
      <w:numFmt w:val="lowerRoman"/>
      <w:pStyle w:val="ListBullet"/>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6154882"/>
    <w:multiLevelType w:val="hybridMultilevel"/>
    <w:tmpl w:val="8CCE4D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BCD3D46"/>
    <w:multiLevelType w:val="multilevel"/>
    <w:tmpl w:val="BB88DC80"/>
    <w:lvl w:ilvl="0">
      <w:start w:val="1"/>
      <w:numFmt w:val="lowerRoman"/>
      <w:lvlText w:val="%1."/>
      <w:lvlJc w:val="right"/>
      <w:pPr>
        <w:tabs>
          <w:tab w:val="num" w:pos="340"/>
        </w:tabs>
        <w:ind w:left="340" w:hanging="340"/>
      </w:pPr>
      <w:rPr>
        <w:rFonts w:hint="default"/>
        <w:color w:val="auto"/>
        <w:sz w:val="24"/>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7" w15:restartNumberingAfterBreak="0">
    <w:nsid w:val="7FC9072D"/>
    <w:multiLevelType w:val="multilevel"/>
    <w:tmpl w:val="FB42BA30"/>
    <w:lvl w:ilvl="0">
      <w:start w:val="1"/>
      <w:numFmt w:val="lowerRoman"/>
      <w:lvlText w:val="%1."/>
      <w:lvlJc w:val="right"/>
      <w:pPr>
        <w:tabs>
          <w:tab w:val="num" w:pos="340"/>
        </w:tabs>
        <w:ind w:left="340" w:hanging="340"/>
      </w:pPr>
      <w:rPr>
        <w:rFonts w:hint="default"/>
        <w:color w:val="auto"/>
        <w:sz w:val="24"/>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16cid:durableId="1298801961">
    <w:abstractNumId w:val="15"/>
  </w:num>
  <w:num w:numId="2" w16cid:durableId="1357779548">
    <w:abstractNumId w:val="9"/>
  </w:num>
  <w:num w:numId="3" w16cid:durableId="1283220443">
    <w:abstractNumId w:val="11"/>
  </w:num>
  <w:num w:numId="4" w16cid:durableId="1080560346">
    <w:abstractNumId w:val="4"/>
  </w:num>
  <w:num w:numId="5" w16cid:durableId="2122533359">
    <w:abstractNumId w:val="2"/>
  </w:num>
  <w:num w:numId="6" w16cid:durableId="83647676">
    <w:abstractNumId w:val="6"/>
  </w:num>
  <w:num w:numId="7" w16cid:durableId="1358896444">
    <w:abstractNumId w:val="12"/>
  </w:num>
  <w:num w:numId="8" w16cid:durableId="2015718031">
    <w:abstractNumId w:val="13"/>
  </w:num>
  <w:num w:numId="9" w16cid:durableId="1469588687">
    <w:abstractNumId w:val="1"/>
  </w:num>
  <w:num w:numId="10" w16cid:durableId="1855076554">
    <w:abstractNumId w:val="14"/>
  </w:num>
  <w:num w:numId="11" w16cid:durableId="1676495964">
    <w:abstractNumId w:val="8"/>
  </w:num>
  <w:num w:numId="12" w16cid:durableId="1458600058">
    <w:abstractNumId w:val="5"/>
  </w:num>
  <w:num w:numId="13" w16cid:durableId="894435903">
    <w:abstractNumId w:val="16"/>
  </w:num>
  <w:num w:numId="14" w16cid:durableId="1933275815">
    <w:abstractNumId w:val="17"/>
  </w:num>
  <w:num w:numId="15" w16cid:durableId="1995795368">
    <w:abstractNumId w:val="10"/>
  </w:num>
  <w:num w:numId="16" w16cid:durableId="185441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1873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004932">
    <w:abstractNumId w:val="3"/>
  </w:num>
  <w:num w:numId="19" w16cid:durableId="809057090">
    <w:abstractNumId w:val="0"/>
  </w:num>
  <w:num w:numId="20" w16cid:durableId="226692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1"/>
    <w:rsid w:val="00005AA6"/>
    <w:rsid w:val="00012CF9"/>
    <w:rsid w:val="0001490D"/>
    <w:rsid w:val="000176C6"/>
    <w:rsid w:val="000227D8"/>
    <w:rsid w:val="00027DA9"/>
    <w:rsid w:val="0003044E"/>
    <w:rsid w:val="00035CAB"/>
    <w:rsid w:val="00042031"/>
    <w:rsid w:val="00045FD3"/>
    <w:rsid w:val="00051532"/>
    <w:rsid w:val="00052999"/>
    <w:rsid w:val="00053716"/>
    <w:rsid w:val="000758BE"/>
    <w:rsid w:val="00075B68"/>
    <w:rsid w:val="00081683"/>
    <w:rsid w:val="00081854"/>
    <w:rsid w:val="00081A65"/>
    <w:rsid w:val="000945DD"/>
    <w:rsid w:val="000B23BE"/>
    <w:rsid w:val="000B3F08"/>
    <w:rsid w:val="000C0013"/>
    <w:rsid w:val="000F57DD"/>
    <w:rsid w:val="000F580D"/>
    <w:rsid w:val="00101788"/>
    <w:rsid w:val="0010393F"/>
    <w:rsid w:val="00115DD1"/>
    <w:rsid w:val="0013415F"/>
    <w:rsid w:val="00134930"/>
    <w:rsid w:val="00135B47"/>
    <w:rsid w:val="001406BD"/>
    <w:rsid w:val="00142B27"/>
    <w:rsid w:val="00185CC1"/>
    <w:rsid w:val="00186519"/>
    <w:rsid w:val="001A6BC8"/>
    <w:rsid w:val="001B3A24"/>
    <w:rsid w:val="001B71BB"/>
    <w:rsid w:val="001D450C"/>
    <w:rsid w:val="001E218E"/>
    <w:rsid w:val="001E3615"/>
    <w:rsid w:val="001E4C34"/>
    <w:rsid w:val="00225E6B"/>
    <w:rsid w:val="00242896"/>
    <w:rsid w:val="0025185A"/>
    <w:rsid w:val="0026304D"/>
    <w:rsid w:val="00266A0C"/>
    <w:rsid w:val="00273546"/>
    <w:rsid w:val="00284EEA"/>
    <w:rsid w:val="002910E1"/>
    <w:rsid w:val="00291FD1"/>
    <w:rsid w:val="00296FAC"/>
    <w:rsid w:val="002A62C9"/>
    <w:rsid w:val="002B6E81"/>
    <w:rsid w:val="002C25AA"/>
    <w:rsid w:val="002D6372"/>
    <w:rsid w:val="002E5FA7"/>
    <w:rsid w:val="002F7C38"/>
    <w:rsid w:val="00313065"/>
    <w:rsid w:val="00314A0C"/>
    <w:rsid w:val="00314EEB"/>
    <w:rsid w:val="00315D9F"/>
    <w:rsid w:val="003238B0"/>
    <w:rsid w:val="00331A7A"/>
    <w:rsid w:val="003354B3"/>
    <w:rsid w:val="00345531"/>
    <w:rsid w:val="0034592F"/>
    <w:rsid w:val="00347FA2"/>
    <w:rsid w:val="00353A32"/>
    <w:rsid w:val="00374B18"/>
    <w:rsid w:val="00385C2C"/>
    <w:rsid w:val="00385FCE"/>
    <w:rsid w:val="0038686D"/>
    <w:rsid w:val="003B3DB8"/>
    <w:rsid w:val="003B4991"/>
    <w:rsid w:val="003D5F57"/>
    <w:rsid w:val="003D6D31"/>
    <w:rsid w:val="004148DA"/>
    <w:rsid w:val="004227A0"/>
    <w:rsid w:val="00446525"/>
    <w:rsid w:val="00463FE9"/>
    <w:rsid w:val="00466DC0"/>
    <w:rsid w:val="004A5189"/>
    <w:rsid w:val="004B3D45"/>
    <w:rsid w:val="004C703E"/>
    <w:rsid w:val="004D305C"/>
    <w:rsid w:val="005030A9"/>
    <w:rsid w:val="00505E26"/>
    <w:rsid w:val="00506CE2"/>
    <w:rsid w:val="005114D9"/>
    <w:rsid w:val="00521FA4"/>
    <w:rsid w:val="0052513C"/>
    <w:rsid w:val="00535674"/>
    <w:rsid w:val="00537733"/>
    <w:rsid w:val="005406E7"/>
    <w:rsid w:val="00545E25"/>
    <w:rsid w:val="00547ABD"/>
    <w:rsid w:val="00555E63"/>
    <w:rsid w:val="00566F67"/>
    <w:rsid w:val="00586FB2"/>
    <w:rsid w:val="005933B9"/>
    <w:rsid w:val="00594E33"/>
    <w:rsid w:val="005A1C28"/>
    <w:rsid w:val="005A3382"/>
    <w:rsid w:val="005B27AE"/>
    <w:rsid w:val="005C0E54"/>
    <w:rsid w:val="005C0F42"/>
    <w:rsid w:val="005D28D4"/>
    <w:rsid w:val="005E247C"/>
    <w:rsid w:val="005E32C0"/>
    <w:rsid w:val="005F1E33"/>
    <w:rsid w:val="005F5936"/>
    <w:rsid w:val="0060000C"/>
    <w:rsid w:val="00624462"/>
    <w:rsid w:val="006277DB"/>
    <w:rsid w:val="0063187A"/>
    <w:rsid w:val="006321D2"/>
    <w:rsid w:val="0065037D"/>
    <w:rsid w:val="00665E74"/>
    <w:rsid w:val="0067044B"/>
    <w:rsid w:val="00672DB8"/>
    <w:rsid w:val="006915B2"/>
    <w:rsid w:val="00692B81"/>
    <w:rsid w:val="00694D58"/>
    <w:rsid w:val="00695C97"/>
    <w:rsid w:val="006A0472"/>
    <w:rsid w:val="006A3B0D"/>
    <w:rsid w:val="006A5EC1"/>
    <w:rsid w:val="006B2DB5"/>
    <w:rsid w:val="006B5992"/>
    <w:rsid w:val="006C2E49"/>
    <w:rsid w:val="006D22D8"/>
    <w:rsid w:val="006D2FE9"/>
    <w:rsid w:val="006D55CA"/>
    <w:rsid w:val="006E5DE8"/>
    <w:rsid w:val="006F0622"/>
    <w:rsid w:val="00740253"/>
    <w:rsid w:val="007402ED"/>
    <w:rsid w:val="0076379F"/>
    <w:rsid w:val="007664B6"/>
    <w:rsid w:val="00784103"/>
    <w:rsid w:val="00785A8A"/>
    <w:rsid w:val="007927FB"/>
    <w:rsid w:val="00793848"/>
    <w:rsid w:val="007A05EA"/>
    <w:rsid w:val="007A436A"/>
    <w:rsid w:val="007B1A74"/>
    <w:rsid w:val="007C06FA"/>
    <w:rsid w:val="007D6E22"/>
    <w:rsid w:val="007E31B9"/>
    <w:rsid w:val="00803174"/>
    <w:rsid w:val="008332F1"/>
    <w:rsid w:val="00833439"/>
    <w:rsid w:val="00837737"/>
    <w:rsid w:val="00837E08"/>
    <w:rsid w:val="0084351A"/>
    <w:rsid w:val="00860E37"/>
    <w:rsid w:val="00861985"/>
    <w:rsid w:val="00864AB7"/>
    <w:rsid w:val="008713D1"/>
    <w:rsid w:val="00871A85"/>
    <w:rsid w:val="008736DD"/>
    <w:rsid w:val="00882B66"/>
    <w:rsid w:val="00887AFB"/>
    <w:rsid w:val="008B1CB2"/>
    <w:rsid w:val="008B5103"/>
    <w:rsid w:val="008B5A9B"/>
    <w:rsid w:val="008B5DD9"/>
    <w:rsid w:val="008C504A"/>
    <w:rsid w:val="008C559B"/>
    <w:rsid w:val="008D2B23"/>
    <w:rsid w:val="008E522D"/>
    <w:rsid w:val="008E5621"/>
    <w:rsid w:val="008F1B22"/>
    <w:rsid w:val="00900829"/>
    <w:rsid w:val="00902995"/>
    <w:rsid w:val="0090458D"/>
    <w:rsid w:val="00907235"/>
    <w:rsid w:val="00911120"/>
    <w:rsid w:val="0092575C"/>
    <w:rsid w:val="00926D10"/>
    <w:rsid w:val="009653BA"/>
    <w:rsid w:val="009960FF"/>
    <w:rsid w:val="009A32E5"/>
    <w:rsid w:val="009A4B82"/>
    <w:rsid w:val="009A595E"/>
    <w:rsid w:val="009A5AF8"/>
    <w:rsid w:val="009B015E"/>
    <w:rsid w:val="009B7066"/>
    <w:rsid w:val="009C2FEA"/>
    <w:rsid w:val="00A135B1"/>
    <w:rsid w:val="00A162A2"/>
    <w:rsid w:val="00A165FC"/>
    <w:rsid w:val="00A2535B"/>
    <w:rsid w:val="00A25E7C"/>
    <w:rsid w:val="00A3013B"/>
    <w:rsid w:val="00A41111"/>
    <w:rsid w:val="00A57209"/>
    <w:rsid w:val="00A72159"/>
    <w:rsid w:val="00A76E7D"/>
    <w:rsid w:val="00AA640D"/>
    <w:rsid w:val="00AB09AF"/>
    <w:rsid w:val="00AC1174"/>
    <w:rsid w:val="00AC28AA"/>
    <w:rsid w:val="00AD4AE6"/>
    <w:rsid w:val="00AE0437"/>
    <w:rsid w:val="00AE1246"/>
    <w:rsid w:val="00AE3562"/>
    <w:rsid w:val="00AF6413"/>
    <w:rsid w:val="00B0127E"/>
    <w:rsid w:val="00B0332D"/>
    <w:rsid w:val="00B105B3"/>
    <w:rsid w:val="00B3037F"/>
    <w:rsid w:val="00B31784"/>
    <w:rsid w:val="00B32AA4"/>
    <w:rsid w:val="00B50D47"/>
    <w:rsid w:val="00B52ACB"/>
    <w:rsid w:val="00B87F2F"/>
    <w:rsid w:val="00B90002"/>
    <w:rsid w:val="00BD39DC"/>
    <w:rsid w:val="00BD4184"/>
    <w:rsid w:val="00BD52F0"/>
    <w:rsid w:val="00BE1700"/>
    <w:rsid w:val="00BF5294"/>
    <w:rsid w:val="00C275A6"/>
    <w:rsid w:val="00C31F00"/>
    <w:rsid w:val="00C34246"/>
    <w:rsid w:val="00C505E1"/>
    <w:rsid w:val="00C66C40"/>
    <w:rsid w:val="00C72F67"/>
    <w:rsid w:val="00CC4C97"/>
    <w:rsid w:val="00CC70EA"/>
    <w:rsid w:val="00CD7C71"/>
    <w:rsid w:val="00CF17A4"/>
    <w:rsid w:val="00D01681"/>
    <w:rsid w:val="00D04BF8"/>
    <w:rsid w:val="00D14F23"/>
    <w:rsid w:val="00D15751"/>
    <w:rsid w:val="00D20A28"/>
    <w:rsid w:val="00D36BBE"/>
    <w:rsid w:val="00D407E4"/>
    <w:rsid w:val="00D4466E"/>
    <w:rsid w:val="00D47903"/>
    <w:rsid w:val="00D8786E"/>
    <w:rsid w:val="00D96952"/>
    <w:rsid w:val="00DA7F57"/>
    <w:rsid w:val="00DB2D7C"/>
    <w:rsid w:val="00DB3205"/>
    <w:rsid w:val="00DB41EC"/>
    <w:rsid w:val="00DC142E"/>
    <w:rsid w:val="00DD1F57"/>
    <w:rsid w:val="00DE49C9"/>
    <w:rsid w:val="00E01B3C"/>
    <w:rsid w:val="00E13AE4"/>
    <w:rsid w:val="00E20876"/>
    <w:rsid w:val="00E243E9"/>
    <w:rsid w:val="00E2707F"/>
    <w:rsid w:val="00E34012"/>
    <w:rsid w:val="00E43904"/>
    <w:rsid w:val="00E5053F"/>
    <w:rsid w:val="00E62E62"/>
    <w:rsid w:val="00E67108"/>
    <w:rsid w:val="00E7257E"/>
    <w:rsid w:val="00E8327E"/>
    <w:rsid w:val="00E8583B"/>
    <w:rsid w:val="00ED367A"/>
    <w:rsid w:val="00EE147B"/>
    <w:rsid w:val="00EF3373"/>
    <w:rsid w:val="00F05982"/>
    <w:rsid w:val="00F167EB"/>
    <w:rsid w:val="00F2296F"/>
    <w:rsid w:val="00F33D25"/>
    <w:rsid w:val="00F41A6A"/>
    <w:rsid w:val="00F45BF8"/>
    <w:rsid w:val="00F54363"/>
    <w:rsid w:val="00F571ED"/>
    <w:rsid w:val="00F727CF"/>
    <w:rsid w:val="00F7462D"/>
    <w:rsid w:val="00F83D9B"/>
    <w:rsid w:val="00F84A5A"/>
    <w:rsid w:val="00F8542B"/>
    <w:rsid w:val="00F92797"/>
    <w:rsid w:val="00F9479E"/>
    <w:rsid w:val="00F95CE3"/>
    <w:rsid w:val="00FB683D"/>
    <w:rsid w:val="00FD15E1"/>
    <w:rsid w:val="00FE023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8652"/>
  <w15:chartTrackingRefBased/>
  <w15:docId w15:val="{4F35B2D9-B4DB-4065-BFAB-A627B8CF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5E"/>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0C0013"/>
    <w:pPr>
      <w:keepNext/>
      <w:overflowPunct w:val="0"/>
      <w:autoSpaceDE w:val="0"/>
      <w:autoSpaceDN w:val="0"/>
      <w:adjustRightInd w:val="0"/>
      <w:spacing w:after="120" w:line="240" w:lineRule="atLeast"/>
      <w:textAlignment w:val="baseline"/>
      <w:outlineLvl w:val="0"/>
    </w:pPr>
    <w:rPr>
      <w:kern w:val="32"/>
      <w:szCs w:val="32"/>
      <w:lang w:val="en-US" w:eastAsia="en-US"/>
    </w:rPr>
  </w:style>
  <w:style w:type="paragraph" w:styleId="Heading2">
    <w:name w:val="heading 2"/>
    <w:basedOn w:val="Normal"/>
    <w:next w:val="Normal"/>
    <w:link w:val="Heading2Char"/>
    <w:uiPriority w:val="9"/>
    <w:semiHidden/>
    <w:unhideWhenUsed/>
    <w:qFormat/>
    <w:rsid w:val="009C2F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F67"/>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72F67"/>
  </w:style>
  <w:style w:type="paragraph" w:styleId="Footer">
    <w:name w:val="footer"/>
    <w:basedOn w:val="Normal"/>
    <w:link w:val="FooterChar"/>
    <w:uiPriority w:val="99"/>
    <w:unhideWhenUsed/>
    <w:rsid w:val="00C72F67"/>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72F67"/>
  </w:style>
  <w:style w:type="paragraph" w:styleId="BalloonText">
    <w:name w:val="Balloon Text"/>
    <w:basedOn w:val="Normal"/>
    <w:link w:val="BalloonTextChar"/>
    <w:uiPriority w:val="99"/>
    <w:semiHidden/>
    <w:unhideWhenUsed/>
    <w:rsid w:val="00DE4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9C9"/>
    <w:rPr>
      <w:rFonts w:ascii="Segoe UI" w:hAnsi="Segoe UI" w:cs="Segoe UI"/>
      <w:sz w:val="18"/>
      <w:szCs w:val="18"/>
    </w:rPr>
  </w:style>
  <w:style w:type="paragraph" w:customStyle="1" w:styleId="xmsonormal">
    <w:name w:val="x_msonormal"/>
    <w:basedOn w:val="Normal"/>
    <w:rsid w:val="007C06FA"/>
    <w:pPr>
      <w:spacing w:before="100" w:beforeAutospacing="1" w:after="100" w:afterAutospacing="1"/>
    </w:pPr>
  </w:style>
  <w:style w:type="paragraph" w:styleId="ListParagraph">
    <w:name w:val="List Paragraph"/>
    <w:basedOn w:val="Normal"/>
    <w:uiPriority w:val="34"/>
    <w:qFormat/>
    <w:rsid w:val="005C0E54"/>
    <w:pPr>
      <w:ind w:left="720"/>
      <w:contextualSpacing/>
    </w:pPr>
  </w:style>
  <w:style w:type="character" w:styleId="Hyperlink">
    <w:name w:val="Hyperlink"/>
    <w:basedOn w:val="DefaultParagraphFont"/>
    <w:uiPriority w:val="99"/>
    <w:unhideWhenUsed/>
    <w:rsid w:val="00E8583B"/>
    <w:rPr>
      <w:color w:val="0563C1" w:themeColor="hyperlink"/>
      <w:u w:val="single"/>
    </w:rPr>
  </w:style>
  <w:style w:type="table" w:customStyle="1" w:styleId="GridTable1Light1">
    <w:name w:val="Grid Table 1 Light1"/>
    <w:basedOn w:val="TableNormal"/>
    <w:uiPriority w:val="46"/>
    <w:rsid w:val="00E8583B"/>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0C0013"/>
    <w:rPr>
      <w:rFonts w:ascii="Times New Roman" w:eastAsia="Times New Roman" w:hAnsi="Times New Roman" w:cs="Times New Roman"/>
      <w:kern w:val="32"/>
      <w:sz w:val="24"/>
      <w:szCs w:val="32"/>
      <w:lang w:val="en-US"/>
    </w:rPr>
  </w:style>
  <w:style w:type="paragraph" w:customStyle="1" w:styleId="BodyCopy">
    <w:name w:val="Body Copy"/>
    <w:basedOn w:val="Normal"/>
    <w:link w:val="BodyCopyChar"/>
    <w:rsid w:val="000C0013"/>
    <w:pPr>
      <w:overflowPunct w:val="0"/>
      <w:autoSpaceDE w:val="0"/>
      <w:autoSpaceDN w:val="0"/>
      <w:adjustRightInd w:val="0"/>
      <w:spacing w:line="280" w:lineRule="exact"/>
      <w:jc w:val="both"/>
      <w:textAlignment w:val="baseline"/>
    </w:pPr>
    <w:rPr>
      <w:rFonts w:ascii="Times" w:hAnsi="Times"/>
      <w:szCs w:val="20"/>
      <w:lang w:val="en-US" w:eastAsia="en-US"/>
    </w:rPr>
  </w:style>
  <w:style w:type="paragraph" w:customStyle="1" w:styleId="IndentedMaterial">
    <w:name w:val="Indented Material"/>
    <w:basedOn w:val="Normal"/>
    <w:rsid w:val="000C0013"/>
    <w:pPr>
      <w:keepNext/>
      <w:overflowPunct w:val="0"/>
      <w:autoSpaceDE w:val="0"/>
      <w:autoSpaceDN w:val="0"/>
      <w:adjustRightInd w:val="0"/>
      <w:spacing w:before="80" w:after="240" w:line="280" w:lineRule="atLeast"/>
      <w:ind w:left="547" w:hanging="547"/>
      <w:jc w:val="both"/>
      <w:textAlignment w:val="baseline"/>
    </w:pPr>
    <w:rPr>
      <w:bCs/>
      <w:szCs w:val="20"/>
      <w:lang w:val="en-US" w:eastAsia="en-US"/>
    </w:rPr>
  </w:style>
  <w:style w:type="character" w:customStyle="1" w:styleId="BodyCopyChar">
    <w:name w:val="Body Copy Char"/>
    <w:link w:val="BodyCopy"/>
    <w:rsid w:val="000C0013"/>
    <w:rPr>
      <w:rFonts w:ascii="Times" w:eastAsia="Times New Roman" w:hAnsi="Times" w:cs="Times New Roman"/>
      <w:sz w:val="24"/>
      <w:szCs w:val="20"/>
      <w:lang w:val="en-US"/>
    </w:rPr>
  </w:style>
  <w:style w:type="paragraph" w:styleId="BodyText">
    <w:name w:val="Body Text"/>
    <w:basedOn w:val="Normal"/>
    <w:link w:val="BodyTextChar"/>
    <w:rsid w:val="000C0013"/>
    <w:pPr>
      <w:overflowPunct w:val="0"/>
      <w:autoSpaceDE w:val="0"/>
      <w:autoSpaceDN w:val="0"/>
      <w:adjustRightInd w:val="0"/>
      <w:spacing w:after="120"/>
      <w:textAlignment w:val="baseline"/>
    </w:pPr>
    <w:rPr>
      <w:szCs w:val="20"/>
      <w:lang w:val="en-US" w:eastAsia="en-US"/>
    </w:rPr>
  </w:style>
  <w:style w:type="character" w:customStyle="1" w:styleId="BodyTextChar">
    <w:name w:val="Body Text Char"/>
    <w:basedOn w:val="DefaultParagraphFont"/>
    <w:link w:val="BodyText"/>
    <w:rsid w:val="000C0013"/>
    <w:rPr>
      <w:rFonts w:ascii="Times New Roman" w:eastAsia="Times New Roman" w:hAnsi="Times New Roman" w:cs="Times New Roman"/>
      <w:sz w:val="24"/>
      <w:szCs w:val="20"/>
      <w:lang w:val="en-US"/>
    </w:rPr>
  </w:style>
  <w:style w:type="paragraph" w:customStyle="1" w:styleId="Subhead">
    <w:name w:val="Subhead"/>
    <w:basedOn w:val="Normal"/>
    <w:rsid w:val="000C0013"/>
    <w:pPr>
      <w:keepNext/>
      <w:overflowPunct w:val="0"/>
      <w:autoSpaceDE w:val="0"/>
      <w:autoSpaceDN w:val="0"/>
      <w:adjustRightInd w:val="0"/>
      <w:spacing w:after="80" w:line="240" w:lineRule="atLeast"/>
      <w:jc w:val="both"/>
      <w:textAlignment w:val="baseline"/>
    </w:pPr>
    <w:rPr>
      <w:b/>
      <w:sz w:val="28"/>
      <w:szCs w:val="20"/>
      <w:lang w:val="en-US" w:eastAsia="en-US"/>
    </w:rPr>
  </w:style>
  <w:style w:type="table" w:styleId="TableGrid">
    <w:name w:val="Table Grid"/>
    <w:basedOn w:val="TableNormal"/>
    <w:uiPriority w:val="39"/>
    <w:rsid w:val="0096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2FEA"/>
    <w:rPr>
      <w:rFonts w:asciiTheme="majorHAnsi" w:eastAsiaTheme="majorEastAsia" w:hAnsiTheme="majorHAnsi" w:cstheme="majorBidi"/>
      <w:color w:val="2E74B5" w:themeColor="accent1" w:themeShade="BF"/>
      <w:sz w:val="26"/>
      <w:szCs w:val="26"/>
      <w:lang w:eastAsia="el-GR"/>
    </w:rPr>
  </w:style>
  <w:style w:type="paragraph" w:styleId="NormalWeb">
    <w:name w:val="Normal (Web)"/>
    <w:basedOn w:val="Normal"/>
    <w:unhideWhenUsed/>
    <w:rsid w:val="009C2FEA"/>
  </w:style>
  <w:style w:type="paragraph" w:customStyle="1" w:styleId="ListBullet1">
    <w:name w:val="List Bullet1"/>
    <w:basedOn w:val="BodyText"/>
    <w:next w:val="ListBullet"/>
    <w:qFormat/>
    <w:rsid w:val="009C2FEA"/>
    <w:pPr>
      <w:numPr>
        <w:numId w:val="9"/>
      </w:numPr>
      <w:tabs>
        <w:tab w:val="clear" w:pos="340"/>
      </w:tabs>
      <w:overflowPunct/>
      <w:autoSpaceDE/>
      <w:autoSpaceDN/>
      <w:adjustRightInd/>
      <w:spacing w:before="60" w:after="60"/>
      <w:ind w:left="720" w:hanging="360"/>
      <w:textAlignment w:val="auto"/>
    </w:pPr>
    <w:rPr>
      <w:rFonts w:ascii="Calibri" w:hAnsi="Calibri"/>
      <w:sz w:val="20"/>
      <w:szCs w:val="22"/>
      <w:lang w:eastAsia="en-AU"/>
    </w:rPr>
  </w:style>
  <w:style w:type="paragraph" w:styleId="ListBullet3">
    <w:name w:val="List Bullet 3"/>
    <w:basedOn w:val="ListBullet"/>
    <w:uiPriority w:val="99"/>
    <w:qFormat/>
    <w:rsid w:val="009C2FEA"/>
    <w:pPr>
      <w:numPr>
        <w:ilvl w:val="2"/>
        <w:numId w:val="9"/>
      </w:numPr>
      <w:tabs>
        <w:tab w:val="clear" w:pos="1020"/>
        <w:tab w:val="num" w:pos="360"/>
      </w:tabs>
      <w:spacing w:before="60" w:after="60"/>
      <w:ind w:left="2160" w:hanging="180"/>
      <w:contextualSpacing w:val="0"/>
    </w:pPr>
    <w:rPr>
      <w:rFonts w:ascii="Calibri" w:hAnsi="Calibri"/>
      <w:sz w:val="20"/>
      <w:szCs w:val="22"/>
      <w:lang w:val="en-US" w:eastAsia="en-AU"/>
    </w:rPr>
  </w:style>
  <w:style w:type="paragraph" w:customStyle="1" w:styleId="ListBullet51">
    <w:name w:val="List Bullet 51"/>
    <w:basedOn w:val="Normal"/>
    <w:next w:val="ListBullet5"/>
    <w:uiPriority w:val="99"/>
    <w:semiHidden/>
    <w:unhideWhenUsed/>
    <w:rsid w:val="009C2FEA"/>
    <w:pPr>
      <w:numPr>
        <w:ilvl w:val="4"/>
        <w:numId w:val="9"/>
      </w:numPr>
      <w:tabs>
        <w:tab w:val="clear" w:pos="1700"/>
      </w:tabs>
      <w:ind w:left="3600" w:hanging="360"/>
      <w:contextualSpacing/>
    </w:pPr>
    <w:rPr>
      <w:rFonts w:ascii="Calibri" w:hAnsi="Calibri"/>
      <w:sz w:val="22"/>
      <w:szCs w:val="22"/>
      <w:lang w:val="en-US" w:eastAsia="en-AU"/>
    </w:rPr>
  </w:style>
  <w:style w:type="paragraph" w:styleId="ListBullet">
    <w:name w:val="List Bullet"/>
    <w:basedOn w:val="Normal"/>
    <w:uiPriority w:val="99"/>
    <w:semiHidden/>
    <w:unhideWhenUsed/>
    <w:rsid w:val="009C2FEA"/>
    <w:pPr>
      <w:numPr>
        <w:numId w:val="10"/>
      </w:numPr>
      <w:contextualSpacing/>
    </w:pPr>
  </w:style>
  <w:style w:type="paragraph" w:styleId="ListBullet5">
    <w:name w:val="List Bullet 5"/>
    <w:basedOn w:val="Normal"/>
    <w:uiPriority w:val="99"/>
    <w:semiHidden/>
    <w:unhideWhenUsed/>
    <w:rsid w:val="009C2FEA"/>
    <w:pPr>
      <w:numPr>
        <w:numId w:val="11"/>
      </w:numPr>
      <w:contextualSpacing/>
    </w:pPr>
  </w:style>
  <w:style w:type="paragraph" w:customStyle="1" w:styleId="AddressBlock">
    <w:name w:val="Address Block"/>
    <w:aliases w:val="ab"/>
    <w:basedOn w:val="Normal"/>
    <w:rsid w:val="008C504A"/>
    <w:pPr>
      <w:tabs>
        <w:tab w:val="right" w:pos="7099"/>
        <w:tab w:val="left" w:pos="7275"/>
      </w:tabs>
      <w:spacing w:line="260" w:lineRule="exact"/>
    </w:pPr>
    <w:rPr>
      <w:sz w:val="22"/>
      <w:szCs w:val="20"/>
      <w:lang w:eastAsia="en-US"/>
    </w:rPr>
  </w:style>
  <w:style w:type="paragraph" w:customStyle="1" w:styleId="Salutation1">
    <w:name w:val="Salutation1"/>
    <w:aliases w:val="sal"/>
    <w:basedOn w:val="Normal"/>
    <w:next w:val="Normal"/>
    <w:rsid w:val="008C504A"/>
    <w:pPr>
      <w:spacing w:after="260" w:line="260" w:lineRule="exact"/>
    </w:pPr>
    <w:rPr>
      <w:sz w:val="22"/>
      <w:szCs w:val="20"/>
      <w:lang w:eastAsia="en-US"/>
    </w:rPr>
  </w:style>
  <w:style w:type="paragraph" w:styleId="BodyTextIndent">
    <w:name w:val="Body Text Indent"/>
    <w:basedOn w:val="Normal"/>
    <w:link w:val="BodyTextIndentChar"/>
    <w:uiPriority w:val="99"/>
    <w:semiHidden/>
    <w:unhideWhenUsed/>
    <w:rsid w:val="00665E74"/>
    <w:pPr>
      <w:spacing w:after="120"/>
      <w:ind w:left="283"/>
    </w:pPr>
  </w:style>
  <w:style w:type="character" w:customStyle="1" w:styleId="BodyTextIndentChar">
    <w:name w:val="Body Text Indent Char"/>
    <w:basedOn w:val="DefaultParagraphFont"/>
    <w:link w:val="BodyTextIndent"/>
    <w:uiPriority w:val="99"/>
    <w:semiHidden/>
    <w:rsid w:val="00665E74"/>
    <w:rPr>
      <w:rFonts w:ascii="Times New Roman" w:eastAsia="Times New Roman" w:hAnsi="Times New Roman" w:cs="Times New Roman"/>
      <w:sz w:val="24"/>
      <w:szCs w:val="24"/>
      <w:lang w:eastAsia="el-GR"/>
    </w:rPr>
  </w:style>
  <w:style w:type="paragraph" w:customStyle="1" w:styleId="Default">
    <w:name w:val="Default"/>
    <w:rsid w:val="00665E74"/>
    <w:pPr>
      <w:autoSpaceDE w:val="0"/>
      <w:autoSpaceDN w:val="0"/>
      <w:adjustRightInd w:val="0"/>
      <w:spacing w:after="0" w:line="240" w:lineRule="auto"/>
    </w:pPr>
    <w:rPr>
      <w:rFonts w:ascii="Calibri" w:hAnsi="Calibri" w:cs="Calibri"/>
      <w:color w:val="000000"/>
      <w:sz w:val="24"/>
      <w:szCs w:val="24"/>
    </w:rPr>
  </w:style>
  <w:style w:type="paragraph" w:customStyle="1" w:styleId="bodybullet1">
    <w:name w:val="body bullet 1"/>
    <w:basedOn w:val="Normal"/>
    <w:rsid w:val="00DB3205"/>
    <w:pPr>
      <w:suppressAutoHyphens/>
      <w:spacing w:line="100" w:lineRule="atLeast"/>
    </w:pPr>
    <w:rPr>
      <w:kern w:val="1"/>
      <w:szCs w:val="20"/>
      <w:lang w:val="en-US" w:eastAsia="ar-SA"/>
    </w:rPr>
  </w:style>
  <w:style w:type="paragraph" w:customStyle="1" w:styleId="a">
    <w:name w:val="Προεπιλογή"/>
    <w:rsid w:val="00F5436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8241">
      <w:bodyDiv w:val="1"/>
      <w:marLeft w:val="0"/>
      <w:marRight w:val="0"/>
      <w:marTop w:val="0"/>
      <w:marBottom w:val="0"/>
      <w:divBdr>
        <w:top w:val="none" w:sz="0" w:space="0" w:color="auto"/>
        <w:left w:val="none" w:sz="0" w:space="0" w:color="auto"/>
        <w:bottom w:val="none" w:sz="0" w:space="0" w:color="auto"/>
        <w:right w:val="none" w:sz="0" w:space="0" w:color="auto"/>
      </w:divBdr>
    </w:div>
    <w:div w:id="181166427">
      <w:bodyDiv w:val="1"/>
      <w:marLeft w:val="0"/>
      <w:marRight w:val="0"/>
      <w:marTop w:val="0"/>
      <w:marBottom w:val="0"/>
      <w:divBdr>
        <w:top w:val="none" w:sz="0" w:space="0" w:color="auto"/>
        <w:left w:val="none" w:sz="0" w:space="0" w:color="auto"/>
        <w:bottom w:val="none" w:sz="0" w:space="0" w:color="auto"/>
        <w:right w:val="none" w:sz="0" w:space="0" w:color="auto"/>
      </w:divBdr>
    </w:div>
    <w:div w:id="353776661">
      <w:bodyDiv w:val="1"/>
      <w:marLeft w:val="0"/>
      <w:marRight w:val="0"/>
      <w:marTop w:val="0"/>
      <w:marBottom w:val="0"/>
      <w:divBdr>
        <w:top w:val="none" w:sz="0" w:space="0" w:color="auto"/>
        <w:left w:val="none" w:sz="0" w:space="0" w:color="auto"/>
        <w:bottom w:val="none" w:sz="0" w:space="0" w:color="auto"/>
        <w:right w:val="none" w:sz="0" w:space="0" w:color="auto"/>
      </w:divBdr>
    </w:div>
    <w:div w:id="412510255">
      <w:bodyDiv w:val="1"/>
      <w:marLeft w:val="0"/>
      <w:marRight w:val="0"/>
      <w:marTop w:val="0"/>
      <w:marBottom w:val="0"/>
      <w:divBdr>
        <w:top w:val="none" w:sz="0" w:space="0" w:color="auto"/>
        <w:left w:val="none" w:sz="0" w:space="0" w:color="auto"/>
        <w:bottom w:val="none" w:sz="0" w:space="0" w:color="auto"/>
        <w:right w:val="none" w:sz="0" w:space="0" w:color="auto"/>
      </w:divBdr>
    </w:div>
    <w:div w:id="780271763">
      <w:bodyDiv w:val="1"/>
      <w:marLeft w:val="0"/>
      <w:marRight w:val="0"/>
      <w:marTop w:val="0"/>
      <w:marBottom w:val="0"/>
      <w:divBdr>
        <w:top w:val="none" w:sz="0" w:space="0" w:color="auto"/>
        <w:left w:val="none" w:sz="0" w:space="0" w:color="auto"/>
        <w:bottom w:val="none" w:sz="0" w:space="0" w:color="auto"/>
        <w:right w:val="none" w:sz="0" w:space="0" w:color="auto"/>
      </w:divBdr>
    </w:div>
    <w:div w:id="834806150">
      <w:bodyDiv w:val="1"/>
      <w:marLeft w:val="0"/>
      <w:marRight w:val="0"/>
      <w:marTop w:val="0"/>
      <w:marBottom w:val="0"/>
      <w:divBdr>
        <w:top w:val="none" w:sz="0" w:space="0" w:color="auto"/>
        <w:left w:val="none" w:sz="0" w:space="0" w:color="auto"/>
        <w:bottom w:val="none" w:sz="0" w:space="0" w:color="auto"/>
        <w:right w:val="none" w:sz="0" w:space="0" w:color="auto"/>
      </w:divBdr>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94677269">
      <w:bodyDiv w:val="1"/>
      <w:marLeft w:val="0"/>
      <w:marRight w:val="0"/>
      <w:marTop w:val="0"/>
      <w:marBottom w:val="0"/>
      <w:divBdr>
        <w:top w:val="none" w:sz="0" w:space="0" w:color="auto"/>
        <w:left w:val="none" w:sz="0" w:space="0" w:color="auto"/>
        <w:bottom w:val="none" w:sz="0" w:space="0" w:color="auto"/>
        <w:right w:val="none" w:sz="0" w:space="0" w:color="auto"/>
      </w:divBdr>
    </w:div>
    <w:div w:id="1340473409">
      <w:bodyDiv w:val="1"/>
      <w:marLeft w:val="0"/>
      <w:marRight w:val="0"/>
      <w:marTop w:val="0"/>
      <w:marBottom w:val="0"/>
      <w:divBdr>
        <w:top w:val="none" w:sz="0" w:space="0" w:color="auto"/>
        <w:left w:val="none" w:sz="0" w:space="0" w:color="auto"/>
        <w:bottom w:val="none" w:sz="0" w:space="0" w:color="auto"/>
        <w:right w:val="none" w:sz="0" w:space="0" w:color="auto"/>
      </w:divBdr>
    </w:div>
    <w:div w:id="1361513955">
      <w:bodyDiv w:val="1"/>
      <w:marLeft w:val="0"/>
      <w:marRight w:val="0"/>
      <w:marTop w:val="0"/>
      <w:marBottom w:val="0"/>
      <w:divBdr>
        <w:top w:val="none" w:sz="0" w:space="0" w:color="auto"/>
        <w:left w:val="none" w:sz="0" w:space="0" w:color="auto"/>
        <w:bottom w:val="none" w:sz="0" w:space="0" w:color="auto"/>
        <w:right w:val="none" w:sz="0" w:space="0" w:color="auto"/>
      </w:divBdr>
    </w:div>
    <w:div w:id="1590116484">
      <w:bodyDiv w:val="1"/>
      <w:marLeft w:val="0"/>
      <w:marRight w:val="0"/>
      <w:marTop w:val="0"/>
      <w:marBottom w:val="0"/>
      <w:divBdr>
        <w:top w:val="none" w:sz="0" w:space="0" w:color="auto"/>
        <w:left w:val="none" w:sz="0" w:space="0" w:color="auto"/>
        <w:bottom w:val="none" w:sz="0" w:space="0" w:color="auto"/>
        <w:right w:val="none" w:sz="0" w:space="0" w:color="auto"/>
      </w:divBdr>
    </w:div>
    <w:div w:id="1625040227">
      <w:bodyDiv w:val="1"/>
      <w:marLeft w:val="0"/>
      <w:marRight w:val="0"/>
      <w:marTop w:val="0"/>
      <w:marBottom w:val="0"/>
      <w:divBdr>
        <w:top w:val="none" w:sz="0" w:space="0" w:color="auto"/>
        <w:left w:val="none" w:sz="0" w:space="0" w:color="auto"/>
        <w:bottom w:val="none" w:sz="0" w:space="0" w:color="auto"/>
        <w:right w:val="none" w:sz="0" w:space="0" w:color="auto"/>
      </w:divBdr>
    </w:div>
    <w:div w:id="1651208580">
      <w:bodyDiv w:val="1"/>
      <w:marLeft w:val="0"/>
      <w:marRight w:val="0"/>
      <w:marTop w:val="0"/>
      <w:marBottom w:val="0"/>
      <w:divBdr>
        <w:top w:val="none" w:sz="0" w:space="0" w:color="auto"/>
        <w:left w:val="none" w:sz="0" w:space="0" w:color="auto"/>
        <w:bottom w:val="none" w:sz="0" w:space="0" w:color="auto"/>
        <w:right w:val="none" w:sz="0" w:space="0" w:color="auto"/>
      </w:divBdr>
    </w:div>
    <w:div w:id="1817332503">
      <w:bodyDiv w:val="1"/>
      <w:marLeft w:val="0"/>
      <w:marRight w:val="0"/>
      <w:marTop w:val="0"/>
      <w:marBottom w:val="0"/>
      <w:divBdr>
        <w:top w:val="none" w:sz="0" w:space="0" w:color="auto"/>
        <w:left w:val="none" w:sz="0" w:space="0" w:color="auto"/>
        <w:bottom w:val="none" w:sz="0" w:space="0" w:color="auto"/>
        <w:right w:val="none" w:sz="0" w:space="0" w:color="auto"/>
      </w:divBdr>
    </w:div>
    <w:div w:id="1937707131">
      <w:bodyDiv w:val="1"/>
      <w:marLeft w:val="0"/>
      <w:marRight w:val="0"/>
      <w:marTop w:val="0"/>
      <w:marBottom w:val="0"/>
      <w:divBdr>
        <w:top w:val="none" w:sz="0" w:space="0" w:color="auto"/>
        <w:left w:val="none" w:sz="0" w:space="0" w:color="auto"/>
        <w:bottom w:val="none" w:sz="0" w:space="0" w:color="auto"/>
        <w:right w:val="none" w:sz="0" w:space="0" w:color="auto"/>
      </w:divBdr>
    </w:div>
    <w:div w:id="19941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835</Words>
  <Characters>4763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Vassilis Koloniaris</cp:lastModifiedBy>
  <cp:revision>4</cp:revision>
  <cp:lastPrinted>2022-11-07T10:27:00Z</cp:lastPrinted>
  <dcterms:created xsi:type="dcterms:W3CDTF">2024-09-30T06:51:00Z</dcterms:created>
  <dcterms:modified xsi:type="dcterms:W3CDTF">2024-09-30T10:59:00Z</dcterms:modified>
</cp:coreProperties>
</file>