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6F35" w14:textId="77777777" w:rsidR="006B497A" w:rsidRPr="00A259FF" w:rsidRDefault="006B497A" w:rsidP="006B497A">
      <w:pPr>
        <w:ind w:right="-1091"/>
        <w:jc w:val="right"/>
        <w:rPr>
          <w:lang w:val="el-GR"/>
        </w:rPr>
      </w:pPr>
    </w:p>
    <w:p w14:paraId="3FC0D591" w14:textId="77777777" w:rsidR="006B497A" w:rsidRDefault="006B497A" w:rsidP="006B497A">
      <w:pPr>
        <w:ind w:right="43"/>
        <w:jc w:val="right"/>
      </w:pPr>
    </w:p>
    <w:p w14:paraId="1CD32D4E" w14:textId="6D758E88" w:rsidR="006B497A" w:rsidRDefault="006B497A" w:rsidP="006B497A">
      <w:pPr>
        <w:ind w:right="43"/>
        <w:jc w:val="right"/>
      </w:pPr>
      <w:r>
        <w:t>Athens</w:t>
      </w:r>
      <w:r w:rsidRPr="00FA5C4A">
        <w:t xml:space="preserve">, </w:t>
      </w:r>
      <w:r w:rsidR="00753E7F" w:rsidRPr="00AD5F59">
        <w:t>2</w:t>
      </w:r>
      <w:r w:rsidR="00AF7AA2">
        <w:t>2</w:t>
      </w:r>
      <w:r w:rsidR="00AF7AA2" w:rsidRPr="00AF7AA2">
        <w:rPr>
          <w:vertAlign w:val="superscript"/>
        </w:rPr>
        <w:t>nd</w:t>
      </w:r>
      <w:r w:rsidR="00AF7AA2">
        <w:t>,</w:t>
      </w:r>
      <w:r w:rsidR="0086217F">
        <w:t xml:space="preserve"> </w:t>
      </w:r>
      <w:r w:rsidR="00753E7F">
        <w:t>May</w:t>
      </w:r>
      <w:r w:rsidR="009463CF">
        <w:t xml:space="preserve"> 2024</w:t>
      </w:r>
    </w:p>
    <w:p w14:paraId="5EAAC80C" w14:textId="77777777" w:rsidR="006B497A" w:rsidRPr="00B87567" w:rsidRDefault="006B497A" w:rsidP="006B497A">
      <w:pPr>
        <w:ind w:right="43"/>
        <w:jc w:val="right"/>
      </w:pPr>
    </w:p>
    <w:p w14:paraId="6C7DD649" w14:textId="77777777" w:rsidR="006B497A" w:rsidRPr="00FA5C4A" w:rsidRDefault="006B497A" w:rsidP="006B497A">
      <w:pPr>
        <w:ind w:right="43"/>
        <w:jc w:val="right"/>
      </w:pPr>
    </w:p>
    <w:p w14:paraId="32929D44" w14:textId="77777777" w:rsidR="006B497A" w:rsidRPr="00FA5C4A" w:rsidRDefault="006B497A" w:rsidP="006B497A">
      <w:pPr>
        <w:ind w:right="43"/>
        <w:jc w:val="center"/>
        <w:rPr>
          <w:b/>
          <w:u w:val="single"/>
        </w:rPr>
      </w:pPr>
    </w:p>
    <w:p w14:paraId="3DA7FF2A" w14:textId="7583B1CF" w:rsidR="006B497A" w:rsidRPr="00B87567" w:rsidRDefault="00A259FF" w:rsidP="006B497A">
      <w:pPr>
        <w:tabs>
          <w:tab w:val="left" w:pos="567"/>
        </w:tabs>
        <w:ind w:right="43"/>
        <w:jc w:val="center"/>
        <w:rPr>
          <w:b/>
          <w:sz w:val="24"/>
        </w:rPr>
      </w:pPr>
      <w:r>
        <w:rPr>
          <w:b/>
          <w:sz w:val="24"/>
        </w:rPr>
        <w:t>UPDATE</w:t>
      </w:r>
      <w:r w:rsidR="00653CD6">
        <w:rPr>
          <w:b/>
          <w:sz w:val="24"/>
        </w:rPr>
        <w:t xml:space="preserve"> OF </w:t>
      </w:r>
      <w:r w:rsidR="006B497A">
        <w:rPr>
          <w:b/>
          <w:sz w:val="24"/>
        </w:rPr>
        <w:t xml:space="preserve">FINANCIAL </w:t>
      </w:r>
      <w:r w:rsidR="006B497A" w:rsidRPr="008274C3">
        <w:rPr>
          <w:b/>
          <w:sz w:val="24"/>
        </w:rPr>
        <w:t>CALENDAR FOR THE YEAR 20</w:t>
      </w:r>
      <w:r w:rsidR="006B497A">
        <w:rPr>
          <w:b/>
          <w:sz w:val="24"/>
        </w:rPr>
        <w:t>2</w:t>
      </w:r>
      <w:r w:rsidR="009463CF">
        <w:rPr>
          <w:b/>
          <w:sz w:val="24"/>
        </w:rPr>
        <w:t>4</w:t>
      </w:r>
    </w:p>
    <w:p w14:paraId="70F4B058" w14:textId="77777777" w:rsidR="006B497A" w:rsidRPr="00FA5C4A" w:rsidRDefault="006B497A" w:rsidP="0086217F">
      <w:pPr>
        <w:tabs>
          <w:tab w:val="left" w:pos="567"/>
        </w:tabs>
        <w:spacing w:before="120"/>
        <w:ind w:right="45"/>
        <w:jc w:val="center"/>
        <w:rPr>
          <w:b/>
          <w:u w:val="single"/>
        </w:rPr>
      </w:pPr>
    </w:p>
    <w:p w14:paraId="2AC61483" w14:textId="5837C9FD" w:rsidR="0086217F" w:rsidRDefault="0086217F" w:rsidP="0086217F">
      <w:pPr>
        <w:tabs>
          <w:tab w:val="left" w:pos="567"/>
        </w:tabs>
        <w:spacing w:before="120"/>
        <w:ind w:right="45"/>
        <w:jc w:val="both"/>
      </w:pPr>
      <w:r>
        <w:t>BriQ Properties REIC in the context of the correct, valid and in time information to the investment community announces the following change</w:t>
      </w:r>
      <w:r w:rsidR="00156D59">
        <w:t>s</w:t>
      </w:r>
      <w:r>
        <w:t xml:space="preserve"> to the financial calendar 2024: </w:t>
      </w:r>
    </w:p>
    <w:p w14:paraId="457DF72C" w14:textId="5E31D5F6" w:rsidR="00156D59" w:rsidRDefault="00156D59" w:rsidP="0086217F">
      <w:pPr>
        <w:pStyle w:val="ListParagraph"/>
        <w:numPr>
          <w:ilvl w:val="0"/>
          <w:numId w:val="4"/>
        </w:numPr>
        <w:tabs>
          <w:tab w:val="left" w:pos="567"/>
        </w:tabs>
        <w:spacing w:before="120"/>
        <w:ind w:left="284" w:right="45" w:hanging="142"/>
        <w:jc w:val="both"/>
      </w:pPr>
      <w:r>
        <w:t xml:space="preserve">The cut-off date for the payment of the dividend for the fiscal year </w:t>
      </w:r>
      <w:r w:rsidRPr="00B87567">
        <w:t>202</w:t>
      </w:r>
      <w:r>
        <w:t xml:space="preserve">3 is set for </w:t>
      </w:r>
      <w:r w:rsidRPr="00753E7F">
        <w:rPr>
          <w:b/>
          <w:bCs/>
        </w:rPr>
        <w:t>Wednesday, 12 June 2024</w:t>
      </w:r>
      <w:r>
        <w:t>.</w:t>
      </w:r>
    </w:p>
    <w:p w14:paraId="07873CBD" w14:textId="7C5508DC" w:rsidR="00156D59" w:rsidRDefault="00156D59" w:rsidP="0086217F">
      <w:pPr>
        <w:pStyle w:val="ListParagraph"/>
        <w:numPr>
          <w:ilvl w:val="0"/>
          <w:numId w:val="4"/>
        </w:numPr>
        <w:tabs>
          <w:tab w:val="left" w:pos="567"/>
        </w:tabs>
        <w:spacing w:before="120"/>
        <w:ind w:left="284" w:right="45" w:hanging="142"/>
        <w:jc w:val="both"/>
      </w:pPr>
      <w:r>
        <w:t xml:space="preserve">The determination of dividend beneficiaries (Record Date) is set for </w:t>
      </w:r>
      <w:r w:rsidRPr="00753E7F">
        <w:rPr>
          <w:b/>
          <w:bCs/>
        </w:rPr>
        <w:t>Thursday, 13 June 2024</w:t>
      </w:r>
      <w:r>
        <w:t>.</w:t>
      </w:r>
    </w:p>
    <w:p w14:paraId="76097B88" w14:textId="39EFAAB5" w:rsidR="00156D59" w:rsidRDefault="00156D59" w:rsidP="0086217F">
      <w:pPr>
        <w:pStyle w:val="ListParagraph"/>
        <w:numPr>
          <w:ilvl w:val="0"/>
          <w:numId w:val="4"/>
        </w:numPr>
        <w:tabs>
          <w:tab w:val="left" w:pos="567"/>
        </w:tabs>
        <w:spacing w:before="120"/>
        <w:ind w:left="284" w:right="45" w:hanging="142"/>
        <w:jc w:val="both"/>
      </w:pPr>
      <w:r>
        <w:t xml:space="preserve">The </w:t>
      </w:r>
      <w:r w:rsidR="00753E7F">
        <w:t xml:space="preserve">day of </w:t>
      </w:r>
      <w:r>
        <w:t>dividend payment</w:t>
      </w:r>
      <w:r w:rsidRPr="00156D59">
        <w:t xml:space="preserve"> </w:t>
      </w:r>
      <w:r>
        <w:t xml:space="preserve">is set for Friday, </w:t>
      </w:r>
      <w:r w:rsidRPr="00753E7F">
        <w:rPr>
          <w:b/>
          <w:bCs/>
        </w:rPr>
        <w:t>18 June 2024</w:t>
      </w:r>
      <w:r>
        <w:t>.</w:t>
      </w:r>
    </w:p>
    <w:p w14:paraId="461FCD13" w14:textId="194357F4" w:rsidR="00753E7F" w:rsidRDefault="00753E7F" w:rsidP="0086217F">
      <w:pPr>
        <w:pStyle w:val="ListParagraph"/>
        <w:numPr>
          <w:ilvl w:val="0"/>
          <w:numId w:val="4"/>
        </w:numPr>
        <w:tabs>
          <w:tab w:val="left" w:pos="567"/>
        </w:tabs>
        <w:spacing w:before="120"/>
        <w:ind w:left="284" w:right="45" w:hanging="142"/>
        <w:jc w:val="both"/>
      </w:pPr>
      <w:r>
        <w:t>The day of the p</w:t>
      </w:r>
      <w:r w:rsidRPr="00F151CA">
        <w:t xml:space="preserve">ublication of the Interim Financial Report of the period from January 1st to June 30th, </w:t>
      </w:r>
      <w:proofErr w:type="gramStart"/>
      <w:r w:rsidRPr="00F151CA">
        <w:t>20</w:t>
      </w:r>
      <w:r>
        <w:t>24</w:t>
      </w:r>
      <w:proofErr w:type="gramEnd"/>
      <w:r>
        <w:t xml:space="preserve"> is set for Friday, </w:t>
      </w:r>
      <w:r w:rsidRPr="00753E7F">
        <w:rPr>
          <w:b/>
          <w:bCs/>
        </w:rPr>
        <w:t>09 August 2024</w:t>
      </w:r>
      <w:r>
        <w:t>.</w:t>
      </w:r>
    </w:p>
    <w:p w14:paraId="3DECC3AE" w14:textId="65E2047C" w:rsidR="0086217F" w:rsidRDefault="0086217F" w:rsidP="0086217F">
      <w:pPr>
        <w:tabs>
          <w:tab w:val="left" w:pos="567"/>
        </w:tabs>
        <w:spacing w:before="120"/>
        <w:ind w:right="45"/>
        <w:jc w:val="both"/>
      </w:pPr>
      <w:r>
        <w:t>Therefore, the Company's Financial Calendar for the year 2024, in accordance with articles 4.1.2. and 4.1.3.15.1. of the Athens Exchange Regulation, has been amended as follows:</w:t>
      </w:r>
    </w:p>
    <w:p w14:paraId="7835FE3C" w14:textId="77777777" w:rsidR="006B497A" w:rsidRDefault="006B497A" w:rsidP="006B497A">
      <w:pPr>
        <w:tabs>
          <w:tab w:val="left" w:pos="567"/>
        </w:tabs>
        <w:ind w:right="43"/>
      </w:pPr>
    </w:p>
    <w:tbl>
      <w:tblPr>
        <w:tblStyle w:val="TableGrid"/>
        <w:tblW w:w="854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5841"/>
      </w:tblGrid>
      <w:tr w:rsidR="006B497A" w:rsidRPr="005B2CB5" w14:paraId="57DE50C5" w14:textId="77777777" w:rsidTr="00156D59">
        <w:trPr>
          <w:trHeight w:val="435"/>
        </w:trPr>
        <w:tc>
          <w:tcPr>
            <w:tcW w:w="2708" w:type="dxa"/>
            <w:shd w:val="clear" w:color="auto" w:fill="auto"/>
            <w:vAlign w:val="center"/>
          </w:tcPr>
          <w:p w14:paraId="4A673BC2" w14:textId="7E117421" w:rsidR="006B497A" w:rsidRPr="001E6F90" w:rsidRDefault="009463CF" w:rsidP="00156D59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after="60" w:line="264" w:lineRule="auto"/>
              <w:ind w:right="-115" w:hanging="720"/>
              <w:rPr>
                <w:b/>
              </w:rPr>
            </w:pPr>
            <w:r w:rsidRPr="009463CF">
              <w:rPr>
                <w:b/>
              </w:rPr>
              <w:t>Thursday</w:t>
            </w:r>
            <w:r>
              <w:rPr>
                <w:b/>
                <w:lang w:val="el-GR"/>
              </w:rPr>
              <w:t xml:space="preserve"> </w:t>
            </w:r>
            <w:r w:rsidR="006B497A">
              <w:rPr>
                <w:b/>
              </w:rPr>
              <w:t>2</w:t>
            </w:r>
            <w:r>
              <w:rPr>
                <w:b/>
              </w:rPr>
              <w:t>8</w:t>
            </w:r>
            <w:r w:rsidR="006B497A">
              <w:rPr>
                <w:b/>
              </w:rPr>
              <w:t>.03.202</w:t>
            </w:r>
            <w:r>
              <w:rPr>
                <w:b/>
              </w:rPr>
              <w:t>4</w:t>
            </w:r>
            <w:r w:rsidR="006B497A" w:rsidRPr="001E6F90">
              <w:rPr>
                <w:b/>
              </w:rPr>
              <w:t>:</w:t>
            </w:r>
          </w:p>
        </w:tc>
        <w:tc>
          <w:tcPr>
            <w:tcW w:w="5841" w:type="dxa"/>
            <w:shd w:val="clear" w:color="auto" w:fill="auto"/>
          </w:tcPr>
          <w:p w14:paraId="756C53F8" w14:textId="336DA089" w:rsidR="006B497A" w:rsidRDefault="006B497A" w:rsidP="006B497A">
            <w:pPr>
              <w:ind w:right="45"/>
              <w:jc w:val="both"/>
            </w:pPr>
            <w:r>
              <w:t>Announcement (Press Release) of the financial results for the year 202</w:t>
            </w:r>
            <w:r w:rsidR="009463CF">
              <w:t>3</w:t>
            </w:r>
          </w:p>
        </w:tc>
      </w:tr>
      <w:tr w:rsidR="006B497A" w:rsidRPr="005B2CB5" w14:paraId="379600AA" w14:textId="77777777" w:rsidTr="00156D59">
        <w:trPr>
          <w:trHeight w:val="378"/>
        </w:trPr>
        <w:tc>
          <w:tcPr>
            <w:tcW w:w="2708" w:type="dxa"/>
            <w:shd w:val="clear" w:color="auto" w:fill="auto"/>
            <w:vAlign w:val="center"/>
          </w:tcPr>
          <w:p w14:paraId="06CD8331" w14:textId="3942B883" w:rsidR="006B497A" w:rsidRDefault="00B0726C" w:rsidP="00156D59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after="60" w:line="264" w:lineRule="auto"/>
              <w:ind w:right="43" w:hanging="720"/>
              <w:rPr>
                <w:b/>
              </w:rPr>
            </w:pPr>
            <w:r>
              <w:rPr>
                <w:b/>
              </w:rPr>
              <w:t>Friday</w:t>
            </w:r>
            <w:r w:rsidR="006B497A">
              <w:rPr>
                <w:b/>
              </w:rPr>
              <w:t xml:space="preserve"> </w:t>
            </w:r>
            <w:r w:rsidR="009463CF">
              <w:rPr>
                <w:b/>
              </w:rPr>
              <w:t>2</w:t>
            </w:r>
            <w:r>
              <w:rPr>
                <w:b/>
              </w:rPr>
              <w:t>9</w:t>
            </w:r>
            <w:r w:rsidR="006B497A">
              <w:rPr>
                <w:b/>
              </w:rPr>
              <w:t>.03.202</w:t>
            </w:r>
            <w:r w:rsidR="009463CF">
              <w:rPr>
                <w:b/>
              </w:rPr>
              <w:t>4</w:t>
            </w:r>
            <w:r w:rsidR="006B497A">
              <w:rPr>
                <w:b/>
              </w:rPr>
              <w:t>:</w:t>
            </w:r>
          </w:p>
        </w:tc>
        <w:tc>
          <w:tcPr>
            <w:tcW w:w="5841" w:type="dxa"/>
            <w:shd w:val="clear" w:color="auto" w:fill="auto"/>
          </w:tcPr>
          <w:p w14:paraId="152E9850" w14:textId="55078615" w:rsidR="006B497A" w:rsidRDefault="006B497A" w:rsidP="006B497A">
            <w:pPr>
              <w:ind w:right="45"/>
              <w:jc w:val="both"/>
            </w:pPr>
            <w:r w:rsidRPr="00F151CA">
              <w:t xml:space="preserve">Publication of the Annual Financial Report for the </w:t>
            </w:r>
            <w:r>
              <w:t xml:space="preserve">fiscal </w:t>
            </w:r>
            <w:r w:rsidRPr="00F151CA">
              <w:t>year 20</w:t>
            </w:r>
            <w:r>
              <w:t>2</w:t>
            </w:r>
            <w:r w:rsidR="009463CF">
              <w:t>3</w:t>
            </w:r>
          </w:p>
        </w:tc>
      </w:tr>
      <w:tr w:rsidR="006B497A" w:rsidRPr="00032071" w14:paraId="51817796" w14:textId="77777777" w:rsidTr="00156D59">
        <w:trPr>
          <w:trHeight w:val="498"/>
        </w:trPr>
        <w:tc>
          <w:tcPr>
            <w:tcW w:w="2708" w:type="dxa"/>
            <w:shd w:val="clear" w:color="auto" w:fill="auto"/>
            <w:vAlign w:val="center"/>
          </w:tcPr>
          <w:p w14:paraId="10A45E2A" w14:textId="7DBE5B31" w:rsidR="006B497A" w:rsidRDefault="00B0726C" w:rsidP="00156D59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after="60" w:line="264" w:lineRule="auto"/>
              <w:ind w:right="43" w:hanging="720"/>
              <w:rPr>
                <w:b/>
              </w:rPr>
            </w:pPr>
            <w:r>
              <w:rPr>
                <w:b/>
              </w:rPr>
              <w:t>Tuesday</w:t>
            </w:r>
            <w:r w:rsidR="006B497A">
              <w:rPr>
                <w:b/>
              </w:rPr>
              <w:t xml:space="preserve"> </w:t>
            </w:r>
            <w:r>
              <w:rPr>
                <w:b/>
              </w:rPr>
              <w:t>02</w:t>
            </w:r>
            <w:r w:rsidR="006B497A">
              <w:rPr>
                <w:b/>
              </w:rPr>
              <w:t>.0</w:t>
            </w:r>
            <w:r>
              <w:rPr>
                <w:b/>
              </w:rPr>
              <w:t>4</w:t>
            </w:r>
            <w:r w:rsidR="006B497A">
              <w:rPr>
                <w:b/>
              </w:rPr>
              <w:t>.202</w:t>
            </w:r>
            <w:r w:rsidR="009463CF">
              <w:rPr>
                <w:b/>
              </w:rPr>
              <w:t>4</w:t>
            </w:r>
            <w:r w:rsidR="006B497A">
              <w:rPr>
                <w:b/>
              </w:rPr>
              <w:t>:</w:t>
            </w:r>
          </w:p>
        </w:tc>
        <w:tc>
          <w:tcPr>
            <w:tcW w:w="5841" w:type="dxa"/>
            <w:shd w:val="clear" w:color="auto" w:fill="auto"/>
          </w:tcPr>
          <w:p w14:paraId="0CBD3406" w14:textId="1DC77809" w:rsidR="006B497A" w:rsidRPr="00F151CA" w:rsidRDefault="006B497A" w:rsidP="006B497A">
            <w:pPr>
              <w:ind w:right="45"/>
              <w:jc w:val="both"/>
            </w:pPr>
            <w:r w:rsidRPr="005B2CB5">
              <w:t xml:space="preserve">Annual briefing </w:t>
            </w:r>
            <w:r>
              <w:t>to</w:t>
            </w:r>
            <w:r w:rsidRPr="005B2CB5">
              <w:t xml:space="preserve"> analysts</w:t>
            </w:r>
            <w:r w:rsidR="00E71BAF">
              <w:t xml:space="preserve">, investors and public </w:t>
            </w:r>
            <w:r w:rsidRPr="005B2CB5">
              <w:t>on the financial data for the year 202</w:t>
            </w:r>
            <w:r w:rsidR="009463CF">
              <w:t>3</w:t>
            </w:r>
            <w:r>
              <w:t xml:space="preserve"> </w:t>
            </w:r>
            <w:r w:rsidRPr="005B2CB5">
              <w:t>(Conference Call).</w:t>
            </w:r>
          </w:p>
        </w:tc>
      </w:tr>
      <w:tr w:rsidR="006B497A" w:rsidRPr="005B2CB5" w14:paraId="7E328F74" w14:textId="77777777" w:rsidTr="00156D59">
        <w:trPr>
          <w:trHeight w:val="445"/>
        </w:trPr>
        <w:tc>
          <w:tcPr>
            <w:tcW w:w="2708" w:type="dxa"/>
            <w:shd w:val="clear" w:color="auto" w:fill="auto"/>
            <w:vAlign w:val="center"/>
          </w:tcPr>
          <w:p w14:paraId="6ED5922D" w14:textId="1294A5CA" w:rsidR="006B497A" w:rsidRPr="001E6F90" w:rsidRDefault="0086217F" w:rsidP="00156D59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after="60" w:line="264" w:lineRule="auto"/>
              <w:ind w:right="43" w:hanging="720"/>
              <w:rPr>
                <w:b/>
              </w:rPr>
            </w:pPr>
            <w:r>
              <w:rPr>
                <w:b/>
              </w:rPr>
              <w:t>Tuesday</w:t>
            </w:r>
            <w:r w:rsidR="006B497A">
              <w:rPr>
                <w:b/>
              </w:rPr>
              <w:t xml:space="preserve"> </w:t>
            </w:r>
            <w:r>
              <w:rPr>
                <w:b/>
              </w:rPr>
              <w:t>30</w:t>
            </w:r>
            <w:r w:rsidR="006B497A">
              <w:rPr>
                <w:b/>
              </w:rPr>
              <w:t>.04.202</w:t>
            </w:r>
            <w:r w:rsidR="009463CF">
              <w:rPr>
                <w:b/>
              </w:rPr>
              <w:t>4</w:t>
            </w:r>
            <w:r w:rsidR="006B497A" w:rsidRPr="001E6F90">
              <w:rPr>
                <w:b/>
              </w:rPr>
              <w:t>:</w:t>
            </w:r>
          </w:p>
        </w:tc>
        <w:tc>
          <w:tcPr>
            <w:tcW w:w="5841" w:type="dxa"/>
            <w:shd w:val="clear" w:color="auto" w:fill="auto"/>
          </w:tcPr>
          <w:p w14:paraId="1255BCA4" w14:textId="77777777" w:rsidR="006B497A" w:rsidRDefault="006B497A" w:rsidP="006B497A">
            <w:pPr>
              <w:tabs>
                <w:tab w:val="left" w:pos="567"/>
              </w:tabs>
              <w:ind w:right="43"/>
              <w:jc w:val="both"/>
            </w:pPr>
            <w:r>
              <w:t>Annual</w:t>
            </w:r>
            <w:r w:rsidRPr="00FA5C4A">
              <w:t xml:space="preserve"> </w:t>
            </w:r>
            <w:r>
              <w:t xml:space="preserve">Ordinary </w:t>
            </w:r>
            <w:r w:rsidRPr="00FA5C4A">
              <w:t>General Shareholders Meeting</w:t>
            </w:r>
          </w:p>
        </w:tc>
      </w:tr>
      <w:tr w:rsidR="006B497A" w:rsidRPr="005B2CB5" w14:paraId="0E4DC0F6" w14:textId="77777777" w:rsidTr="00156D59">
        <w:trPr>
          <w:trHeight w:val="445"/>
        </w:trPr>
        <w:tc>
          <w:tcPr>
            <w:tcW w:w="2708" w:type="dxa"/>
            <w:shd w:val="clear" w:color="auto" w:fill="auto"/>
            <w:vAlign w:val="center"/>
          </w:tcPr>
          <w:p w14:paraId="74B657F6" w14:textId="1F9C208B" w:rsidR="006B497A" w:rsidRPr="001E6F90" w:rsidRDefault="009463CF" w:rsidP="00156D59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after="60" w:line="264" w:lineRule="auto"/>
              <w:ind w:right="43" w:hanging="720"/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156D59">
              <w:rPr>
                <w:b/>
                <w:lang w:val="el-GR"/>
              </w:rPr>
              <w:t>12</w:t>
            </w:r>
            <w:r w:rsidR="006B497A">
              <w:rPr>
                <w:b/>
              </w:rPr>
              <w:t>.0</w:t>
            </w:r>
            <w:r w:rsidR="00156D59">
              <w:rPr>
                <w:b/>
                <w:lang w:val="el-GR"/>
              </w:rPr>
              <w:t>6</w:t>
            </w:r>
            <w:r w:rsidR="006B497A">
              <w:rPr>
                <w:b/>
              </w:rPr>
              <w:t>.202</w:t>
            </w:r>
            <w:r>
              <w:rPr>
                <w:b/>
              </w:rPr>
              <w:t>4</w:t>
            </w:r>
            <w:r w:rsidR="006B497A">
              <w:rPr>
                <w:b/>
              </w:rPr>
              <w:t>:</w:t>
            </w:r>
          </w:p>
        </w:tc>
        <w:tc>
          <w:tcPr>
            <w:tcW w:w="5841" w:type="dxa"/>
            <w:shd w:val="clear" w:color="auto" w:fill="auto"/>
          </w:tcPr>
          <w:p w14:paraId="12597E44" w14:textId="1B52F3E5" w:rsidR="006B497A" w:rsidRPr="00B87567" w:rsidRDefault="006B497A" w:rsidP="006B497A">
            <w:pPr>
              <w:tabs>
                <w:tab w:val="left" w:pos="567"/>
              </w:tabs>
              <w:ind w:right="43"/>
              <w:jc w:val="both"/>
            </w:pPr>
            <w:r>
              <w:t xml:space="preserve">Cut-off date for the payment of the dividend for the fiscal year </w:t>
            </w:r>
            <w:r w:rsidRPr="00B87567">
              <w:t>202</w:t>
            </w:r>
            <w:r w:rsidR="009463CF">
              <w:t>3</w:t>
            </w:r>
          </w:p>
        </w:tc>
      </w:tr>
      <w:tr w:rsidR="006B497A" w:rsidRPr="00032071" w14:paraId="212EBC24" w14:textId="77777777" w:rsidTr="00156D59">
        <w:trPr>
          <w:trHeight w:val="445"/>
        </w:trPr>
        <w:tc>
          <w:tcPr>
            <w:tcW w:w="2708" w:type="dxa"/>
            <w:shd w:val="clear" w:color="auto" w:fill="auto"/>
            <w:vAlign w:val="center"/>
          </w:tcPr>
          <w:p w14:paraId="57F05111" w14:textId="30F33F87" w:rsidR="006B497A" w:rsidRPr="001E6F90" w:rsidRDefault="009463CF" w:rsidP="00156D59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after="60" w:line="264" w:lineRule="auto"/>
              <w:ind w:right="43" w:hanging="720"/>
              <w:rPr>
                <w:b/>
              </w:rPr>
            </w:pPr>
            <w:r>
              <w:rPr>
                <w:b/>
              </w:rPr>
              <w:t xml:space="preserve">Thursday </w:t>
            </w:r>
            <w:r w:rsidR="00156D59">
              <w:rPr>
                <w:b/>
                <w:lang w:val="el-GR"/>
              </w:rPr>
              <w:t>13</w:t>
            </w:r>
            <w:r w:rsidR="006B497A">
              <w:rPr>
                <w:b/>
              </w:rPr>
              <w:t>.0</w:t>
            </w:r>
            <w:r w:rsidR="00156D59">
              <w:rPr>
                <w:b/>
                <w:lang w:val="el-GR"/>
              </w:rPr>
              <w:t>6</w:t>
            </w:r>
            <w:r w:rsidR="006B497A">
              <w:rPr>
                <w:b/>
              </w:rPr>
              <w:t>.202</w:t>
            </w:r>
            <w:r>
              <w:rPr>
                <w:b/>
              </w:rPr>
              <w:t>4</w:t>
            </w:r>
            <w:r w:rsidR="006B497A">
              <w:rPr>
                <w:b/>
              </w:rPr>
              <w:t>:</w:t>
            </w:r>
          </w:p>
        </w:tc>
        <w:tc>
          <w:tcPr>
            <w:tcW w:w="5841" w:type="dxa"/>
            <w:shd w:val="clear" w:color="auto" w:fill="auto"/>
          </w:tcPr>
          <w:p w14:paraId="3962DFC1" w14:textId="28B3F88D" w:rsidR="006B497A" w:rsidRDefault="006B497A" w:rsidP="006B497A">
            <w:pPr>
              <w:tabs>
                <w:tab w:val="left" w:pos="567"/>
              </w:tabs>
              <w:ind w:right="43"/>
              <w:jc w:val="both"/>
            </w:pPr>
            <w:r>
              <w:t>Determination of dividend beneficiaries (Record Date)</w:t>
            </w:r>
          </w:p>
        </w:tc>
      </w:tr>
      <w:tr w:rsidR="006B497A" w14:paraId="663835B1" w14:textId="77777777" w:rsidTr="00156D59">
        <w:trPr>
          <w:trHeight w:val="445"/>
        </w:trPr>
        <w:tc>
          <w:tcPr>
            <w:tcW w:w="2708" w:type="dxa"/>
            <w:shd w:val="clear" w:color="auto" w:fill="auto"/>
            <w:vAlign w:val="center"/>
          </w:tcPr>
          <w:p w14:paraId="18F4806E" w14:textId="75B96F5E" w:rsidR="006B497A" w:rsidRPr="001E6F90" w:rsidRDefault="00156D59" w:rsidP="00156D59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after="60" w:line="264" w:lineRule="auto"/>
              <w:ind w:right="43" w:hanging="720"/>
              <w:rPr>
                <w:b/>
              </w:rPr>
            </w:pPr>
            <w:r>
              <w:rPr>
                <w:b/>
              </w:rPr>
              <w:t>Tuesday</w:t>
            </w:r>
            <w:r w:rsidR="006B497A">
              <w:rPr>
                <w:b/>
              </w:rPr>
              <w:t xml:space="preserve"> </w:t>
            </w:r>
            <w:r>
              <w:rPr>
                <w:b/>
                <w:lang w:val="el-GR"/>
              </w:rPr>
              <w:t>18</w:t>
            </w:r>
            <w:r w:rsidR="006B497A">
              <w:rPr>
                <w:b/>
              </w:rPr>
              <w:t>.0</w:t>
            </w:r>
            <w:r>
              <w:rPr>
                <w:b/>
                <w:lang w:val="el-GR"/>
              </w:rPr>
              <w:t>6</w:t>
            </w:r>
            <w:r w:rsidR="006B497A">
              <w:rPr>
                <w:b/>
              </w:rPr>
              <w:t>.202</w:t>
            </w:r>
            <w:r w:rsidR="009463CF">
              <w:rPr>
                <w:b/>
              </w:rPr>
              <w:t>4</w:t>
            </w:r>
            <w:r w:rsidR="006B497A">
              <w:rPr>
                <w:b/>
              </w:rPr>
              <w:t>:</w:t>
            </w:r>
          </w:p>
        </w:tc>
        <w:tc>
          <w:tcPr>
            <w:tcW w:w="5841" w:type="dxa"/>
            <w:shd w:val="clear" w:color="auto" w:fill="auto"/>
          </w:tcPr>
          <w:p w14:paraId="76EFBD25" w14:textId="58635448" w:rsidR="006B497A" w:rsidRDefault="006B497A" w:rsidP="006B497A">
            <w:pPr>
              <w:tabs>
                <w:tab w:val="left" w:pos="567"/>
              </w:tabs>
              <w:ind w:right="43"/>
              <w:jc w:val="both"/>
            </w:pPr>
            <w:r>
              <w:t>Dividend payment</w:t>
            </w:r>
          </w:p>
        </w:tc>
      </w:tr>
      <w:tr w:rsidR="006B497A" w:rsidRPr="005B2CB5" w14:paraId="7AD8F78D" w14:textId="77777777" w:rsidTr="00156D59">
        <w:trPr>
          <w:trHeight w:val="552"/>
        </w:trPr>
        <w:tc>
          <w:tcPr>
            <w:tcW w:w="2708" w:type="dxa"/>
            <w:shd w:val="clear" w:color="auto" w:fill="auto"/>
            <w:vAlign w:val="center"/>
          </w:tcPr>
          <w:p w14:paraId="1570ADE1" w14:textId="175D0120" w:rsidR="006B497A" w:rsidRPr="001E6F90" w:rsidRDefault="009B72FC" w:rsidP="00156D59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after="60" w:line="264" w:lineRule="auto"/>
              <w:ind w:right="43" w:hanging="720"/>
              <w:rPr>
                <w:b/>
              </w:rPr>
            </w:pPr>
            <w:r>
              <w:rPr>
                <w:b/>
              </w:rPr>
              <w:t>Friday</w:t>
            </w:r>
            <w:r w:rsidR="006B497A">
              <w:rPr>
                <w:b/>
              </w:rPr>
              <w:t xml:space="preserve"> </w:t>
            </w:r>
            <w:r>
              <w:rPr>
                <w:b/>
              </w:rPr>
              <w:t>09</w:t>
            </w:r>
            <w:r w:rsidR="006B497A">
              <w:rPr>
                <w:b/>
              </w:rPr>
              <w:t>.0</w:t>
            </w:r>
            <w:r>
              <w:rPr>
                <w:b/>
              </w:rPr>
              <w:t>8</w:t>
            </w:r>
            <w:r w:rsidR="006B497A">
              <w:rPr>
                <w:b/>
              </w:rPr>
              <w:t>.202</w:t>
            </w:r>
            <w:r w:rsidR="009463CF">
              <w:rPr>
                <w:b/>
              </w:rPr>
              <w:t>4</w:t>
            </w:r>
            <w:r w:rsidR="006B497A">
              <w:rPr>
                <w:b/>
              </w:rPr>
              <w:t>:</w:t>
            </w:r>
          </w:p>
        </w:tc>
        <w:tc>
          <w:tcPr>
            <w:tcW w:w="5841" w:type="dxa"/>
            <w:shd w:val="clear" w:color="auto" w:fill="auto"/>
          </w:tcPr>
          <w:p w14:paraId="1ECB5DC4" w14:textId="1F6D0EC4" w:rsidR="006B497A" w:rsidRPr="00B87567" w:rsidRDefault="006B497A" w:rsidP="006B497A">
            <w:pPr>
              <w:ind w:right="45"/>
              <w:jc w:val="both"/>
            </w:pPr>
            <w:r w:rsidRPr="00F151CA">
              <w:t>Publication of the Interim Financial Report of the period from January 1st to June 30th, 20</w:t>
            </w:r>
            <w:r>
              <w:t>2</w:t>
            </w:r>
            <w:r w:rsidR="009463CF">
              <w:t>4</w:t>
            </w:r>
          </w:p>
        </w:tc>
      </w:tr>
    </w:tbl>
    <w:p w14:paraId="709DC3C5" w14:textId="77777777" w:rsidR="006B497A" w:rsidRDefault="006B497A" w:rsidP="006B497A">
      <w:pPr>
        <w:pStyle w:val="ListParagraph"/>
        <w:tabs>
          <w:tab w:val="left" w:pos="567"/>
        </w:tabs>
        <w:ind w:left="0" w:right="43"/>
      </w:pPr>
    </w:p>
    <w:p w14:paraId="2B5DC13F" w14:textId="77777777" w:rsidR="006B497A" w:rsidRDefault="006B497A" w:rsidP="006B497A">
      <w:pPr>
        <w:pStyle w:val="ListParagraph"/>
        <w:tabs>
          <w:tab w:val="left" w:pos="567"/>
        </w:tabs>
        <w:spacing w:after="120"/>
        <w:ind w:left="0" w:right="45"/>
        <w:contextualSpacing w:val="0"/>
        <w:jc w:val="both"/>
      </w:pPr>
      <w:r>
        <w:t>T</w:t>
      </w:r>
      <w:r w:rsidRPr="0024768A">
        <w:t>he Company clarifies that the Financial Results will be announced</w:t>
      </w:r>
      <w:r>
        <w:t xml:space="preserve"> </w:t>
      </w:r>
      <w:r w:rsidRPr="0024768A">
        <w:t>on the Company’s website (</w:t>
      </w:r>
      <w:hyperlink r:id="rId8" w:history="1">
        <w:r w:rsidRPr="00AC1341">
          <w:rPr>
            <w:rStyle w:val="Hyperlink"/>
          </w:rPr>
          <w:t>www.briqproperties.gr</w:t>
        </w:r>
      </w:hyperlink>
      <w:r w:rsidRPr="0024768A">
        <w:t>)</w:t>
      </w:r>
      <w:r>
        <w:t xml:space="preserve"> </w:t>
      </w:r>
      <w:r w:rsidRPr="0024768A">
        <w:t>and on the Athens Exchange Group website (</w:t>
      </w:r>
      <w:hyperlink r:id="rId9" w:history="1">
        <w:r w:rsidRPr="00AC1341">
          <w:rPr>
            <w:rStyle w:val="Hyperlink"/>
          </w:rPr>
          <w:t>www.helex.gr</w:t>
        </w:r>
      </w:hyperlink>
      <w:r w:rsidRPr="0024768A">
        <w:t>).</w:t>
      </w:r>
    </w:p>
    <w:p w14:paraId="46CB52BF" w14:textId="77777777" w:rsidR="006B497A" w:rsidRDefault="006B497A" w:rsidP="006B497A">
      <w:pPr>
        <w:pStyle w:val="ListParagraph"/>
        <w:tabs>
          <w:tab w:val="left" w:pos="567"/>
        </w:tabs>
        <w:spacing w:after="120"/>
        <w:ind w:left="0" w:right="45"/>
        <w:contextualSpacing w:val="0"/>
        <w:jc w:val="both"/>
      </w:pPr>
      <w:r w:rsidRPr="000A0A46">
        <w:t xml:space="preserve">The Company has the right to amend the above-mentioned dates, provided that the investors will be informed on time with a new announcement. </w:t>
      </w:r>
    </w:p>
    <w:p w14:paraId="34DBDD03" w14:textId="77777777" w:rsidR="00936EE6" w:rsidRDefault="00936EE6" w:rsidP="006B497A">
      <w:pPr>
        <w:pStyle w:val="ListParagraph"/>
        <w:tabs>
          <w:tab w:val="left" w:pos="567"/>
        </w:tabs>
        <w:spacing w:after="120"/>
        <w:ind w:left="0" w:right="45"/>
        <w:contextualSpacing w:val="0"/>
        <w:jc w:val="center"/>
      </w:pPr>
    </w:p>
    <w:p w14:paraId="7FDF7E86" w14:textId="33468EAA" w:rsidR="006B497A" w:rsidRDefault="006B497A" w:rsidP="006B497A">
      <w:pPr>
        <w:pStyle w:val="ListParagraph"/>
        <w:tabs>
          <w:tab w:val="left" w:pos="567"/>
        </w:tabs>
        <w:spacing w:after="120"/>
        <w:ind w:left="0" w:right="45"/>
        <w:contextualSpacing w:val="0"/>
        <w:jc w:val="center"/>
      </w:pPr>
      <w:r>
        <w:t>BriQ Properties R.E.I.C.</w:t>
      </w:r>
    </w:p>
    <w:p w14:paraId="76BB7592" w14:textId="31A2B5DF" w:rsidR="00802A2A" w:rsidRPr="006B497A" w:rsidRDefault="006B497A" w:rsidP="00936EE6">
      <w:pPr>
        <w:pStyle w:val="ListParagraph"/>
        <w:tabs>
          <w:tab w:val="left" w:pos="567"/>
        </w:tabs>
        <w:ind w:left="0" w:right="45"/>
        <w:contextualSpacing w:val="0"/>
        <w:jc w:val="center"/>
        <w:rPr>
          <w:color w:val="002060"/>
          <w:sz w:val="24"/>
          <w:szCs w:val="24"/>
        </w:rPr>
      </w:pPr>
      <w:r>
        <w:t>Investor Relations Department</w:t>
      </w:r>
    </w:p>
    <w:sectPr w:rsidR="00802A2A" w:rsidRPr="006B497A" w:rsidSect="00BC0FB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710" w:bottom="1440" w:left="1800" w:header="51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7589" w14:textId="77777777" w:rsidR="00D67DFF" w:rsidRDefault="00D67DFF" w:rsidP="008D30AD">
      <w:r>
        <w:separator/>
      </w:r>
    </w:p>
  </w:endnote>
  <w:endnote w:type="continuationSeparator" w:id="0">
    <w:p w14:paraId="6FDB4104" w14:textId="77777777" w:rsidR="00D67DFF" w:rsidRDefault="00D67DFF" w:rsidP="008D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C2A0" w14:textId="77777777" w:rsidR="00BC0FB1" w:rsidRPr="0060450E" w:rsidRDefault="00BC0FB1" w:rsidP="00BC0FB1">
    <w:pPr>
      <w:pStyle w:val="Header"/>
      <w:tabs>
        <w:tab w:val="center" w:pos="6946"/>
        <w:tab w:val="left" w:pos="7513"/>
      </w:tabs>
      <w:spacing w:line="276" w:lineRule="auto"/>
      <w:ind w:right="-996"/>
      <w:rPr>
        <w:rStyle w:val="Hyperlink"/>
        <w:color w:val="525252" w:themeColor="accent3" w:themeShade="80"/>
        <w:sz w:val="16"/>
        <w:szCs w:val="16"/>
        <w:lang w:val="el-GR"/>
      </w:rPr>
    </w:pPr>
    <w:r w:rsidRPr="0060450E">
      <w:rPr>
        <w:b/>
        <w:bCs/>
        <w:noProof/>
        <w:color w:val="525252" w:themeColor="accent3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7B8297" wp14:editId="1F4DD7FD">
              <wp:simplePos x="0" y="0"/>
              <wp:positionH relativeFrom="column">
                <wp:posOffset>-13914</wp:posOffset>
              </wp:positionH>
              <wp:positionV relativeFrom="paragraph">
                <wp:posOffset>-153477</wp:posOffset>
              </wp:positionV>
              <wp:extent cx="5860112" cy="0"/>
              <wp:effectExtent l="0" t="0" r="0" b="0"/>
              <wp:wrapNone/>
              <wp:docPr id="6" name="Ευθεία γραμμή σύνδεσης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0112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CFDBFD" id="Ευθεία γραμμή σύνδεσης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-12.1pt" to="460.35pt,-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" strokecolor="#ffc000 [3207]" strokeweight=".5pt">
              <v:stroke joinstyle="miter"/>
            </v:line>
          </w:pict>
        </mc:Fallback>
      </mc:AlternateContent>
    </w:r>
    <w:r w:rsidRPr="0060450E">
      <w:rPr>
        <w:b/>
        <w:bCs/>
        <w:noProof/>
        <w:color w:val="525252" w:themeColor="accent3" w:themeShade="80"/>
        <w:sz w:val="16"/>
        <w:szCs w:val="16"/>
      </w:rPr>
      <w:drawing>
        <wp:anchor distT="0" distB="0" distL="114300" distR="114300" simplePos="0" relativeHeight="251664384" behindDoc="0" locked="0" layoutInCell="1" allowOverlap="1" wp14:anchorId="0863C56D" wp14:editId="7699A922">
          <wp:simplePos x="0" y="0"/>
          <wp:positionH relativeFrom="column">
            <wp:posOffset>-828675</wp:posOffset>
          </wp:positionH>
          <wp:positionV relativeFrom="paragraph">
            <wp:posOffset>-656590</wp:posOffset>
          </wp:positionV>
          <wp:extent cx="582930" cy="1080770"/>
          <wp:effectExtent l="0" t="0" r="0" b="0"/>
          <wp:wrapTopAndBottom/>
          <wp:docPr id="7" name="Εικόνα 7" descr="Εικόνα που περιέχει κείμενο, clipart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, clipart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02" r="69325" b="25530"/>
                  <a:stretch/>
                </pic:blipFill>
                <pic:spPr bwMode="auto">
                  <a:xfrm>
                    <a:off x="0" y="0"/>
                    <a:ext cx="582930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450E">
      <w:rPr>
        <w:b/>
        <w:bCs/>
        <w:color w:val="525252" w:themeColor="accent3" w:themeShade="80"/>
        <w:sz w:val="16"/>
        <w:szCs w:val="16"/>
      </w:rPr>
      <w:t>Contact:</w:t>
    </w:r>
    <w:r w:rsidRPr="0060450E">
      <w:rPr>
        <w:color w:val="525252" w:themeColor="accent3" w:themeShade="80"/>
        <w:sz w:val="16"/>
        <w:szCs w:val="16"/>
      </w:rPr>
      <w:t xml:space="preserve"> 3 Mitropoleos Str., 3</w:t>
    </w:r>
    <w:r w:rsidRPr="0060450E">
      <w:rPr>
        <w:color w:val="525252" w:themeColor="accent3" w:themeShade="80"/>
        <w:sz w:val="16"/>
        <w:szCs w:val="16"/>
        <w:vertAlign w:val="superscript"/>
      </w:rPr>
      <w:t>rd</w:t>
    </w:r>
    <w:r w:rsidRPr="0060450E">
      <w:rPr>
        <w:color w:val="525252" w:themeColor="accent3" w:themeShade="80"/>
        <w:sz w:val="16"/>
        <w:szCs w:val="16"/>
      </w:rPr>
      <w:t xml:space="preserve"> floor, 10557, Athens, </w:t>
    </w:r>
    <w:r w:rsidRPr="0060450E">
      <w:rPr>
        <w:b/>
        <w:bCs/>
        <w:color w:val="525252" w:themeColor="accent3" w:themeShade="80"/>
        <w:sz w:val="16"/>
        <w:szCs w:val="16"/>
      </w:rPr>
      <w:t>tel.</w:t>
    </w:r>
    <w:r w:rsidRPr="0060450E">
      <w:rPr>
        <w:color w:val="525252" w:themeColor="accent3" w:themeShade="80"/>
        <w:sz w:val="16"/>
        <w:szCs w:val="16"/>
      </w:rPr>
      <w:t xml:space="preserve"> </w:t>
    </w:r>
    <w:r w:rsidRPr="0060450E">
      <w:rPr>
        <w:color w:val="525252" w:themeColor="accent3" w:themeShade="80"/>
        <w:sz w:val="16"/>
        <w:szCs w:val="16"/>
        <w:lang w:val="el-GR"/>
      </w:rPr>
      <w:t xml:space="preserve">+30 211 999 4833, </w:t>
    </w:r>
    <w:r w:rsidRPr="0060450E">
      <w:rPr>
        <w:b/>
        <w:bCs/>
        <w:color w:val="525252" w:themeColor="accent3" w:themeShade="80"/>
        <w:sz w:val="16"/>
        <w:szCs w:val="16"/>
        <w:lang w:val="el-GR"/>
      </w:rPr>
      <w:t>Ε:</w:t>
    </w:r>
    <w:r w:rsidRPr="0060450E">
      <w:rPr>
        <w:color w:val="525252" w:themeColor="accent3" w:themeShade="80"/>
        <w:sz w:val="16"/>
        <w:szCs w:val="16"/>
        <w:lang w:val="el-GR"/>
      </w:rPr>
      <w:t xml:space="preserve"> </w:t>
    </w:r>
    <w:r w:rsidRPr="0060450E">
      <w:rPr>
        <w:color w:val="525252" w:themeColor="accent3" w:themeShade="80"/>
        <w:sz w:val="16"/>
        <w:szCs w:val="16"/>
      </w:rPr>
      <w:t>info</w:t>
    </w:r>
    <w:r w:rsidRPr="0060450E">
      <w:rPr>
        <w:color w:val="525252" w:themeColor="accent3" w:themeShade="80"/>
        <w:sz w:val="16"/>
        <w:szCs w:val="16"/>
        <w:lang w:val="el-GR"/>
      </w:rPr>
      <w:t>@</w:t>
    </w:r>
    <w:r w:rsidRPr="0060450E">
      <w:rPr>
        <w:color w:val="525252" w:themeColor="accent3" w:themeShade="80"/>
        <w:sz w:val="16"/>
        <w:szCs w:val="16"/>
      </w:rPr>
      <w:t>briqproperties</w:t>
    </w:r>
    <w:r w:rsidRPr="0060450E">
      <w:rPr>
        <w:color w:val="525252" w:themeColor="accent3" w:themeShade="80"/>
        <w:sz w:val="16"/>
        <w:szCs w:val="16"/>
        <w:lang w:val="el-GR"/>
      </w:rPr>
      <w:t>.</w:t>
    </w:r>
    <w:r w:rsidRPr="0060450E">
      <w:rPr>
        <w:color w:val="525252" w:themeColor="accent3" w:themeShade="80"/>
        <w:sz w:val="16"/>
        <w:szCs w:val="16"/>
      </w:rPr>
      <w:t>gr</w:t>
    </w:r>
    <w:r w:rsidRPr="0060450E">
      <w:rPr>
        <w:color w:val="525252" w:themeColor="accent3" w:themeShade="80"/>
        <w:sz w:val="16"/>
        <w:szCs w:val="16"/>
        <w:lang w:val="el-GR"/>
      </w:rPr>
      <w:t xml:space="preserve">, </w:t>
    </w:r>
    <w:r w:rsidRPr="0060450E">
      <w:rPr>
        <w:color w:val="525252" w:themeColor="accent3" w:themeShade="80"/>
        <w:sz w:val="16"/>
        <w:szCs w:val="16"/>
      </w:rPr>
      <w:t>www</w:t>
    </w:r>
    <w:r w:rsidRPr="0060450E">
      <w:rPr>
        <w:color w:val="525252" w:themeColor="accent3" w:themeShade="80"/>
        <w:sz w:val="16"/>
        <w:szCs w:val="16"/>
        <w:lang w:val="el-GR"/>
      </w:rPr>
      <w:t>.</w:t>
    </w:r>
    <w:r w:rsidRPr="0060450E">
      <w:rPr>
        <w:color w:val="525252" w:themeColor="accent3" w:themeShade="80"/>
        <w:sz w:val="16"/>
        <w:szCs w:val="16"/>
      </w:rPr>
      <w:t>briqproperties</w:t>
    </w:r>
    <w:r w:rsidRPr="0060450E">
      <w:rPr>
        <w:color w:val="525252" w:themeColor="accent3" w:themeShade="80"/>
        <w:sz w:val="16"/>
        <w:szCs w:val="16"/>
        <w:lang w:val="el-GR"/>
      </w:rPr>
      <w:t>.</w:t>
    </w:r>
    <w:r w:rsidRPr="0060450E">
      <w:rPr>
        <w:color w:val="525252" w:themeColor="accent3" w:themeShade="80"/>
        <w:sz w:val="16"/>
        <w:szCs w:val="16"/>
      </w:rPr>
      <w:t>gr</w:t>
    </w:r>
  </w:p>
  <w:p w14:paraId="485B1D2F" w14:textId="77777777" w:rsidR="00BC0FB1" w:rsidRPr="0060450E" w:rsidRDefault="00BC0FB1" w:rsidP="00BC0FB1">
    <w:pPr>
      <w:pStyle w:val="Header"/>
      <w:tabs>
        <w:tab w:val="center" w:pos="6946"/>
        <w:tab w:val="left" w:pos="7513"/>
      </w:tabs>
      <w:ind w:right="-996"/>
      <w:rPr>
        <w:color w:val="525252" w:themeColor="accent3" w:themeShade="80"/>
        <w:sz w:val="16"/>
        <w:szCs w:val="16"/>
      </w:rPr>
    </w:pPr>
    <w:r w:rsidRPr="0060450E">
      <w:rPr>
        <w:b/>
        <w:bCs/>
        <w:color w:val="525252" w:themeColor="accent3" w:themeShade="80"/>
        <w:sz w:val="16"/>
        <w:szCs w:val="16"/>
      </w:rPr>
      <w:t>Reg. Add.:</w:t>
    </w:r>
    <w:r w:rsidRPr="0060450E">
      <w:rPr>
        <w:color w:val="525252" w:themeColor="accent3" w:themeShade="80"/>
        <w:sz w:val="16"/>
        <w:szCs w:val="16"/>
      </w:rPr>
      <w:t xml:space="preserve"> </w:t>
    </w:r>
    <w:proofErr w:type="gramStart"/>
    <w:r w:rsidRPr="0060450E">
      <w:rPr>
        <w:color w:val="525252" w:themeColor="accent3" w:themeShade="80"/>
        <w:sz w:val="16"/>
        <w:szCs w:val="16"/>
      </w:rPr>
      <w:t>25,Al.</w:t>
    </w:r>
    <w:proofErr w:type="gramEnd"/>
    <w:r w:rsidRPr="0060450E">
      <w:rPr>
        <w:color w:val="525252" w:themeColor="accent3" w:themeShade="80"/>
        <w:sz w:val="16"/>
        <w:szCs w:val="16"/>
      </w:rPr>
      <w:t xml:space="preserve"> Pantou Str.,17671,Kallithea, </w:t>
    </w:r>
    <w:r w:rsidRPr="0060450E">
      <w:rPr>
        <w:b/>
        <w:bCs/>
        <w:color w:val="525252" w:themeColor="accent3" w:themeShade="80"/>
        <w:sz w:val="16"/>
        <w:szCs w:val="16"/>
      </w:rPr>
      <w:t xml:space="preserve">VAT n: </w:t>
    </w:r>
    <w:r w:rsidRPr="0060450E">
      <w:rPr>
        <w:color w:val="525252" w:themeColor="accent3" w:themeShade="80"/>
        <w:sz w:val="16"/>
        <w:szCs w:val="16"/>
      </w:rPr>
      <w:t>GR0997521479,</w:t>
    </w:r>
    <w:r w:rsidRPr="0060450E">
      <w:rPr>
        <w:b/>
        <w:bCs/>
        <w:color w:val="525252" w:themeColor="accent3" w:themeShade="80"/>
        <w:sz w:val="16"/>
        <w:szCs w:val="16"/>
      </w:rPr>
      <w:t xml:space="preserve">Tax off.: </w:t>
    </w:r>
    <w:r w:rsidRPr="0060450E">
      <w:rPr>
        <w:color w:val="525252" w:themeColor="accent3" w:themeShade="80"/>
        <w:sz w:val="16"/>
        <w:szCs w:val="16"/>
      </w:rPr>
      <w:t xml:space="preserve">FAE </w:t>
    </w:r>
    <w:proofErr w:type="spellStart"/>
    <w:r w:rsidRPr="0060450E">
      <w:rPr>
        <w:color w:val="525252" w:themeColor="accent3" w:themeShade="80"/>
        <w:sz w:val="16"/>
        <w:szCs w:val="16"/>
      </w:rPr>
      <w:t>Peiraia</w:t>
    </w:r>
    <w:proofErr w:type="spellEnd"/>
    <w:r w:rsidRPr="0060450E">
      <w:rPr>
        <w:color w:val="525252" w:themeColor="accent3" w:themeShade="80"/>
        <w:sz w:val="16"/>
        <w:szCs w:val="16"/>
      </w:rPr>
      <w:t xml:space="preserve">, </w:t>
    </w:r>
    <w:r w:rsidRPr="0060450E">
      <w:rPr>
        <w:b/>
        <w:bCs/>
        <w:color w:val="525252" w:themeColor="accent3" w:themeShade="80"/>
        <w:sz w:val="16"/>
        <w:szCs w:val="16"/>
      </w:rPr>
      <w:t>GCR n.:</w:t>
    </w:r>
    <w:r w:rsidRPr="0060450E">
      <w:rPr>
        <w:color w:val="525252" w:themeColor="accent3" w:themeShade="80"/>
        <w:sz w:val="16"/>
        <w:szCs w:val="16"/>
      </w:rPr>
      <w:t xml:space="preserve">140330201000, </w:t>
    </w:r>
    <w:r w:rsidRPr="0060450E">
      <w:rPr>
        <w:b/>
        <w:bCs/>
        <w:color w:val="525252" w:themeColor="accent3" w:themeShade="80"/>
        <w:sz w:val="16"/>
        <w:szCs w:val="16"/>
      </w:rPr>
      <w:t xml:space="preserve">Reg. act: </w:t>
    </w:r>
    <w:r w:rsidRPr="0060450E">
      <w:rPr>
        <w:color w:val="525252" w:themeColor="accent3" w:themeShade="80"/>
        <w:sz w:val="16"/>
        <w:szCs w:val="16"/>
      </w:rPr>
      <w:t>3/757/31.05.2016</w:t>
    </w:r>
  </w:p>
  <w:p w14:paraId="58A94510" w14:textId="4EBD1003" w:rsidR="00020832" w:rsidRPr="001277F5" w:rsidRDefault="00020832" w:rsidP="00127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F2AE" w14:textId="77777777" w:rsidR="00DD384B" w:rsidRPr="0060450E" w:rsidRDefault="00DD384B" w:rsidP="00DD384B">
    <w:pPr>
      <w:pStyle w:val="Header"/>
      <w:tabs>
        <w:tab w:val="center" w:pos="6946"/>
        <w:tab w:val="left" w:pos="7513"/>
      </w:tabs>
      <w:spacing w:line="276" w:lineRule="auto"/>
      <w:ind w:right="-996"/>
      <w:rPr>
        <w:rStyle w:val="Hyperlink"/>
        <w:color w:val="525252" w:themeColor="accent3" w:themeShade="80"/>
        <w:sz w:val="16"/>
        <w:szCs w:val="16"/>
        <w:lang w:val="el-GR"/>
      </w:rPr>
    </w:pPr>
    <w:r w:rsidRPr="0060450E">
      <w:rPr>
        <w:b/>
        <w:bCs/>
        <w:noProof/>
        <w:color w:val="525252" w:themeColor="accent3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4C08D6" wp14:editId="05FBCD11">
              <wp:simplePos x="0" y="0"/>
              <wp:positionH relativeFrom="column">
                <wp:posOffset>-13914</wp:posOffset>
              </wp:positionH>
              <wp:positionV relativeFrom="paragraph">
                <wp:posOffset>-153477</wp:posOffset>
              </wp:positionV>
              <wp:extent cx="5860112" cy="0"/>
              <wp:effectExtent l="0" t="0" r="0" b="0"/>
              <wp:wrapNone/>
              <wp:docPr id="4" name="Ευθεία γραμμή σύνδεσης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0112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631003" id="Ευθεία γραμμή σύνδεσης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-12.1pt" to="460.35pt,-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" strokecolor="#ffc000 [3207]" strokeweight=".5pt">
              <v:stroke joinstyle="miter"/>
            </v:line>
          </w:pict>
        </mc:Fallback>
      </mc:AlternateContent>
    </w:r>
    <w:r w:rsidRPr="0060450E">
      <w:rPr>
        <w:b/>
        <w:bCs/>
        <w:noProof/>
        <w:color w:val="525252" w:themeColor="accent3" w:themeShade="80"/>
        <w:sz w:val="16"/>
        <w:szCs w:val="16"/>
      </w:rPr>
      <w:drawing>
        <wp:anchor distT="0" distB="0" distL="114300" distR="114300" simplePos="0" relativeHeight="251661312" behindDoc="0" locked="0" layoutInCell="1" allowOverlap="1" wp14:anchorId="27F6B80E" wp14:editId="3EFFB160">
          <wp:simplePos x="0" y="0"/>
          <wp:positionH relativeFrom="column">
            <wp:posOffset>-828675</wp:posOffset>
          </wp:positionH>
          <wp:positionV relativeFrom="paragraph">
            <wp:posOffset>-656590</wp:posOffset>
          </wp:positionV>
          <wp:extent cx="582930" cy="1080770"/>
          <wp:effectExtent l="0" t="0" r="0" b="0"/>
          <wp:wrapTopAndBottom/>
          <wp:docPr id="5" name="Εικόνα 5" descr="Εικόνα που περιέχει κείμενο, clipart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, clipart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02" r="69325" b="25530"/>
                  <a:stretch/>
                </pic:blipFill>
                <pic:spPr bwMode="auto">
                  <a:xfrm>
                    <a:off x="0" y="0"/>
                    <a:ext cx="582930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450E">
      <w:rPr>
        <w:b/>
        <w:bCs/>
        <w:color w:val="525252" w:themeColor="accent3" w:themeShade="80"/>
        <w:sz w:val="16"/>
        <w:szCs w:val="16"/>
      </w:rPr>
      <w:t>Contact:</w:t>
    </w:r>
    <w:r w:rsidRPr="0060450E">
      <w:rPr>
        <w:color w:val="525252" w:themeColor="accent3" w:themeShade="80"/>
        <w:sz w:val="16"/>
        <w:szCs w:val="16"/>
      </w:rPr>
      <w:t xml:space="preserve"> 3 Mitropoleos Str., 3</w:t>
    </w:r>
    <w:r w:rsidRPr="0060450E">
      <w:rPr>
        <w:color w:val="525252" w:themeColor="accent3" w:themeShade="80"/>
        <w:sz w:val="16"/>
        <w:szCs w:val="16"/>
        <w:vertAlign w:val="superscript"/>
      </w:rPr>
      <w:t>rd</w:t>
    </w:r>
    <w:r w:rsidRPr="0060450E">
      <w:rPr>
        <w:color w:val="525252" w:themeColor="accent3" w:themeShade="80"/>
        <w:sz w:val="16"/>
        <w:szCs w:val="16"/>
      </w:rPr>
      <w:t xml:space="preserve"> floor, 10557, Athens, </w:t>
    </w:r>
    <w:r w:rsidRPr="0060450E">
      <w:rPr>
        <w:b/>
        <w:bCs/>
        <w:color w:val="525252" w:themeColor="accent3" w:themeShade="80"/>
        <w:sz w:val="16"/>
        <w:szCs w:val="16"/>
      </w:rPr>
      <w:t>tel.</w:t>
    </w:r>
    <w:r w:rsidRPr="0060450E">
      <w:rPr>
        <w:color w:val="525252" w:themeColor="accent3" w:themeShade="80"/>
        <w:sz w:val="16"/>
        <w:szCs w:val="16"/>
      </w:rPr>
      <w:t xml:space="preserve"> </w:t>
    </w:r>
    <w:r w:rsidRPr="0060450E">
      <w:rPr>
        <w:color w:val="525252" w:themeColor="accent3" w:themeShade="80"/>
        <w:sz w:val="16"/>
        <w:szCs w:val="16"/>
        <w:lang w:val="el-GR"/>
      </w:rPr>
      <w:t xml:space="preserve">+30 211 999 4833, </w:t>
    </w:r>
    <w:r w:rsidRPr="0060450E">
      <w:rPr>
        <w:b/>
        <w:bCs/>
        <w:color w:val="525252" w:themeColor="accent3" w:themeShade="80"/>
        <w:sz w:val="16"/>
        <w:szCs w:val="16"/>
        <w:lang w:val="el-GR"/>
      </w:rPr>
      <w:t>Ε:</w:t>
    </w:r>
    <w:r w:rsidRPr="0060450E">
      <w:rPr>
        <w:color w:val="525252" w:themeColor="accent3" w:themeShade="80"/>
        <w:sz w:val="16"/>
        <w:szCs w:val="16"/>
        <w:lang w:val="el-GR"/>
      </w:rPr>
      <w:t xml:space="preserve"> </w:t>
    </w:r>
    <w:r w:rsidRPr="0060450E">
      <w:rPr>
        <w:color w:val="525252" w:themeColor="accent3" w:themeShade="80"/>
        <w:sz w:val="16"/>
        <w:szCs w:val="16"/>
      </w:rPr>
      <w:t>info</w:t>
    </w:r>
    <w:r w:rsidRPr="0060450E">
      <w:rPr>
        <w:color w:val="525252" w:themeColor="accent3" w:themeShade="80"/>
        <w:sz w:val="16"/>
        <w:szCs w:val="16"/>
        <w:lang w:val="el-GR"/>
      </w:rPr>
      <w:t>@</w:t>
    </w:r>
    <w:r w:rsidRPr="0060450E">
      <w:rPr>
        <w:color w:val="525252" w:themeColor="accent3" w:themeShade="80"/>
        <w:sz w:val="16"/>
        <w:szCs w:val="16"/>
      </w:rPr>
      <w:t>briqproperties</w:t>
    </w:r>
    <w:r w:rsidRPr="0060450E">
      <w:rPr>
        <w:color w:val="525252" w:themeColor="accent3" w:themeShade="80"/>
        <w:sz w:val="16"/>
        <w:szCs w:val="16"/>
        <w:lang w:val="el-GR"/>
      </w:rPr>
      <w:t>.</w:t>
    </w:r>
    <w:r w:rsidRPr="0060450E">
      <w:rPr>
        <w:color w:val="525252" w:themeColor="accent3" w:themeShade="80"/>
        <w:sz w:val="16"/>
        <w:szCs w:val="16"/>
      </w:rPr>
      <w:t>gr</w:t>
    </w:r>
    <w:r w:rsidRPr="0060450E">
      <w:rPr>
        <w:color w:val="525252" w:themeColor="accent3" w:themeShade="80"/>
        <w:sz w:val="16"/>
        <w:szCs w:val="16"/>
        <w:lang w:val="el-GR"/>
      </w:rPr>
      <w:t xml:space="preserve">, </w:t>
    </w:r>
    <w:r w:rsidRPr="0060450E">
      <w:rPr>
        <w:color w:val="525252" w:themeColor="accent3" w:themeShade="80"/>
        <w:sz w:val="16"/>
        <w:szCs w:val="16"/>
      </w:rPr>
      <w:t>www</w:t>
    </w:r>
    <w:r w:rsidRPr="0060450E">
      <w:rPr>
        <w:color w:val="525252" w:themeColor="accent3" w:themeShade="80"/>
        <w:sz w:val="16"/>
        <w:szCs w:val="16"/>
        <w:lang w:val="el-GR"/>
      </w:rPr>
      <w:t>.</w:t>
    </w:r>
    <w:r w:rsidRPr="0060450E">
      <w:rPr>
        <w:color w:val="525252" w:themeColor="accent3" w:themeShade="80"/>
        <w:sz w:val="16"/>
        <w:szCs w:val="16"/>
      </w:rPr>
      <w:t>briqproperties</w:t>
    </w:r>
    <w:r w:rsidRPr="0060450E">
      <w:rPr>
        <w:color w:val="525252" w:themeColor="accent3" w:themeShade="80"/>
        <w:sz w:val="16"/>
        <w:szCs w:val="16"/>
        <w:lang w:val="el-GR"/>
      </w:rPr>
      <w:t>.</w:t>
    </w:r>
    <w:r w:rsidRPr="0060450E">
      <w:rPr>
        <w:color w:val="525252" w:themeColor="accent3" w:themeShade="80"/>
        <w:sz w:val="16"/>
        <w:szCs w:val="16"/>
      </w:rPr>
      <w:t>gr</w:t>
    </w:r>
  </w:p>
  <w:p w14:paraId="47C3D194" w14:textId="77777777" w:rsidR="00DD384B" w:rsidRPr="0060450E" w:rsidRDefault="00DD384B" w:rsidP="00DD384B">
    <w:pPr>
      <w:pStyle w:val="Header"/>
      <w:tabs>
        <w:tab w:val="center" w:pos="6946"/>
        <w:tab w:val="left" w:pos="7513"/>
      </w:tabs>
      <w:ind w:right="-996"/>
      <w:rPr>
        <w:color w:val="525252" w:themeColor="accent3" w:themeShade="80"/>
        <w:sz w:val="16"/>
        <w:szCs w:val="16"/>
      </w:rPr>
    </w:pPr>
    <w:r w:rsidRPr="0060450E">
      <w:rPr>
        <w:b/>
        <w:bCs/>
        <w:color w:val="525252" w:themeColor="accent3" w:themeShade="80"/>
        <w:sz w:val="16"/>
        <w:szCs w:val="16"/>
      </w:rPr>
      <w:t>Reg. Add.:</w:t>
    </w:r>
    <w:r w:rsidRPr="0060450E">
      <w:rPr>
        <w:color w:val="525252" w:themeColor="accent3" w:themeShade="80"/>
        <w:sz w:val="16"/>
        <w:szCs w:val="16"/>
      </w:rPr>
      <w:t xml:space="preserve"> </w:t>
    </w:r>
    <w:proofErr w:type="gramStart"/>
    <w:r w:rsidRPr="0060450E">
      <w:rPr>
        <w:color w:val="525252" w:themeColor="accent3" w:themeShade="80"/>
        <w:sz w:val="16"/>
        <w:szCs w:val="16"/>
      </w:rPr>
      <w:t>25,Al.</w:t>
    </w:r>
    <w:proofErr w:type="gramEnd"/>
    <w:r w:rsidRPr="0060450E">
      <w:rPr>
        <w:color w:val="525252" w:themeColor="accent3" w:themeShade="80"/>
        <w:sz w:val="16"/>
        <w:szCs w:val="16"/>
      </w:rPr>
      <w:t xml:space="preserve"> Pantou Str.,17671,Kallithea, </w:t>
    </w:r>
    <w:r w:rsidRPr="0060450E">
      <w:rPr>
        <w:b/>
        <w:bCs/>
        <w:color w:val="525252" w:themeColor="accent3" w:themeShade="80"/>
        <w:sz w:val="16"/>
        <w:szCs w:val="16"/>
      </w:rPr>
      <w:t xml:space="preserve">VAT n: </w:t>
    </w:r>
    <w:r w:rsidRPr="0060450E">
      <w:rPr>
        <w:color w:val="525252" w:themeColor="accent3" w:themeShade="80"/>
        <w:sz w:val="16"/>
        <w:szCs w:val="16"/>
      </w:rPr>
      <w:t>GR0997521479,</w:t>
    </w:r>
    <w:r w:rsidRPr="0060450E">
      <w:rPr>
        <w:b/>
        <w:bCs/>
        <w:color w:val="525252" w:themeColor="accent3" w:themeShade="80"/>
        <w:sz w:val="16"/>
        <w:szCs w:val="16"/>
      </w:rPr>
      <w:t xml:space="preserve">Tax off.: </w:t>
    </w:r>
    <w:r w:rsidRPr="0060450E">
      <w:rPr>
        <w:color w:val="525252" w:themeColor="accent3" w:themeShade="80"/>
        <w:sz w:val="16"/>
        <w:szCs w:val="16"/>
      </w:rPr>
      <w:t xml:space="preserve">FAE </w:t>
    </w:r>
    <w:proofErr w:type="spellStart"/>
    <w:r w:rsidRPr="0060450E">
      <w:rPr>
        <w:color w:val="525252" w:themeColor="accent3" w:themeShade="80"/>
        <w:sz w:val="16"/>
        <w:szCs w:val="16"/>
      </w:rPr>
      <w:t>Peiraia</w:t>
    </w:r>
    <w:proofErr w:type="spellEnd"/>
    <w:r w:rsidRPr="0060450E">
      <w:rPr>
        <w:color w:val="525252" w:themeColor="accent3" w:themeShade="80"/>
        <w:sz w:val="16"/>
        <w:szCs w:val="16"/>
      </w:rPr>
      <w:t xml:space="preserve">, </w:t>
    </w:r>
    <w:r w:rsidRPr="0060450E">
      <w:rPr>
        <w:b/>
        <w:bCs/>
        <w:color w:val="525252" w:themeColor="accent3" w:themeShade="80"/>
        <w:sz w:val="16"/>
        <w:szCs w:val="16"/>
      </w:rPr>
      <w:t>GCR n.:</w:t>
    </w:r>
    <w:r w:rsidRPr="0060450E">
      <w:rPr>
        <w:color w:val="525252" w:themeColor="accent3" w:themeShade="80"/>
        <w:sz w:val="16"/>
        <w:szCs w:val="16"/>
      </w:rPr>
      <w:t xml:space="preserve">140330201000, </w:t>
    </w:r>
    <w:r w:rsidRPr="0060450E">
      <w:rPr>
        <w:b/>
        <w:bCs/>
        <w:color w:val="525252" w:themeColor="accent3" w:themeShade="80"/>
        <w:sz w:val="16"/>
        <w:szCs w:val="16"/>
      </w:rPr>
      <w:t xml:space="preserve">Reg. act: </w:t>
    </w:r>
    <w:r w:rsidRPr="0060450E">
      <w:rPr>
        <w:color w:val="525252" w:themeColor="accent3" w:themeShade="80"/>
        <w:sz w:val="16"/>
        <w:szCs w:val="16"/>
      </w:rPr>
      <w:t>3/757/31.05.2016</w:t>
    </w:r>
  </w:p>
  <w:p w14:paraId="337E2BE6" w14:textId="77777777" w:rsidR="00DD384B" w:rsidRDefault="00DD3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927C" w14:textId="77777777" w:rsidR="00D67DFF" w:rsidRDefault="00D67DFF" w:rsidP="008D30AD">
      <w:r>
        <w:separator/>
      </w:r>
    </w:p>
  </w:footnote>
  <w:footnote w:type="continuationSeparator" w:id="0">
    <w:p w14:paraId="69D48830" w14:textId="77777777" w:rsidR="00D67DFF" w:rsidRDefault="00D67DFF" w:rsidP="008D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061A" w14:textId="724483DE" w:rsidR="008D30AD" w:rsidRDefault="008D30AD" w:rsidP="0042250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DF0B" w14:textId="11AE76FB" w:rsidR="00DD384B" w:rsidRDefault="00DD384B" w:rsidP="00DD384B">
    <w:pPr>
      <w:pStyle w:val="Header"/>
      <w:jc w:val="center"/>
    </w:pPr>
    <w:r>
      <w:rPr>
        <w:noProof/>
      </w:rPr>
      <w:drawing>
        <wp:inline distT="0" distB="0" distL="0" distR="0" wp14:anchorId="6D17485B" wp14:editId="313FCEB5">
          <wp:extent cx="1825684" cy="736980"/>
          <wp:effectExtent l="0" t="0" r="3175" b="6350"/>
          <wp:docPr id="3" name="Εικόνα 3" descr="Εικόνα που περιέχει κείμενο, clipart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, clipart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11" cy="73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561C3"/>
    <w:multiLevelType w:val="hybridMultilevel"/>
    <w:tmpl w:val="9B9400C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76DFA"/>
    <w:multiLevelType w:val="multilevel"/>
    <w:tmpl w:val="C9C2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DC65A0"/>
    <w:multiLevelType w:val="hybridMultilevel"/>
    <w:tmpl w:val="128CE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25D8E"/>
    <w:multiLevelType w:val="hybridMultilevel"/>
    <w:tmpl w:val="C50E4F00"/>
    <w:lvl w:ilvl="0" w:tplc="6A825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92948">
    <w:abstractNumId w:val="2"/>
  </w:num>
  <w:num w:numId="2" w16cid:durableId="1032195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5076310">
    <w:abstractNumId w:val="3"/>
  </w:num>
  <w:num w:numId="4" w16cid:durableId="141211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02"/>
    <w:rsid w:val="000074EA"/>
    <w:rsid w:val="00020832"/>
    <w:rsid w:val="00020E65"/>
    <w:rsid w:val="00041C02"/>
    <w:rsid w:val="000567C4"/>
    <w:rsid w:val="00067D70"/>
    <w:rsid w:val="000E5598"/>
    <w:rsid w:val="001277F5"/>
    <w:rsid w:val="00156D59"/>
    <w:rsid w:val="001B5386"/>
    <w:rsid w:val="001C7E64"/>
    <w:rsid w:val="00205B25"/>
    <w:rsid w:val="00251F33"/>
    <w:rsid w:val="00293D0A"/>
    <w:rsid w:val="00313114"/>
    <w:rsid w:val="003C5012"/>
    <w:rsid w:val="003E2699"/>
    <w:rsid w:val="0042250F"/>
    <w:rsid w:val="00484443"/>
    <w:rsid w:val="004A310E"/>
    <w:rsid w:val="00502DCA"/>
    <w:rsid w:val="00527D8D"/>
    <w:rsid w:val="00573C8A"/>
    <w:rsid w:val="005E7253"/>
    <w:rsid w:val="0060450E"/>
    <w:rsid w:val="00653CD6"/>
    <w:rsid w:val="0069086C"/>
    <w:rsid w:val="006B497A"/>
    <w:rsid w:val="007044C8"/>
    <w:rsid w:val="00753E7F"/>
    <w:rsid w:val="00802A2A"/>
    <w:rsid w:val="0082399B"/>
    <w:rsid w:val="0086217F"/>
    <w:rsid w:val="00885E73"/>
    <w:rsid w:val="008D30AD"/>
    <w:rsid w:val="00936EE6"/>
    <w:rsid w:val="009463CF"/>
    <w:rsid w:val="009A2EC1"/>
    <w:rsid w:val="009B72FC"/>
    <w:rsid w:val="009D09DE"/>
    <w:rsid w:val="00A259FF"/>
    <w:rsid w:val="00A4107A"/>
    <w:rsid w:val="00A70B71"/>
    <w:rsid w:val="00AD5F59"/>
    <w:rsid w:val="00AF7AA2"/>
    <w:rsid w:val="00B0726C"/>
    <w:rsid w:val="00B73E7D"/>
    <w:rsid w:val="00B7744E"/>
    <w:rsid w:val="00BC0FB1"/>
    <w:rsid w:val="00C14F6E"/>
    <w:rsid w:val="00CA4C68"/>
    <w:rsid w:val="00D67DFF"/>
    <w:rsid w:val="00D76B2B"/>
    <w:rsid w:val="00DA4370"/>
    <w:rsid w:val="00DD384B"/>
    <w:rsid w:val="00DD64D4"/>
    <w:rsid w:val="00DF08D6"/>
    <w:rsid w:val="00E71BAF"/>
    <w:rsid w:val="00EB39C5"/>
    <w:rsid w:val="00EF6CC4"/>
    <w:rsid w:val="00F15043"/>
    <w:rsid w:val="00F2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7ECA"/>
  <w15:chartTrackingRefBased/>
  <w15:docId w15:val="{6C5773A4-F01D-4CA1-8F67-B119BCB6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0A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0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0A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30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0AD"/>
    <w:rPr>
      <w:rFonts w:ascii="Calibri" w:hAnsi="Calibri" w:cs="Calibri"/>
    </w:rPr>
  </w:style>
  <w:style w:type="paragraph" w:customStyle="1" w:styleId="Default">
    <w:name w:val="Default"/>
    <w:rsid w:val="008D30A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30A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unhideWhenUsed/>
    <w:rsid w:val="009D09DE"/>
  </w:style>
  <w:style w:type="paragraph" w:styleId="ListParagraph">
    <w:name w:val="List Paragraph"/>
    <w:basedOn w:val="Normal"/>
    <w:uiPriority w:val="34"/>
    <w:qFormat/>
    <w:rsid w:val="009D09DE"/>
    <w:pPr>
      <w:ind w:left="720"/>
      <w:contextualSpacing/>
    </w:pPr>
  </w:style>
  <w:style w:type="table" w:styleId="TableGrid">
    <w:name w:val="Table Grid"/>
    <w:basedOn w:val="TableNormal"/>
    <w:uiPriority w:val="39"/>
    <w:rsid w:val="006B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qproperties.g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lex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3906-19FA-413A-87D2-1D444E30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Tsagkari, Panagiota</dc:creator>
  <cp:keywords/>
  <dc:description/>
  <cp:lastModifiedBy>Andrikakis, Emmanouil</cp:lastModifiedBy>
  <cp:revision>27</cp:revision>
  <cp:lastPrinted>2024-03-27T15:07:00Z</cp:lastPrinted>
  <dcterms:created xsi:type="dcterms:W3CDTF">2022-12-07T14:17:00Z</dcterms:created>
  <dcterms:modified xsi:type="dcterms:W3CDTF">2024-05-22T07:42:00Z</dcterms:modified>
</cp:coreProperties>
</file>