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0B53A6E" w14:textId="5F0FA2D5" w:rsidR="00293B2C" w:rsidRPr="00293B2C" w:rsidRDefault="009C2143" w:rsidP="00C5466C">
      <w:pPr>
        <w:tabs>
          <w:tab w:val="left" w:pos="0"/>
        </w:tabs>
        <w:spacing w:line="264" w:lineRule="auto"/>
        <w:jc w:val="right"/>
        <w:rPr>
          <w:rFonts w:ascii="Eurobank Sans" w:eastAsiaTheme="minorHAnsi" w:hAnsi="Eurobank Sans" w:cstheme="minorBidi"/>
          <w:b/>
          <w:color w:val="021342"/>
          <w:sz w:val="22"/>
          <w:szCs w:val="22"/>
          <w:lang w:val="en-US" w:eastAsia="en-US"/>
        </w:rPr>
      </w:pPr>
      <w:r>
        <w:rPr>
          <w:rFonts w:ascii="Eurobank Sans" w:eastAsiaTheme="minorHAnsi" w:hAnsi="Eurobank Sans" w:cstheme="minorBidi"/>
          <w:b/>
          <w:color w:val="021342"/>
          <w:sz w:val="22"/>
          <w:szCs w:val="22"/>
          <w:lang w:val="en-US" w:eastAsia="en-US"/>
        </w:rPr>
        <w:t>Thursday</w:t>
      </w:r>
      <w:r w:rsidR="00293B2C" w:rsidRPr="00293B2C">
        <w:rPr>
          <w:rFonts w:ascii="Eurobank Sans" w:eastAsiaTheme="minorHAnsi" w:hAnsi="Eurobank Sans" w:cstheme="minorBidi"/>
          <w:b/>
          <w:color w:val="021342"/>
          <w:sz w:val="22"/>
          <w:szCs w:val="22"/>
          <w:lang w:val="en-US" w:eastAsia="en-US"/>
        </w:rPr>
        <w:t xml:space="preserve">, </w:t>
      </w:r>
      <w:r>
        <w:rPr>
          <w:rFonts w:ascii="Eurobank Sans" w:eastAsiaTheme="minorHAnsi" w:hAnsi="Eurobank Sans" w:cstheme="minorBidi"/>
          <w:b/>
          <w:color w:val="021342"/>
          <w:sz w:val="22"/>
          <w:szCs w:val="22"/>
          <w:lang w:val="en-US" w:eastAsia="en-US"/>
        </w:rPr>
        <w:t>November</w:t>
      </w:r>
      <w:r w:rsidR="00293B2C" w:rsidRPr="00293B2C">
        <w:rPr>
          <w:rFonts w:ascii="Eurobank Sans" w:eastAsiaTheme="minorHAnsi" w:hAnsi="Eurobank Sans" w:cstheme="minorBidi"/>
          <w:b/>
          <w:color w:val="021342"/>
          <w:sz w:val="22"/>
          <w:szCs w:val="22"/>
          <w:lang w:val="en-US" w:eastAsia="en-US"/>
        </w:rPr>
        <w:t xml:space="preserve"> </w:t>
      </w:r>
      <w:r>
        <w:rPr>
          <w:rFonts w:ascii="Eurobank Sans" w:eastAsiaTheme="minorHAnsi" w:hAnsi="Eurobank Sans" w:cstheme="minorBidi"/>
          <w:b/>
          <w:color w:val="021342"/>
          <w:sz w:val="22"/>
          <w:szCs w:val="22"/>
          <w:lang w:val="en-US" w:eastAsia="en-US"/>
        </w:rPr>
        <w:t>2</w:t>
      </w:r>
      <w:r w:rsidR="00293B2C" w:rsidRPr="00293B2C">
        <w:rPr>
          <w:rFonts w:ascii="Eurobank Sans" w:eastAsiaTheme="minorHAnsi" w:hAnsi="Eurobank Sans" w:cstheme="minorBidi"/>
          <w:b/>
          <w:color w:val="021342"/>
          <w:sz w:val="22"/>
          <w:szCs w:val="22"/>
          <w:lang w:val="en-US" w:eastAsia="en-US"/>
        </w:rPr>
        <w:t>, 2023</w:t>
      </w:r>
    </w:p>
    <w:p w14:paraId="0F38F1C9" w14:textId="77777777" w:rsidR="00293B2C" w:rsidRDefault="00293B2C" w:rsidP="00C5466C">
      <w:pPr>
        <w:tabs>
          <w:tab w:val="left" w:pos="0"/>
        </w:tabs>
        <w:spacing w:line="264" w:lineRule="auto"/>
        <w:jc w:val="center"/>
        <w:rPr>
          <w:rFonts w:ascii="Eurobank Sans" w:eastAsiaTheme="minorHAnsi" w:hAnsi="Eurobank Sans" w:cstheme="minorBidi"/>
          <w:b/>
          <w:color w:val="021342"/>
          <w:sz w:val="22"/>
          <w:szCs w:val="22"/>
          <w:u w:val="single"/>
          <w:lang w:val="en-US" w:eastAsia="en-US"/>
        </w:rPr>
      </w:pPr>
    </w:p>
    <w:p w14:paraId="238F7331" w14:textId="3B3C3137" w:rsidR="00293B2C" w:rsidRPr="00293B2C" w:rsidRDefault="00293B2C" w:rsidP="00C5466C">
      <w:pPr>
        <w:tabs>
          <w:tab w:val="left" w:pos="0"/>
        </w:tabs>
        <w:spacing w:line="264" w:lineRule="auto"/>
        <w:jc w:val="center"/>
        <w:rPr>
          <w:rFonts w:ascii="Eurobank Sans" w:eastAsiaTheme="minorHAnsi" w:hAnsi="Eurobank Sans" w:cstheme="minorBidi"/>
          <w:b/>
          <w:color w:val="021342"/>
          <w:sz w:val="22"/>
          <w:szCs w:val="22"/>
          <w:u w:val="single"/>
          <w:lang w:val="en-US" w:eastAsia="en-US"/>
        </w:rPr>
      </w:pPr>
      <w:r w:rsidRPr="00293B2C">
        <w:rPr>
          <w:rFonts w:ascii="Eurobank Sans" w:eastAsiaTheme="minorHAnsi" w:hAnsi="Eurobank Sans" w:cstheme="minorBidi"/>
          <w:b/>
          <w:color w:val="021342"/>
          <w:sz w:val="22"/>
          <w:szCs w:val="22"/>
          <w:u w:val="single"/>
          <w:lang w:val="en-US" w:eastAsia="en-US"/>
        </w:rPr>
        <w:t>ANNOUNCEMENT</w:t>
      </w:r>
    </w:p>
    <w:p w14:paraId="22B2CED8" w14:textId="77777777" w:rsidR="00293B2C" w:rsidRDefault="00293B2C" w:rsidP="00C5466C">
      <w:pPr>
        <w:tabs>
          <w:tab w:val="left" w:pos="0"/>
        </w:tabs>
        <w:spacing w:line="264" w:lineRule="auto"/>
        <w:jc w:val="center"/>
        <w:rPr>
          <w:rFonts w:ascii="Eurobank Sans" w:eastAsiaTheme="minorHAnsi" w:hAnsi="Eurobank Sans" w:cstheme="minorBidi"/>
          <w:b/>
          <w:color w:val="021342"/>
          <w:sz w:val="22"/>
          <w:szCs w:val="22"/>
          <w:lang w:val="en-US" w:eastAsia="en-US"/>
        </w:rPr>
      </w:pPr>
    </w:p>
    <w:p w14:paraId="5142E17C" w14:textId="106E519D" w:rsidR="00293B2C" w:rsidRDefault="009C2143" w:rsidP="00C5466C">
      <w:pPr>
        <w:tabs>
          <w:tab w:val="left" w:pos="0"/>
        </w:tabs>
        <w:spacing w:line="264" w:lineRule="auto"/>
        <w:jc w:val="center"/>
        <w:rPr>
          <w:rFonts w:ascii="Eurobank Sans" w:eastAsiaTheme="minorHAnsi" w:hAnsi="Eurobank Sans" w:cstheme="minorBidi"/>
          <w:b/>
          <w:color w:val="021342"/>
          <w:sz w:val="22"/>
          <w:szCs w:val="22"/>
          <w:lang w:val="en-US" w:eastAsia="en-US"/>
        </w:rPr>
      </w:pPr>
      <w:r w:rsidRPr="009C2143">
        <w:rPr>
          <w:rFonts w:ascii="Eurobank Sans" w:eastAsiaTheme="minorHAnsi" w:hAnsi="Eurobank Sans" w:cstheme="minorBidi"/>
          <w:b/>
          <w:color w:val="021342"/>
          <w:sz w:val="22"/>
          <w:szCs w:val="22"/>
          <w:lang w:val="en-US" w:eastAsia="en-US"/>
        </w:rPr>
        <w:t xml:space="preserve">Execution of a Binding Agreement </w:t>
      </w:r>
      <w:proofErr w:type="gramStart"/>
      <w:r w:rsidRPr="009C2143">
        <w:rPr>
          <w:rFonts w:ascii="Eurobank Sans" w:eastAsiaTheme="minorHAnsi" w:hAnsi="Eurobank Sans" w:cstheme="minorBidi"/>
          <w:b/>
          <w:color w:val="021342"/>
          <w:sz w:val="22"/>
          <w:szCs w:val="22"/>
          <w:lang w:val="en-US" w:eastAsia="en-US"/>
        </w:rPr>
        <w:t>with regard to</w:t>
      </w:r>
      <w:proofErr w:type="gramEnd"/>
      <w:r w:rsidRPr="009C2143">
        <w:rPr>
          <w:rFonts w:ascii="Eurobank Sans" w:eastAsiaTheme="minorHAnsi" w:hAnsi="Eurobank Sans" w:cstheme="minorBidi"/>
          <w:b/>
          <w:color w:val="021342"/>
          <w:sz w:val="22"/>
          <w:szCs w:val="22"/>
          <w:lang w:val="en-US" w:eastAsia="en-US"/>
        </w:rPr>
        <w:t xml:space="preserve"> the Solar Transaction</w:t>
      </w:r>
    </w:p>
    <w:p w14:paraId="3EB041FB" w14:textId="77777777" w:rsidR="00293B2C" w:rsidRPr="002F3A3C" w:rsidRDefault="00293B2C" w:rsidP="00C5466C">
      <w:pPr>
        <w:tabs>
          <w:tab w:val="left" w:pos="0"/>
        </w:tabs>
        <w:spacing w:line="264" w:lineRule="auto"/>
        <w:jc w:val="center"/>
        <w:rPr>
          <w:rFonts w:ascii="Eurobank Sans" w:eastAsiaTheme="minorHAnsi" w:hAnsi="Eurobank Sans" w:cstheme="minorBidi"/>
          <w:b/>
          <w:color w:val="021342"/>
          <w:sz w:val="22"/>
          <w:szCs w:val="22"/>
          <w:lang w:val="en-US" w:eastAsia="en-US"/>
        </w:rPr>
      </w:pPr>
    </w:p>
    <w:p w14:paraId="40F7F320" w14:textId="7E7A23F0" w:rsidR="009C2143" w:rsidRPr="009C2143" w:rsidRDefault="009C2143" w:rsidP="009C2143">
      <w:pPr>
        <w:tabs>
          <w:tab w:val="left" w:pos="0"/>
        </w:tabs>
        <w:spacing w:line="264" w:lineRule="auto"/>
        <w:jc w:val="both"/>
        <w:rPr>
          <w:rFonts w:ascii="Eurobank Sans" w:eastAsiaTheme="minorHAnsi" w:hAnsi="Eurobank Sans" w:cstheme="minorBidi"/>
          <w:color w:val="021342"/>
          <w:sz w:val="22"/>
          <w:szCs w:val="22"/>
          <w:lang w:val="en-US" w:eastAsia="en-US"/>
        </w:rPr>
      </w:pPr>
      <w:r w:rsidRPr="009C2143">
        <w:rPr>
          <w:rFonts w:ascii="Eurobank Sans" w:eastAsiaTheme="minorHAnsi" w:hAnsi="Eurobank Sans" w:cstheme="minorBidi"/>
          <w:color w:val="021342"/>
          <w:sz w:val="22"/>
          <w:szCs w:val="22"/>
          <w:lang w:val="en-US" w:eastAsia="en-US"/>
        </w:rPr>
        <w:t>EUROBANK ERGASIAS SERVICES AND HOLDINGS S.A.</w:t>
      </w:r>
      <w:r>
        <w:rPr>
          <w:rFonts w:ascii="Eurobank Sans" w:eastAsiaTheme="minorHAnsi" w:hAnsi="Eurobank Sans" w:cstheme="minorBidi"/>
          <w:color w:val="021342"/>
          <w:sz w:val="22"/>
          <w:szCs w:val="22"/>
          <w:lang w:val="en-US" w:eastAsia="en-US"/>
        </w:rPr>
        <w:t xml:space="preserve">, </w:t>
      </w:r>
      <w:r w:rsidRPr="009C2143">
        <w:rPr>
          <w:rFonts w:ascii="Eurobank Sans" w:eastAsiaTheme="minorHAnsi" w:hAnsi="Eurobank Sans" w:cstheme="minorBidi"/>
          <w:color w:val="021342"/>
          <w:sz w:val="22"/>
          <w:szCs w:val="22"/>
          <w:lang w:val="en-US" w:eastAsia="en-US"/>
        </w:rPr>
        <w:t>ΑLPHA SERVICES AND HOLDINGS S.A., THE NATIONAL BANK OF GREECE S.A. and PIRAEUS FINANCIAL HOLDINGS S.A. announce the execution of a binding agreement between the four systemic banks, namely Eurobank S.A.</w:t>
      </w:r>
      <w:r>
        <w:rPr>
          <w:rFonts w:ascii="Eurobank Sans" w:eastAsiaTheme="minorHAnsi" w:hAnsi="Eurobank Sans" w:cstheme="minorBidi"/>
          <w:color w:val="021342"/>
          <w:sz w:val="22"/>
          <w:szCs w:val="22"/>
          <w:lang w:val="en-US" w:eastAsia="en-US"/>
        </w:rPr>
        <w:t xml:space="preserve">, </w:t>
      </w:r>
      <w:r w:rsidRPr="009C2143">
        <w:rPr>
          <w:rFonts w:ascii="Eurobank Sans" w:eastAsiaTheme="minorHAnsi" w:hAnsi="Eurobank Sans" w:cstheme="minorBidi"/>
          <w:color w:val="021342"/>
          <w:sz w:val="22"/>
          <w:szCs w:val="22"/>
          <w:lang w:val="en-US" w:eastAsia="en-US"/>
        </w:rPr>
        <w:t>Alpha Bank S.A., the National Bank of Greece S.A. and Piraeus Bank S.A. respectively (the “</w:t>
      </w:r>
      <w:r w:rsidRPr="009C2143">
        <w:rPr>
          <w:rFonts w:ascii="Eurobank Sans" w:eastAsiaTheme="minorHAnsi" w:hAnsi="Eurobank Sans" w:cstheme="minorBidi"/>
          <w:b/>
          <w:bCs/>
          <w:color w:val="021342"/>
          <w:sz w:val="22"/>
          <w:szCs w:val="22"/>
          <w:lang w:val="en-US" w:eastAsia="en-US"/>
        </w:rPr>
        <w:t>Banks</w:t>
      </w:r>
      <w:r w:rsidRPr="009C2143">
        <w:rPr>
          <w:rFonts w:ascii="Eurobank Sans" w:eastAsiaTheme="minorHAnsi" w:hAnsi="Eurobank Sans" w:cstheme="minorBidi"/>
          <w:color w:val="021342"/>
          <w:sz w:val="22"/>
          <w:szCs w:val="22"/>
          <w:lang w:val="en-US" w:eastAsia="en-US"/>
        </w:rPr>
        <w:t>”), and Waterwheel Capital Management, L.P., acting as investment manager on behalf of an affiliated entity managed by it (“</w:t>
      </w:r>
      <w:r w:rsidRPr="009C2143">
        <w:rPr>
          <w:rFonts w:ascii="Eurobank Sans" w:eastAsiaTheme="minorHAnsi" w:hAnsi="Eurobank Sans" w:cstheme="minorBidi"/>
          <w:b/>
          <w:bCs/>
          <w:color w:val="021342"/>
          <w:sz w:val="22"/>
          <w:szCs w:val="22"/>
          <w:lang w:val="en-US" w:eastAsia="en-US"/>
        </w:rPr>
        <w:t>Waterwheel Capital</w:t>
      </w:r>
      <w:r w:rsidRPr="009C2143">
        <w:rPr>
          <w:rFonts w:ascii="Eurobank Sans" w:eastAsiaTheme="minorHAnsi" w:hAnsi="Eurobank Sans" w:cstheme="minorBidi"/>
          <w:color w:val="021342"/>
          <w:sz w:val="22"/>
          <w:szCs w:val="22"/>
          <w:lang w:val="en-US" w:eastAsia="en-US"/>
        </w:rPr>
        <w:t>”) with respect to the sale to Waterwheel Capital of 95% of the Mezzanine notes and of 95% of the Junior notes to be issued in the context of the concurrent securitization by the Banks of a portfolio consisting primarily of Non-Performing Exposures with a total gross book value of approximately Euro 1.2 billion as of September 30, 2021 (the “</w:t>
      </w:r>
      <w:r w:rsidRPr="009C2143">
        <w:rPr>
          <w:rFonts w:ascii="Eurobank Sans" w:eastAsiaTheme="minorHAnsi" w:hAnsi="Eurobank Sans" w:cstheme="minorBidi"/>
          <w:b/>
          <w:bCs/>
          <w:color w:val="021342"/>
          <w:sz w:val="22"/>
          <w:szCs w:val="22"/>
          <w:lang w:val="en-US" w:eastAsia="en-US"/>
        </w:rPr>
        <w:t>Solar Transaction</w:t>
      </w:r>
      <w:r w:rsidRPr="009C2143">
        <w:rPr>
          <w:rFonts w:ascii="Eurobank Sans" w:eastAsiaTheme="minorHAnsi" w:hAnsi="Eurobank Sans" w:cstheme="minorBidi"/>
          <w:color w:val="021342"/>
          <w:sz w:val="22"/>
          <w:szCs w:val="22"/>
          <w:lang w:val="en-US" w:eastAsia="en-US"/>
        </w:rPr>
        <w:t xml:space="preserve">”). The Banks will hold 100% of the Senior notes as well as 5% of the Mezzanine and of the Junior notes. </w:t>
      </w:r>
    </w:p>
    <w:p w14:paraId="0336EE91" w14:textId="77777777" w:rsidR="009C2143" w:rsidRPr="009C2143" w:rsidRDefault="009C2143" w:rsidP="009C2143">
      <w:pPr>
        <w:tabs>
          <w:tab w:val="left" w:pos="0"/>
        </w:tabs>
        <w:spacing w:line="264" w:lineRule="auto"/>
        <w:jc w:val="both"/>
        <w:rPr>
          <w:rFonts w:ascii="Eurobank Sans" w:eastAsiaTheme="minorHAnsi" w:hAnsi="Eurobank Sans" w:cstheme="minorBidi"/>
          <w:color w:val="021342"/>
          <w:sz w:val="22"/>
          <w:szCs w:val="22"/>
          <w:lang w:val="en-US" w:eastAsia="en-US"/>
        </w:rPr>
      </w:pPr>
    </w:p>
    <w:p w14:paraId="6D6ADF47" w14:textId="77777777" w:rsidR="009C2143" w:rsidRPr="009C2143" w:rsidRDefault="009C2143" w:rsidP="009C2143">
      <w:pPr>
        <w:tabs>
          <w:tab w:val="left" w:pos="0"/>
        </w:tabs>
        <w:spacing w:line="264" w:lineRule="auto"/>
        <w:jc w:val="both"/>
        <w:rPr>
          <w:rFonts w:ascii="Eurobank Sans" w:eastAsiaTheme="minorHAnsi" w:hAnsi="Eurobank Sans" w:cstheme="minorBidi"/>
          <w:color w:val="021342"/>
          <w:sz w:val="22"/>
          <w:szCs w:val="22"/>
          <w:lang w:val="en-US" w:eastAsia="en-US"/>
        </w:rPr>
      </w:pPr>
      <w:r w:rsidRPr="009C2143">
        <w:rPr>
          <w:rFonts w:ascii="Eurobank Sans" w:eastAsiaTheme="minorHAnsi" w:hAnsi="Eurobank Sans" w:cstheme="minorBidi"/>
          <w:color w:val="021342"/>
          <w:sz w:val="22"/>
          <w:szCs w:val="22"/>
          <w:lang w:val="en-US" w:eastAsia="en-US"/>
        </w:rPr>
        <w:t>The Solar Transaction is expected to be completed within the first quarter of 2024 and is subject to customary conditions for such transactions including, among others, the issuance of the Ministerial Decision on the provision of the guarantee under the “Hercules” Hellenic Asset Protection Scheme (HAPS) (Greek Law 4649/2019) regarding the senior notes and the issuance of the supervisory approval with regard to the Significant Risk Transfer (SRT) of the underlying loan portfolio by the Single Supervisory Mechanism (the “</w:t>
      </w:r>
      <w:r w:rsidRPr="009C2143">
        <w:rPr>
          <w:rFonts w:ascii="Eurobank Sans" w:eastAsiaTheme="minorHAnsi" w:hAnsi="Eurobank Sans" w:cstheme="minorBidi"/>
          <w:b/>
          <w:bCs/>
          <w:color w:val="021342"/>
          <w:sz w:val="22"/>
          <w:szCs w:val="22"/>
          <w:lang w:val="en-US" w:eastAsia="en-US"/>
        </w:rPr>
        <w:t>SSM</w:t>
      </w:r>
      <w:r w:rsidRPr="009C2143">
        <w:rPr>
          <w:rFonts w:ascii="Eurobank Sans" w:eastAsiaTheme="minorHAnsi" w:hAnsi="Eurobank Sans" w:cstheme="minorBidi"/>
          <w:color w:val="021342"/>
          <w:sz w:val="22"/>
          <w:szCs w:val="22"/>
          <w:lang w:val="en-US" w:eastAsia="en-US"/>
        </w:rPr>
        <w:t>”).</w:t>
      </w:r>
    </w:p>
    <w:p w14:paraId="3804A640" w14:textId="77777777" w:rsidR="009C2143" w:rsidRPr="009C2143" w:rsidRDefault="009C2143" w:rsidP="009C2143">
      <w:pPr>
        <w:tabs>
          <w:tab w:val="left" w:pos="0"/>
        </w:tabs>
        <w:spacing w:line="264" w:lineRule="auto"/>
        <w:jc w:val="both"/>
        <w:rPr>
          <w:rFonts w:ascii="Eurobank Sans" w:eastAsiaTheme="minorHAnsi" w:hAnsi="Eurobank Sans" w:cstheme="minorBidi"/>
          <w:color w:val="021342"/>
          <w:sz w:val="22"/>
          <w:szCs w:val="22"/>
          <w:lang w:val="en-US" w:eastAsia="en-US"/>
        </w:rPr>
      </w:pPr>
    </w:p>
    <w:p w14:paraId="256AAE9B" w14:textId="77777777" w:rsidR="009C2143" w:rsidRPr="009C2143" w:rsidRDefault="009C2143" w:rsidP="009C2143">
      <w:pPr>
        <w:tabs>
          <w:tab w:val="left" w:pos="0"/>
        </w:tabs>
        <w:spacing w:line="264" w:lineRule="auto"/>
        <w:jc w:val="both"/>
        <w:rPr>
          <w:rFonts w:ascii="Eurobank Sans" w:eastAsiaTheme="minorHAnsi" w:hAnsi="Eurobank Sans" w:cstheme="minorBidi"/>
          <w:color w:val="021342"/>
          <w:sz w:val="22"/>
          <w:szCs w:val="22"/>
          <w:lang w:val="en-US" w:eastAsia="en-US"/>
        </w:rPr>
      </w:pPr>
      <w:r w:rsidRPr="009C2143">
        <w:rPr>
          <w:rFonts w:ascii="Eurobank Sans" w:eastAsiaTheme="minorHAnsi" w:hAnsi="Eurobank Sans" w:cstheme="minorBidi"/>
          <w:color w:val="021342"/>
          <w:sz w:val="22"/>
          <w:szCs w:val="22"/>
          <w:lang w:val="en-US" w:eastAsia="en-US"/>
        </w:rPr>
        <w:t xml:space="preserve">Upon completion of the Solar Transaction, the servicing company </w:t>
      </w:r>
      <w:proofErr w:type="spellStart"/>
      <w:r w:rsidRPr="009C2143">
        <w:rPr>
          <w:rFonts w:ascii="Eurobank Sans" w:eastAsiaTheme="minorHAnsi" w:hAnsi="Eurobank Sans" w:cstheme="minorBidi"/>
          <w:color w:val="021342"/>
          <w:sz w:val="22"/>
          <w:szCs w:val="22"/>
          <w:lang w:val="en-US" w:eastAsia="en-US"/>
        </w:rPr>
        <w:t>Cepal</w:t>
      </w:r>
      <w:proofErr w:type="spellEnd"/>
      <w:r w:rsidRPr="009C2143">
        <w:rPr>
          <w:rFonts w:ascii="Eurobank Sans" w:eastAsiaTheme="minorHAnsi" w:hAnsi="Eurobank Sans" w:cstheme="minorBidi"/>
          <w:color w:val="021342"/>
          <w:sz w:val="22"/>
          <w:szCs w:val="22"/>
          <w:lang w:val="en-US" w:eastAsia="en-US"/>
        </w:rPr>
        <w:t xml:space="preserve"> Hellas Financial Services Single Member S.A. – Servicing of Receivables from Loans and Credits, which has been licensed and is supervised by the Bank of Greece pursuant to Greek Law 4354/2015, will undertake the servicing of the portfolio.</w:t>
      </w:r>
    </w:p>
    <w:p w14:paraId="08B9437C" w14:textId="77777777" w:rsidR="009C2143" w:rsidRPr="009C2143" w:rsidRDefault="009C2143" w:rsidP="009C2143">
      <w:pPr>
        <w:tabs>
          <w:tab w:val="left" w:pos="0"/>
        </w:tabs>
        <w:spacing w:line="264" w:lineRule="auto"/>
        <w:jc w:val="both"/>
        <w:rPr>
          <w:rFonts w:ascii="Eurobank Sans" w:eastAsiaTheme="minorHAnsi" w:hAnsi="Eurobank Sans" w:cstheme="minorBidi"/>
          <w:color w:val="021342"/>
          <w:sz w:val="22"/>
          <w:szCs w:val="22"/>
          <w:lang w:val="en-US" w:eastAsia="en-US"/>
        </w:rPr>
      </w:pPr>
    </w:p>
    <w:p w14:paraId="06FDD2BF" w14:textId="5E932D07" w:rsidR="00293B2C" w:rsidRDefault="009C2143" w:rsidP="009C2143">
      <w:pPr>
        <w:tabs>
          <w:tab w:val="left" w:pos="0"/>
        </w:tabs>
        <w:spacing w:line="264" w:lineRule="auto"/>
        <w:jc w:val="both"/>
        <w:rPr>
          <w:rFonts w:ascii="Eurobank Sans" w:eastAsiaTheme="minorHAnsi" w:hAnsi="Eurobank Sans" w:cstheme="minorBidi"/>
          <w:color w:val="021342"/>
          <w:sz w:val="22"/>
          <w:szCs w:val="22"/>
          <w:lang w:val="en-US" w:eastAsia="en-US"/>
        </w:rPr>
      </w:pPr>
      <w:r w:rsidRPr="009C2143">
        <w:rPr>
          <w:rFonts w:ascii="Eurobank Sans" w:eastAsiaTheme="minorHAnsi" w:hAnsi="Eurobank Sans" w:cstheme="minorBidi"/>
          <w:color w:val="021342"/>
          <w:sz w:val="22"/>
          <w:szCs w:val="22"/>
          <w:lang w:val="en-US" w:eastAsia="en-US"/>
        </w:rPr>
        <w:t>The Solar Transaction is part of the Banks’ strategy to reduce their Non-Performing Exposures.</w:t>
      </w:r>
    </w:p>
    <w:p w14:paraId="4F334321" w14:textId="7CA31DCE" w:rsidR="00962CF1" w:rsidRDefault="00962CF1" w:rsidP="009C2143">
      <w:pPr>
        <w:tabs>
          <w:tab w:val="left" w:pos="0"/>
        </w:tabs>
        <w:spacing w:line="264" w:lineRule="auto"/>
        <w:jc w:val="both"/>
        <w:rPr>
          <w:rFonts w:ascii="Eurobank Sans" w:eastAsiaTheme="minorHAnsi" w:hAnsi="Eurobank Sans" w:cstheme="minorBidi"/>
          <w:color w:val="021342"/>
          <w:sz w:val="22"/>
          <w:szCs w:val="22"/>
          <w:lang w:val="en-US" w:eastAsia="en-US"/>
        </w:rPr>
      </w:pPr>
    </w:p>
    <w:p w14:paraId="18BB595B" w14:textId="2E4FB9A0" w:rsidR="00962CF1" w:rsidRPr="002F3A3C" w:rsidRDefault="00962CF1" w:rsidP="009C2143">
      <w:pPr>
        <w:tabs>
          <w:tab w:val="left" w:pos="0"/>
        </w:tabs>
        <w:spacing w:line="264" w:lineRule="auto"/>
        <w:jc w:val="both"/>
        <w:rPr>
          <w:rFonts w:ascii="Eurobank Sans" w:eastAsiaTheme="minorHAnsi" w:hAnsi="Eurobank Sans" w:cstheme="minorBidi"/>
          <w:color w:val="021342"/>
          <w:sz w:val="22"/>
          <w:szCs w:val="22"/>
          <w:lang w:val="en-US" w:eastAsia="en-US"/>
        </w:rPr>
      </w:pPr>
      <w:r w:rsidRPr="00962CF1">
        <w:rPr>
          <w:rFonts w:ascii="Eurobank Sans" w:eastAsiaTheme="minorHAnsi" w:hAnsi="Eurobank Sans" w:cstheme="minorBidi"/>
          <w:color w:val="021342"/>
          <w:sz w:val="22"/>
          <w:szCs w:val="22"/>
          <w:lang w:val="en-US" w:eastAsia="en-US"/>
        </w:rPr>
        <w:t xml:space="preserve">On behalf of the Banks, </w:t>
      </w:r>
      <w:proofErr w:type="spellStart"/>
      <w:r w:rsidRPr="00962CF1">
        <w:rPr>
          <w:rFonts w:ascii="Eurobank Sans" w:eastAsiaTheme="minorHAnsi" w:hAnsi="Eurobank Sans" w:cstheme="minorBidi"/>
          <w:color w:val="021342"/>
          <w:sz w:val="22"/>
          <w:szCs w:val="22"/>
          <w:lang w:val="en-US" w:eastAsia="en-US"/>
        </w:rPr>
        <w:t>Alantra</w:t>
      </w:r>
      <w:proofErr w:type="spellEnd"/>
      <w:r w:rsidRPr="00962CF1">
        <w:rPr>
          <w:rFonts w:ascii="Eurobank Sans" w:eastAsiaTheme="minorHAnsi" w:hAnsi="Eurobank Sans" w:cstheme="minorBidi"/>
          <w:color w:val="021342"/>
          <w:sz w:val="22"/>
          <w:szCs w:val="22"/>
          <w:lang w:val="en-US" w:eastAsia="en-US"/>
        </w:rPr>
        <w:t xml:space="preserve"> acts as financial advisor while Allen &amp; </w:t>
      </w:r>
      <w:proofErr w:type="spellStart"/>
      <w:r w:rsidRPr="00962CF1">
        <w:rPr>
          <w:rFonts w:ascii="Eurobank Sans" w:eastAsiaTheme="minorHAnsi" w:hAnsi="Eurobank Sans" w:cstheme="minorBidi"/>
          <w:color w:val="021342"/>
          <w:sz w:val="22"/>
          <w:szCs w:val="22"/>
          <w:lang w:val="en-US" w:eastAsia="en-US"/>
        </w:rPr>
        <w:t>Overy</w:t>
      </w:r>
      <w:proofErr w:type="spellEnd"/>
      <w:r w:rsidRPr="00962CF1">
        <w:rPr>
          <w:rFonts w:ascii="Eurobank Sans" w:eastAsiaTheme="minorHAnsi" w:hAnsi="Eurobank Sans" w:cstheme="minorBidi"/>
          <w:color w:val="021342"/>
          <w:sz w:val="22"/>
          <w:szCs w:val="22"/>
          <w:lang w:val="en-US" w:eastAsia="en-US"/>
        </w:rPr>
        <w:t xml:space="preserve"> and </w:t>
      </w:r>
      <w:proofErr w:type="spellStart"/>
      <w:r w:rsidRPr="00962CF1">
        <w:rPr>
          <w:rFonts w:ascii="Eurobank Sans" w:eastAsiaTheme="minorHAnsi" w:hAnsi="Eurobank Sans" w:cstheme="minorBidi"/>
          <w:color w:val="021342"/>
          <w:sz w:val="22"/>
          <w:szCs w:val="22"/>
          <w:lang w:val="en-US" w:eastAsia="en-US"/>
        </w:rPr>
        <w:t>Karatzas</w:t>
      </w:r>
      <w:proofErr w:type="spellEnd"/>
      <w:r w:rsidRPr="00962CF1">
        <w:rPr>
          <w:rFonts w:ascii="Eurobank Sans" w:eastAsiaTheme="minorHAnsi" w:hAnsi="Eurobank Sans" w:cstheme="minorBidi"/>
          <w:color w:val="021342"/>
          <w:sz w:val="22"/>
          <w:szCs w:val="22"/>
          <w:lang w:val="en-US" w:eastAsia="en-US"/>
        </w:rPr>
        <w:t xml:space="preserve"> &amp; Partners law firms act as external legal advisors under English and Greek law respectively.</w:t>
      </w:r>
    </w:p>
    <w:p w14:paraId="42D85BCC" w14:textId="6A4901AB" w:rsidR="00AE5C58" w:rsidRPr="002F3A3C" w:rsidRDefault="00AE5C58" w:rsidP="002F3A3C">
      <w:pPr>
        <w:tabs>
          <w:tab w:val="left" w:pos="0"/>
        </w:tabs>
        <w:spacing w:line="264" w:lineRule="auto"/>
        <w:jc w:val="both"/>
        <w:rPr>
          <w:rFonts w:ascii="Eurobank Sans" w:eastAsiaTheme="minorHAnsi" w:hAnsi="Eurobank Sans" w:cstheme="minorBidi"/>
          <w:color w:val="021342"/>
          <w:sz w:val="22"/>
          <w:szCs w:val="22"/>
          <w:lang w:val="en-US" w:eastAsia="en-US"/>
        </w:rPr>
      </w:pPr>
    </w:p>
    <w:sectPr w:rsidR="00AE5C58" w:rsidRPr="002F3A3C" w:rsidSect="00293B2C">
      <w:headerReference w:type="even" r:id="rId8"/>
      <w:headerReference w:type="default" r:id="rId9"/>
      <w:footerReference w:type="default" r:id="rId10"/>
      <w:headerReference w:type="first" r:id="rId11"/>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FA345DA" w14:textId="77777777" w:rsidR="00306490" w:rsidRDefault="00306490">
      <w:r>
        <w:separator/>
      </w:r>
    </w:p>
  </w:endnote>
  <w:endnote w:type="continuationSeparator" w:id="0">
    <w:p w14:paraId="492FA0AA" w14:textId="77777777" w:rsidR="00306490" w:rsidRDefault="00306490">
      <w:r>
        <w:continuationSeparator/>
      </w:r>
    </w:p>
  </w:endnote>
  <w:endnote w:type="continuationNotice" w:id="1">
    <w:p w14:paraId="288D3EC1" w14:textId="77777777" w:rsidR="00306490" w:rsidRDefault="0030649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A1"/>
    <w:family w:val="swiss"/>
    <w:pitch w:val="variable"/>
    <w:sig w:usb0="E0002EFF" w:usb1="C000785B" w:usb2="00000009" w:usb3="00000000" w:csb0="000001FF" w:csb1="00000000"/>
  </w:font>
  <w:font w:name="Tahoma">
    <w:panose1 w:val="020B0604030504040204"/>
    <w:charset w:val="A1"/>
    <w:family w:val="swiss"/>
    <w:pitch w:val="variable"/>
    <w:sig w:usb0="E1002EFF" w:usb1="C000605B" w:usb2="00000029" w:usb3="00000000" w:csb0="000101FF" w:csb1="00000000"/>
  </w:font>
  <w:font w:name="Cambria">
    <w:panose1 w:val="02040503050406030204"/>
    <w:charset w:val="A1"/>
    <w:family w:val="roman"/>
    <w:pitch w:val="variable"/>
    <w:sig w:usb0="E00006FF" w:usb1="420024FF" w:usb2="02000000" w:usb3="00000000" w:csb0="0000019F" w:csb1="00000000"/>
  </w:font>
  <w:font w:name="Eurobank Sans">
    <w:panose1 w:val="02000503000000020004"/>
    <w:charset w:val="A1"/>
    <w:family w:val="auto"/>
    <w:pitch w:val="variable"/>
    <w:sig w:usb0="A00002BF" w:usb1="5000000A" w:usb2="00000000" w:usb3="00000000" w:csb0="0000009F" w:csb1="00000000"/>
  </w:font>
  <w:font w:name="Calibri">
    <w:panose1 w:val="020F0502020204030204"/>
    <w:charset w:val="A1"/>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5C071E" w14:textId="77777777" w:rsidR="00293B2C" w:rsidRPr="004D6341" w:rsidRDefault="00293B2C" w:rsidP="004D6341">
    <w:pPr>
      <w:tabs>
        <w:tab w:val="left" w:pos="0"/>
      </w:tabs>
      <w:spacing w:after="160" w:line="259" w:lineRule="auto"/>
      <w:jc w:val="right"/>
      <w:rPr>
        <w:rFonts w:ascii="Eurobank Sans" w:eastAsiaTheme="minorHAnsi" w:hAnsi="Eurobank Sans" w:cstheme="minorBidi"/>
        <w:color w:val="021342"/>
        <w:sz w:val="22"/>
        <w:szCs w:val="22"/>
        <w:lang w:val="en-US" w:eastAsia="en-US"/>
      </w:rPr>
    </w:pPr>
    <w:r>
      <w:rPr>
        <w:rFonts w:ascii="Eurobank Sans" w:eastAsiaTheme="minorHAnsi" w:hAnsi="Eurobank Sans" w:cstheme="minorBidi"/>
        <w:color w:val="021342"/>
        <w:sz w:val="22"/>
        <w:szCs w:val="22"/>
        <w:lang w:val="en-US" w:eastAsia="en-US"/>
      </w:rPr>
      <w:t>p</w:t>
    </w:r>
    <w:r w:rsidRPr="004D6341">
      <w:rPr>
        <w:rFonts w:ascii="Eurobank Sans" w:eastAsiaTheme="minorHAnsi" w:hAnsi="Eurobank Sans" w:cstheme="minorBidi"/>
        <w:color w:val="021342"/>
        <w:sz w:val="22"/>
        <w:szCs w:val="22"/>
        <w:lang w:val="en-US" w:eastAsia="en-US"/>
      </w:rPr>
      <w:t xml:space="preserve">. </w:t>
    </w:r>
    <w:r w:rsidRPr="004D6341">
      <w:rPr>
        <w:rFonts w:ascii="Eurobank Sans" w:eastAsiaTheme="minorHAnsi" w:hAnsi="Eurobank Sans" w:cstheme="minorBidi"/>
        <w:color w:val="021342"/>
        <w:sz w:val="22"/>
        <w:szCs w:val="22"/>
        <w:lang w:val="en-US" w:eastAsia="en-US"/>
      </w:rPr>
      <w:fldChar w:fldCharType="begin"/>
    </w:r>
    <w:r w:rsidRPr="004D6341">
      <w:rPr>
        <w:rFonts w:ascii="Eurobank Sans" w:eastAsiaTheme="minorHAnsi" w:hAnsi="Eurobank Sans" w:cstheme="minorBidi"/>
        <w:color w:val="021342"/>
        <w:sz w:val="22"/>
        <w:szCs w:val="22"/>
        <w:lang w:val="en-US" w:eastAsia="en-US"/>
      </w:rPr>
      <w:instrText xml:space="preserve"> PAGE  \* Arabic  \* MERGEFORMAT </w:instrText>
    </w:r>
    <w:r w:rsidRPr="004D6341">
      <w:rPr>
        <w:rFonts w:ascii="Eurobank Sans" w:eastAsiaTheme="minorHAnsi" w:hAnsi="Eurobank Sans" w:cstheme="minorBidi"/>
        <w:color w:val="021342"/>
        <w:sz w:val="22"/>
        <w:szCs w:val="22"/>
        <w:lang w:val="en-US" w:eastAsia="en-US"/>
      </w:rPr>
      <w:fldChar w:fldCharType="separate"/>
    </w:r>
    <w:r w:rsidRPr="004D6341">
      <w:rPr>
        <w:rFonts w:ascii="Eurobank Sans" w:eastAsiaTheme="minorHAnsi" w:hAnsi="Eurobank Sans" w:cstheme="minorBidi"/>
        <w:noProof/>
        <w:color w:val="021342"/>
        <w:sz w:val="22"/>
        <w:szCs w:val="22"/>
        <w:lang w:val="en-US" w:eastAsia="en-US"/>
      </w:rPr>
      <w:t>1</w:t>
    </w:r>
    <w:r w:rsidRPr="004D6341">
      <w:rPr>
        <w:rFonts w:ascii="Eurobank Sans" w:eastAsiaTheme="minorHAnsi" w:hAnsi="Eurobank Sans" w:cstheme="minorBidi"/>
        <w:color w:val="021342"/>
        <w:sz w:val="22"/>
        <w:szCs w:val="22"/>
        <w:lang w:val="en-US" w:eastAsia="en-US"/>
      </w:rPr>
      <w:fldChar w:fldCharType="end"/>
    </w:r>
    <w:r w:rsidRPr="004D6341">
      <w:rPr>
        <w:rFonts w:ascii="Eurobank Sans" w:eastAsiaTheme="minorHAnsi" w:hAnsi="Eurobank Sans" w:cstheme="minorBidi"/>
        <w:color w:val="021342"/>
        <w:sz w:val="22"/>
        <w:szCs w:val="22"/>
        <w:lang w:val="en-US" w:eastAsia="en-US"/>
      </w:rPr>
      <w:t xml:space="preserve"> </w:t>
    </w:r>
    <w:r>
      <w:rPr>
        <w:rFonts w:ascii="Eurobank Sans" w:eastAsiaTheme="minorHAnsi" w:hAnsi="Eurobank Sans" w:cstheme="minorBidi"/>
        <w:color w:val="021342"/>
        <w:sz w:val="22"/>
        <w:szCs w:val="22"/>
        <w:lang w:val="en-US" w:eastAsia="en-US"/>
      </w:rPr>
      <w:t>of</w:t>
    </w:r>
    <w:r w:rsidRPr="004D6341">
      <w:rPr>
        <w:rFonts w:ascii="Eurobank Sans" w:eastAsiaTheme="minorHAnsi" w:hAnsi="Eurobank Sans" w:cstheme="minorBidi"/>
        <w:color w:val="021342"/>
        <w:sz w:val="22"/>
        <w:szCs w:val="22"/>
        <w:lang w:val="en-US" w:eastAsia="en-US"/>
      </w:rPr>
      <w:t xml:space="preserve"> </w:t>
    </w:r>
    <w:r w:rsidRPr="004D6341">
      <w:rPr>
        <w:rFonts w:ascii="Eurobank Sans" w:eastAsiaTheme="minorHAnsi" w:hAnsi="Eurobank Sans" w:cstheme="minorBidi"/>
        <w:color w:val="021342"/>
        <w:sz w:val="22"/>
        <w:szCs w:val="22"/>
        <w:lang w:val="en-US" w:eastAsia="en-US"/>
      </w:rPr>
      <w:fldChar w:fldCharType="begin"/>
    </w:r>
    <w:r w:rsidRPr="004D6341">
      <w:rPr>
        <w:rFonts w:ascii="Eurobank Sans" w:eastAsiaTheme="minorHAnsi" w:hAnsi="Eurobank Sans" w:cstheme="minorBidi"/>
        <w:color w:val="021342"/>
        <w:sz w:val="22"/>
        <w:szCs w:val="22"/>
        <w:lang w:val="en-US" w:eastAsia="en-US"/>
      </w:rPr>
      <w:instrText xml:space="preserve"> NUMPAGES  \* Arabic  \* MERGEFORMAT </w:instrText>
    </w:r>
    <w:r w:rsidRPr="004D6341">
      <w:rPr>
        <w:rFonts w:ascii="Eurobank Sans" w:eastAsiaTheme="minorHAnsi" w:hAnsi="Eurobank Sans" w:cstheme="minorBidi"/>
        <w:color w:val="021342"/>
        <w:sz w:val="22"/>
        <w:szCs w:val="22"/>
        <w:lang w:val="en-US" w:eastAsia="en-US"/>
      </w:rPr>
      <w:fldChar w:fldCharType="separate"/>
    </w:r>
    <w:r w:rsidRPr="004D6341">
      <w:rPr>
        <w:rFonts w:ascii="Eurobank Sans" w:eastAsiaTheme="minorHAnsi" w:hAnsi="Eurobank Sans" w:cstheme="minorBidi"/>
        <w:noProof/>
        <w:color w:val="021342"/>
        <w:sz w:val="22"/>
        <w:szCs w:val="22"/>
        <w:lang w:val="en-US" w:eastAsia="en-US"/>
      </w:rPr>
      <w:t>2</w:t>
    </w:r>
    <w:r w:rsidRPr="004D6341">
      <w:rPr>
        <w:rFonts w:ascii="Eurobank Sans" w:eastAsiaTheme="minorHAnsi" w:hAnsi="Eurobank Sans" w:cstheme="minorBidi"/>
        <w:color w:val="021342"/>
        <w:sz w:val="22"/>
        <w:szCs w:val="22"/>
        <w:lang w:val="en-US" w:eastAsia="en-US"/>
      </w:rPr>
      <w:fldChar w:fldCharType="end"/>
    </w:r>
  </w:p>
  <w:p w14:paraId="6E28D01A" w14:textId="77777777" w:rsidR="00EB711C" w:rsidRPr="00D61969" w:rsidRDefault="00EB711C" w:rsidP="004D6341">
    <w:pPr>
      <w:pStyle w:val="Footer"/>
      <w:rPr>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8FDA4C8" w14:textId="77777777" w:rsidR="00306490" w:rsidRDefault="00306490">
      <w:r>
        <w:separator/>
      </w:r>
    </w:p>
  </w:footnote>
  <w:footnote w:type="continuationSeparator" w:id="0">
    <w:p w14:paraId="1FC3C274" w14:textId="77777777" w:rsidR="00306490" w:rsidRDefault="00306490">
      <w:r>
        <w:continuationSeparator/>
      </w:r>
    </w:p>
  </w:footnote>
  <w:footnote w:type="continuationNotice" w:id="1">
    <w:p w14:paraId="21C9EA50" w14:textId="77777777" w:rsidR="00306490" w:rsidRDefault="00306490"/>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CE83E5" w14:textId="48FDBCF8" w:rsidR="007434BB" w:rsidRDefault="00962CF1">
    <w:pPr>
      <w:pStyle w:val="Header"/>
    </w:pPr>
    <w:r>
      <w:rPr>
        <w:noProof/>
      </w:rPr>
      <w:pict w14:anchorId="2C72BE5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98729407" o:spid="_x0000_s1026" type="#_x0000_t136" style="position:absolute;margin-left:0;margin-top:0;width:429.4pt;height:257.6pt;rotation:315;z-index:-251655168;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53"/>
      <w:gridCol w:w="4153"/>
    </w:tblGrid>
    <w:tr w:rsidR="00EB711C" w14:paraId="777AF1A8" w14:textId="77777777" w:rsidTr="002F3A3C">
      <w:tc>
        <w:tcPr>
          <w:tcW w:w="2500" w:type="pct"/>
        </w:tcPr>
        <w:p w14:paraId="28324F42" w14:textId="77777777" w:rsidR="00EB711C" w:rsidRDefault="007174BD" w:rsidP="008832E2">
          <w:pPr>
            <w:pStyle w:val="Header"/>
            <w:rPr>
              <w:noProof/>
              <w:lang w:val="en-US"/>
            </w:rPr>
          </w:pPr>
          <w:r>
            <w:rPr>
              <w:noProof/>
            </w:rPr>
            <w:drawing>
              <wp:inline distT="0" distB="0" distL="0" distR="0" wp14:anchorId="02FBE25F" wp14:editId="14281947">
                <wp:extent cx="1598797" cy="565639"/>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HoldCo.png"/>
                        <pic:cNvPicPr/>
                      </pic:nvPicPr>
                      <pic:blipFill>
                        <a:blip r:embed="rId1">
                          <a:extLst>
                            <a:ext uri="{28A0092B-C50C-407E-A947-70E740481C1C}">
                              <a14:useLocalDpi xmlns:a14="http://schemas.microsoft.com/office/drawing/2010/main" val="0"/>
                            </a:ext>
                          </a:extLst>
                        </a:blip>
                        <a:stretch>
                          <a:fillRect/>
                        </a:stretch>
                      </pic:blipFill>
                      <pic:spPr>
                        <a:xfrm>
                          <a:off x="0" y="0"/>
                          <a:ext cx="1655787" cy="585801"/>
                        </a:xfrm>
                        <a:prstGeom prst="rect">
                          <a:avLst/>
                        </a:prstGeom>
                      </pic:spPr>
                    </pic:pic>
                  </a:graphicData>
                </a:graphic>
              </wp:inline>
            </w:drawing>
          </w:r>
        </w:p>
      </w:tc>
      <w:tc>
        <w:tcPr>
          <w:tcW w:w="2500" w:type="pct"/>
        </w:tcPr>
        <w:p w14:paraId="2D1771F1" w14:textId="77777777" w:rsidR="00EB711C" w:rsidRDefault="00693B1E" w:rsidP="008832E2">
          <w:pPr>
            <w:pStyle w:val="Header"/>
            <w:jc w:val="right"/>
            <w:rPr>
              <w:noProof/>
              <w:lang w:val="en-US"/>
            </w:rPr>
          </w:pPr>
          <w:r>
            <w:rPr>
              <w:noProof/>
            </w:rPr>
            <w:drawing>
              <wp:inline distT="0" distB="0" distL="0" distR="0" wp14:anchorId="615E6633" wp14:editId="7D83A637">
                <wp:extent cx="1493185" cy="321349"/>
                <wp:effectExtent l="0" t="0" r="0" b="254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NEW LOGO EUROBANK 10.11.2021.png"/>
                        <pic:cNvPicPr/>
                      </pic:nvPicPr>
                      <pic:blipFill>
                        <a:blip r:embed="rId2" cstate="print">
                          <a:extLst>
                            <a:ext uri="{28A0092B-C50C-407E-A947-70E740481C1C}">
                              <a14:useLocalDpi xmlns:a14="http://schemas.microsoft.com/office/drawing/2010/main" val="0"/>
                            </a:ext>
                          </a:extLst>
                        </a:blip>
                        <a:stretch>
                          <a:fillRect/>
                        </a:stretch>
                      </pic:blipFill>
                      <pic:spPr>
                        <a:xfrm>
                          <a:off x="0" y="0"/>
                          <a:ext cx="1629777" cy="350745"/>
                        </a:xfrm>
                        <a:prstGeom prst="rect">
                          <a:avLst/>
                        </a:prstGeom>
                      </pic:spPr>
                    </pic:pic>
                  </a:graphicData>
                </a:graphic>
              </wp:inline>
            </w:drawing>
          </w:r>
        </w:p>
      </w:tc>
    </w:tr>
  </w:tbl>
  <w:p w14:paraId="4295A255" w14:textId="45DABB82" w:rsidR="00EB711C" w:rsidRDefault="00EB711C">
    <w:pPr>
      <w:pStyle w:val="Header"/>
      <w:rPr>
        <w:noProof/>
        <w:lang w:val="en-US"/>
      </w:rPr>
    </w:pPr>
  </w:p>
  <w:p w14:paraId="01816ABA" w14:textId="77777777" w:rsidR="00EB711C" w:rsidRPr="003301DA" w:rsidRDefault="00EB711C">
    <w:pPr>
      <w:pStyle w:val="Header"/>
      <w:rPr>
        <w:lang w:val="en-US"/>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178827" w14:textId="12861E07" w:rsidR="007434BB" w:rsidRDefault="00962CF1">
    <w:pPr>
      <w:pStyle w:val="Header"/>
    </w:pPr>
    <w:r>
      <w:rPr>
        <w:noProof/>
      </w:rPr>
      <w:pict w14:anchorId="1AB7A6C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98729406" o:spid="_x0000_s1025" type="#_x0000_t136" style="position:absolute;margin-left:0;margin-top:0;width:429.4pt;height:257.6pt;rotation:315;z-index:-251657216;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754893"/>
    <w:multiLevelType w:val="multilevel"/>
    <w:tmpl w:val="B1269BDE"/>
    <w:lvl w:ilvl="0">
      <w:start w:val="1"/>
      <w:numFmt w:val="bullet"/>
      <w:lvlText w:val=""/>
      <w:lvlJc w:val="left"/>
      <w:pPr>
        <w:ind w:left="1080" w:hanging="360"/>
      </w:pPr>
      <w:rPr>
        <w:rFonts w:ascii="Symbol" w:hAnsi="Symbol"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1" w15:restartNumberingAfterBreak="0">
    <w:nsid w:val="08043338"/>
    <w:multiLevelType w:val="hybridMultilevel"/>
    <w:tmpl w:val="980A43AE"/>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 w15:restartNumberingAfterBreak="0">
    <w:nsid w:val="0C65232D"/>
    <w:multiLevelType w:val="hybridMultilevel"/>
    <w:tmpl w:val="4D647CA6"/>
    <w:lvl w:ilvl="0" w:tplc="0408000F">
      <w:start w:val="1"/>
      <w:numFmt w:val="decimal"/>
      <w:lvlText w:val="%1."/>
      <w:lvlJc w:val="left"/>
      <w:pPr>
        <w:tabs>
          <w:tab w:val="num" w:pos="720"/>
        </w:tabs>
        <w:ind w:left="720" w:hanging="360"/>
      </w:pPr>
    </w:lvl>
    <w:lvl w:ilvl="1" w:tplc="04080001">
      <w:start w:val="1"/>
      <w:numFmt w:val="bullet"/>
      <w:lvlText w:val=""/>
      <w:lvlJc w:val="left"/>
      <w:pPr>
        <w:tabs>
          <w:tab w:val="num" w:pos="1440"/>
        </w:tabs>
        <w:ind w:left="1440" w:hanging="360"/>
      </w:pPr>
      <w:rPr>
        <w:rFonts w:ascii="Symbol" w:hAnsi="Symbol" w:hint="default"/>
      </w:r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3" w15:restartNumberingAfterBreak="0">
    <w:nsid w:val="175D0A8C"/>
    <w:multiLevelType w:val="hybridMultilevel"/>
    <w:tmpl w:val="AE6A95A0"/>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4" w15:restartNumberingAfterBreak="0">
    <w:nsid w:val="1E8A3939"/>
    <w:multiLevelType w:val="multilevel"/>
    <w:tmpl w:val="0DC453A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2C224BC9"/>
    <w:multiLevelType w:val="hybridMultilevel"/>
    <w:tmpl w:val="F2EAB6EE"/>
    <w:lvl w:ilvl="0" w:tplc="672A50FA">
      <w:start w:val="1"/>
      <w:numFmt w:val="decimal"/>
      <w:lvlText w:val="%1."/>
      <w:lvlJc w:val="left"/>
      <w:pPr>
        <w:tabs>
          <w:tab w:val="num" w:pos="644"/>
        </w:tabs>
        <w:ind w:left="644" w:hanging="360"/>
      </w:pPr>
      <w:rPr>
        <w:rFonts w:cs="Times New Roman" w:hint="default"/>
        <w:color w:val="auto"/>
      </w:rPr>
    </w:lvl>
    <w:lvl w:ilvl="1" w:tplc="4322ED56">
      <w:start w:val="2"/>
      <w:numFmt w:val="bullet"/>
      <w:lvlText w:val=""/>
      <w:lvlJc w:val="left"/>
      <w:pPr>
        <w:tabs>
          <w:tab w:val="num" w:pos="1364"/>
        </w:tabs>
        <w:ind w:left="1364" w:hanging="360"/>
      </w:pPr>
      <w:rPr>
        <w:rFonts w:ascii="Symbol" w:hAnsi="Symbol" w:hint="default"/>
      </w:rPr>
    </w:lvl>
    <w:lvl w:ilvl="2" w:tplc="0408001B" w:tentative="1">
      <w:start w:val="1"/>
      <w:numFmt w:val="lowerRoman"/>
      <w:lvlText w:val="%3."/>
      <w:lvlJc w:val="right"/>
      <w:pPr>
        <w:tabs>
          <w:tab w:val="num" w:pos="2084"/>
        </w:tabs>
        <w:ind w:left="2084" w:hanging="180"/>
      </w:pPr>
      <w:rPr>
        <w:rFonts w:cs="Times New Roman"/>
      </w:rPr>
    </w:lvl>
    <w:lvl w:ilvl="3" w:tplc="0408000F" w:tentative="1">
      <w:start w:val="1"/>
      <w:numFmt w:val="decimal"/>
      <w:lvlText w:val="%4."/>
      <w:lvlJc w:val="left"/>
      <w:pPr>
        <w:tabs>
          <w:tab w:val="num" w:pos="2804"/>
        </w:tabs>
        <w:ind w:left="2804" w:hanging="360"/>
      </w:pPr>
      <w:rPr>
        <w:rFonts w:cs="Times New Roman"/>
      </w:rPr>
    </w:lvl>
    <w:lvl w:ilvl="4" w:tplc="04080019" w:tentative="1">
      <w:start w:val="1"/>
      <w:numFmt w:val="lowerLetter"/>
      <w:lvlText w:val="%5."/>
      <w:lvlJc w:val="left"/>
      <w:pPr>
        <w:tabs>
          <w:tab w:val="num" w:pos="3524"/>
        </w:tabs>
        <w:ind w:left="3524" w:hanging="360"/>
      </w:pPr>
      <w:rPr>
        <w:rFonts w:cs="Times New Roman"/>
      </w:rPr>
    </w:lvl>
    <w:lvl w:ilvl="5" w:tplc="0408001B" w:tentative="1">
      <w:start w:val="1"/>
      <w:numFmt w:val="lowerRoman"/>
      <w:lvlText w:val="%6."/>
      <w:lvlJc w:val="right"/>
      <w:pPr>
        <w:tabs>
          <w:tab w:val="num" w:pos="4244"/>
        </w:tabs>
        <w:ind w:left="4244" w:hanging="180"/>
      </w:pPr>
      <w:rPr>
        <w:rFonts w:cs="Times New Roman"/>
      </w:rPr>
    </w:lvl>
    <w:lvl w:ilvl="6" w:tplc="0408000F" w:tentative="1">
      <w:start w:val="1"/>
      <w:numFmt w:val="decimal"/>
      <w:lvlText w:val="%7."/>
      <w:lvlJc w:val="left"/>
      <w:pPr>
        <w:tabs>
          <w:tab w:val="num" w:pos="4964"/>
        </w:tabs>
        <w:ind w:left="4964" w:hanging="360"/>
      </w:pPr>
      <w:rPr>
        <w:rFonts w:cs="Times New Roman"/>
      </w:rPr>
    </w:lvl>
    <w:lvl w:ilvl="7" w:tplc="04080019" w:tentative="1">
      <w:start w:val="1"/>
      <w:numFmt w:val="lowerLetter"/>
      <w:lvlText w:val="%8."/>
      <w:lvlJc w:val="left"/>
      <w:pPr>
        <w:tabs>
          <w:tab w:val="num" w:pos="5684"/>
        </w:tabs>
        <w:ind w:left="5684" w:hanging="360"/>
      </w:pPr>
      <w:rPr>
        <w:rFonts w:cs="Times New Roman"/>
      </w:rPr>
    </w:lvl>
    <w:lvl w:ilvl="8" w:tplc="0408001B" w:tentative="1">
      <w:start w:val="1"/>
      <w:numFmt w:val="lowerRoman"/>
      <w:lvlText w:val="%9."/>
      <w:lvlJc w:val="right"/>
      <w:pPr>
        <w:tabs>
          <w:tab w:val="num" w:pos="6404"/>
        </w:tabs>
        <w:ind w:left="6404" w:hanging="180"/>
      </w:pPr>
      <w:rPr>
        <w:rFonts w:cs="Times New Roman"/>
      </w:rPr>
    </w:lvl>
  </w:abstractNum>
  <w:abstractNum w:abstractNumId="6" w15:restartNumberingAfterBreak="0">
    <w:nsid w:val="3E8B2A9B"/>
    <w:multiLevelType w:val="hybridMultilevel"/>
    <w:tmpl w:val="5022919A"/>
    <w:lvl w:ilvl="0" w:tplc="0968328C">
      <w:start w:val="1"/>
      <mc:AlternateContent>
        <mc:Choice Requires="w14">
          <w:numFmt w:val="custom" w:format="α, β, γ, ..."/>
        </mc:Choice>
        <mc:Fallback>
          <w:numFmt w:val="decimal"/>
        </mc:Fallback>
      </mc:AlternateContent>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57E488F"/>
    <w:multiLevelType w:val="hybridMultilevel"/>
    <w:tmpl w:val="A1467392"/>
    <w:lvl w:ilvl="0" w:tplc="0408000F">
      <w:start w:val="1"/>
      <w:numFmt w:val="decimal"/>
      <w:lvlText w:val="%1."/>
      <w:lvlJc w:val="left"/>
      <w:pPr>
        <w:tabs>
          <w:tab w:val="num" w:pos="1080"/>
        </w:tabs>
        <w:ind w:left="1080" w:hanging="360"/>
      </w:pPr>
    </w:lvl>
    <w:lvl w:ilvl="1" w:tplc="04080019" w:tentative="1">
      <w:start w:val="1"/>
      <w:numFmt w:val="lowerLetter"/>
      <w:lvlText w:val="%2."/>
      <w:lvlJc w:val="left"/>
      <w:pPr>
        <w:tabs>
          <w:tab w:val="num" w:pos="1800"/>
        </w:tabs>
        <w:ind w:left="1800" w:hanging="360"/>
      </w:pPr>
    </w:lvl>
    <w:lvl w:ilvl="2" w:tplc="0408001B" w:tentative="1">
      <w:start w:val="1"/>
      <w:numFmt w:val="lowerRoman"/>
      <w:lvlText w:val="%3."/>
      <w:lvlJc w:val="right"/>
      <w:pPr>
        <w:tabs>
          <w:tab w:val="num" w:pos="2520"/>
        </w:tabs>
        <w:ind w:left="2520" w:hanging="180"/>
      </w:pPr>
    </w:lvl>
    <w:lvl w:ilvl="3" w:tplc="0408000F" w:tentative="1">
      <w:start w:val="1"/>
      <w:numFmt w:val="decimal"/>
      <w:lvlText w:val="%4."/>
      <w:lvlJc w:val="left"/>
      <w:pPr>
        <w:tabs>
          <w:tab w:val="num" w:pos="3240"/>
        </w:tabs>
        <w:ind w:left="3240" w:hanging="360"/>
      </w:pPr>
    </w:lvl>
    <w:lvl w:ilvl="4" w:tplc="04080019" w:tentative="1">
      <w:start w:val="1"/>
      <w:numFmt w:val="lowerLetter"/>
      <w:lvlText w:val="%5."/>
      <w:lvlJc w:val="left"/>
      <w:pPr>
        <w:tabs>
          <w:tab w:val="num" w:pos="3960"/>
        </w:tabs>
        <w:ind w:left="3960" w:hanging="360"/>
      </w:pPr>
    </w:lvl>
    <w:lvl w:ilvl="5" w:tplc="0408001B" w:tentative="1">
      <w:start w:val="1"/>
      <w:numFmt w:val="lowerRoman"/>
      <w:lvlText w:val="%6."/>
      <w:lvlJc w:val="right"/>
      <w:pPr>
        <w:tabs>
          <w:tab w:val="num" w:pos="4680"/>
        </w:tabs>
        <w:ind w:left="4680" w:hanging="180"/>
      </w:pPr>
    </w:lvl>
    <w:lvl w:ilvl="6" w:tplc="0408000F" w:tentative="1">
      <w:start w:val="1"/>
      <w:numFmt w:val="decimal"/>
      <w:lvlText w:val="%7."/>
      <w:lvlJc w:val="left"/>
      <w:pPr>
        <w:tabs>
          <w:tab w:val="num" w:pos="5400"/>
        </w:tabs>
        <w:ind w:left="5400" w:hanging="360"/>
      </w:pPr>
    </w:lvl>
    <w:lvl w:ilvl="7" w:tplc="04080019" w:tentative="1">
      <w:start w:val="1"/>
      <w:numFmt w:val="lowerLetter"/>
      <w:lvlText w:val="%8."/>
      <w:lvlJc w:val="left"/>
      <w:pPr>
        <w:tabs>
          <w:tab w:val="num" w:pos="6120"/>
        </w:tabs>
        <w:ind w:left="6120" w:hanging="360"/>
      </w:pPr>
    </w:lvl>
    <w:lvl w:ilvl="8" w:tplc="0408001B" w:tentative="1">
      <w:start w:val="1"/>
      <w:numFmt w:val="lowerRoman"/>
      <w:lvlText w:val="%9."/>
      <w:lvlJc w:val="right"/>
      <w:pPr>
        <w:tabs>
          <w:tab w:val="num" w:pos="6840"/>
        </w:tabs>
        <w:ind w:left="6840" w:hanging="180"/>
      </w:pPr>
    </w:lvl>
  </w:abstractNum>
  <w:abstractNum w:abstractNumId="8" w15:restartNumberingAfterBreak="0">
    <w:nsid w:val="4D127C02"/>
    <w:multiLevelType w:val="hybridMultilevel"/>
    <w:tmpl w:val="5C9E755C"/>
    <w:lvl w:ilvl="0" w:tplc="0408000F">
      <w:start w:val="1"/>
      <w:numFmt w:val="decimal"/>
      <w:lvlText w:val="%1."/>
      <w:lvlJc w:val="left"/>
      <w:pPr>
        <w:tabs>
          <w:tab w:val="num" w:pos="720"/>
        </w:tabs>
        <w:ind w:left="720" w:hanging="360"/>
      </w:pPr>
    </w:lvl>
    <w:lvl w:ilvl="1" w:tplc="04080019" w:tentative="1">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9" w15:restartNumberingAfterBreak="0">
    <w:nsid w:val="51056B14"/>
    <w:multiLevelType w:val="hybridMultilevel"/>
    <w:tmpl w:val="32BA71DA"/>
    <w:lvl w:ilvl="0" w:tplc="18166488">
      <w:start w:val="1"/>
      <w:numFmt w:val="lowerLetter"/>
      <w:lvlText w:val="(%1)"/>
      <w:lvlJc w:val="left"/>
      <w:pPr>
        <w:ind w:left="360" w:hanging="360"/>
      </w:pPr>
      <w:rPr>
        <w:rFonts w:hint="default"/>
      </w:rPr>
    </w:lvl>
    <w:lvl w:ilvl="1" w:tplc="04080019" w:tentative="1">
      <w:start w:val="1"/>
      <w:numFmt w:val="lowerLetter"/>
      <w:lvlText w:val="%2."/>
      <w:lvlJc w:val="left"/>
      <w:pPr>
        <w:ind w:left="1080" w:hanging="360"/>
      </w:pPr>
    </w:lvl>
    <w:lvl w:ilvl="2" w:tplc="0408001B" w:tentative="1">
      <w:start w:val="1"/>
      <w:numFmt w:val="lowerRoman"/>
      <w:lvlText w:val="%3."/>
      <w:lvlJc w:val="right"/>
      <w:pPr>
        <w:ind w:left="1800" w:hanging="180"/>
      </w:pPr>
    </w:lvl>
    <w:lvl w:ilvl="3" w:tplc="0408000F" w:tentative="1">
      <w:start w:val="1"/>
      <w:numFmt w:val="decimal"/>
      <w:lvlText w:val="%4."/>
      <w:lvlJc w:val="left"/>
      <w:pPr>
        <w:ind w:left="2520" w:hanging="360"/>
      </w:pPr>
    </w:lvl>
    <w:lvl w:ilvl="4" w:tplc="04080019" w:tentative="1">
      <w:start w:val="1"/>
      <w:numFmt w:val="lowerLetter"/>
      <w:lvlText w:val="%5."/>
      <w:lvlJc w:val="left"/>
      <w:pPr>
        <w:ind w:left="3240" w:hanging="360"/>
      </w:pPr>
    </w:lvl>
    <w:lvl w:ilvl="5" w:tplc="0408001B" w:tentative="1">
      <w:start w:val="1"/>
      <w:numFmt w:val="lowerRoman"/>
      <w:lvlText w:val="%6."/>
      <w:lvlJc w:val="right"/>
      <w:pPr>
        <w:ind w:left="3960" w:hanging="180"/>
      </w:pPr>
    </w:lvl>
    <w:lvl w:ilvl="6" w:tplc="0408000F" w:tentative="1">
      <w:start w:val="1"/>
      <w:numFmt w:val="decimal"/>
      <w:lvlText w:val="%7."/>
      <w:lvlJc w:val="left"/>
      <w:pPr>
        <w:ind w:left="4680" w:hanging="360"/>
      </w:pPr>
    </w:lvl>
    <w:lvl w:ilvl="7" w:tplc="04080019" w:tentative="1">
      <w:start w:val="1"/>
      <w:numFmt w:val="lowerLetter"/>
      <w:lvlText w:val="%8."/>
      <w:lvlJc w:val="left"/>
      <w:pPr>
        <w:ind w:left="5400" w:hanging="360"/>
      </w:pPr>
    </w:lvl>
    <w:lvl w:ilvl="8" w:tplc="0408001B" w:tentative="1">
      <w:start w:val="1"/>
      <w:numFmt w:val="lowerRoman"/>
      <w:lvlText w:val="%9."/>
      <w:lvlJc w:val="right"/>
      <w:pPr>
        <w:ind w:left="6120" w:hanging="180"/>
      </w:pPr>
    </w:lvl>
  </w:abstractNum>
  <w:abstractNum w:abstractNumId="10" w15:restartNumberingAfterBreak="0">
    <w:nsid w:val="67BF5F6C"/>
    <w:multiLevelType w:val="hybridMultilevel"/>
    <w:tmpl w:val="E80A630C"/>
    <w:lvl w:ilvl="0" w:tplc="0408000F">
      <w:start w:val="1"/>
      <w:numFmt w:val="decimal"/>
      <w:lvlText w:val="%1."/>
      <w:lvlJc w:val="left"/>
      <w:pPr>
        <w:tabs>
          <w:tab w:val="num" w:pos="720"/>
        </w:tabs>
        <w:ind w:left="720" w:hanging="360"/>
      </w:pPr>
    </w:lvl>
    <w:lvl w:ilvl="1" w:tplc="04080019" w:tentative="1">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11" w15:restartNumberingAfterBreak="0">
    <w:nsid w:val="7A31076B"/>
    <w:multiLevelType w:val="hybridMultilevel"/>
    <w:tmpl w:val="B1269BDE"/>
    <w:lvl w:ilvl="0" w:tplc="04080001">
      <w:start w:val="1"/>
      <w:numFmt w:val="bullet"/>
      <w:lvlText w:val=""/>
      <w:lvlJc w:val="left"/>
      <w:pPr>
        <w:ind w:left="1080" w:hanging="360"/>
      </w:pPr>
      <w:rPr>
        <w:rFonts w:ascii="Symbol" w:hAnsi="Symbol" w:hint="default"/>
      </w:rPr>
    </w:lvl>
    <w:lvl w:ilvl="1" w:tplc="04080003" w:tentative="1">
      <w:start w:val="1"/>
      <w:numFmt w:val="bullet"/>
      <w:lvlText w:val="o"/>
      <w:lvlJc w:val="left"/>
      <w:pPr>
        <w:ind w:left="1800" w:hanging="360"/>
      </w:pPr>
      <w:rPr>
        <w:rFonts w:ascii="Courier New" w:hAnsi="Courier New" w:cs="Courier New" w:hint="default"/>
      </w:rPr>
    </w:lvl>
    <w:lvl w:ilvl="2" w:tplc="04080005" w:tentative="1">
      <w:start w:val="1"/>
      <w:numFmt w:val="bullet"/>
      <w:lvlText w:val=""/>
      <w:lvlJc w:val="left"/>
      <w:pPr>
        <w:ind w:left="2520" w:hanging="360"/>
      </w:pPr>
      <w:rPr>
        <w:rFonts w:ascii="Wingdings" w:hAnsi="Wingdings" w:hint="default"/>
      </w:rPr>
    </w:lvl>
    <w:lvl w:ilvl="3" w:tplc="04080001" w:tentative="1">
      <w:start w:val="1"/>
      <w:numFmt w:val="bullet"/>
      <w:lvlText w:val=""/>
      <w:lvlJc w:val="left"/>
      <w:pPr>
        <w:ind w:left="3240" w:hanging="360"/>
      </w:pPr>
      <w:rPr>
        <w:rFonts w:ascii="Symbol" w:hAnsi="Symbol" w:hint="default"/>
      </w:rPr>
    </w:lvl>
    <w:lvl w:ilvl="4" w:tplc="04080003" w:tentative="1">
      <w:start w:val="1"/>
      <w:numFmt w:val="bullet"/>
      <w:lvlText w:val="o"/>
      <w:lvlJc w:val="left"/>
      <w:pPr>
        <w:ind w:left="3960" w:hanging="360"/>
      </w:pPr>
      <w:rPr>
        <w:rFonts w:ascii="Courier New" w:hAnsi="Courier New" w:cs="Courier New" w:hint="default"/>
      </w:rPr>
    </w:lvl>
    <w:lvl w:ilvl="5" w:tplc="04080005" w:tentative="1">
      <w:start w:val="1"/>
      <w:numFmt w:val="bullet"/>
      <w:lvlText w:val=""/>
      <w:lvlJc w:val="left"/>
      <w:pPr>
        <w:ind w:left="4680" w:hanging="360"/>
      </w:pPr>
      <w:rPr>
        <w:rFonts w:ascii="Wingdings" w:hAnsi="Wingdings" w:hint="default"/>
      </w:rPr>
    </w:lvl>
    <w:lvl w:ilvl="6" w:tplc="04080001" w:tentative="1">
      <w:start w:val="1"/>
      <w:numFmt w:val="bullet"/>
      <w:lvlText w:val=""/>
      <w:lvlJc w:val="left"/>
      <w:pPr>
        <w:ind w:left="5400" w:hanging="360"/>
      </w:pPr>
      <w:rPr>
        <w:rFonts w:ascii="Symbol" w:hAnsi="Symbol" w:hint="default"/>
      </w:rPr>
    </w:lvl>
    <w:lvl w:ilvl="7" w:tplc="04080003" w:tentative="1">
      <w:start w:val="1"/>
      <w:numFmt w:val="bullet"/>
      <w:lvlText w:val="o"/>
      <w:lvlJc w:val="left"/>
      <w:pPr>
        <w:ind w:left="6120" w:hanging="360"/>
      </w:pPr>
      <w:rPr>
        <w:rFonts w:ascii="Courier New" w:hAnsi="Courier New" w:cs="Courier New" w:hint="default"/>
      </w:rPr>
    </w:lvl>
    <w:lvl w:ilvl="8" w:tplc="04080005" w:tentative="1">
      <w:start w:val="1"/>
      <w:numFmt w:val="bullet"/>
      <w:lvlText w:val=""/>
      <w:lvlJc w:val="left"/>
      <w:pPr>
        <w:ind w:left="6840" w:hanging="360"/>
      </w:pPr>
      <w:rPr>
        <w:rFonts w:ascii="Wingdings" w:hAnsi="Wingdings" w:hint="default"/>
      </w:rPr>
    </w:lvl>
  </w:abstractNum>
  <w:abstractNum w:abstractNumId="12" w15:restartNumberingAfterBreak="0">
    <w:nsid w:val="7D2E204D"/>
    <w:multiLevelType w:val="hybridMultilevel"/>
    <w:tmpl w:val="CDD604E0"/>
    <w:lvl w:ilvl="0" w:tplc="0408000F">
      <w:start w:val="1"/>
      <w:numFmt w:val="decimal"/>
      <w:lvlText w:val="%1."/>
      <w:lvlJc w:val="left"/>
      <w:pPr>
        <w:tabs>
          <w:tab w:val="num" w:pos="1080"/>
        </w:tabs>
        <w:ind w:left="1080" w:hanging="360"/>
      </w:pPr>
      <w:rPr>
        <w:rFonts w:hint="default"/>
      </w:rPr>
    </w:lvl>
    <w:lvl w:ilvl="1" w:tplc="04080003" w:tentative="1">
      <w:start w:val="1"/>
      <w:numFmt w:val="bullet"/>
      <w:lvlText w:val="o"/>
      <w:lvlJc w:val="left"/>
      <w:pPr>
        <w:ind w:left="1800" w:hanging="360"/>
      </w:pPr>
      <w:rPr>
        <w:rFonts w:ascii="Courier New" w:hAnsi="Courier New" w:cs="Courier New" w:hint="default"/>
      </w:rPr>
    </w:lvl>
    <w:lvl w:ilvl="2" w:tplc="04080005" w:tentative="1">
      <w:start w:val="1"/>
      <w:numFmt w:val="bullet"/>
      <w:lvlText w:val=""/>
      <w:lvlJc w:val="left"/>
      <w:pPr>
        <w:ind w:left="2520" w:hanging="360"/>
      </w:pPr>
      <w:rPr>
        <w:rFonts w:ascii="Wingdings" w:hAnsi="Wingdings" w:hint="default"/>
      </w:rPr>
    </w:lvl>
    <w:lvl w:ilvl="3" w:tplc="04080001" w:tentative="1">
      <w:start w:val="1"/>
      <w:numFmt w:val="bullet"/>
      <w:lvlText w:val=""/>
      <w:lvlJc w:val="left"/>
      <w:pPr>
        <w:ind w:left="3240" w:hanging="360"/>
      </w:pPr>
      <w:rPr>
        <w:rFonts w:ascii="Symbol" w:hAnsi="Symbol" w:hint="default"/>
      </w:rPr>
    </w:lvl>
    <w:lvl w:ilvl="4" w:tplc="04080003" w:tentative="1">
      <w:start w:val="1"/>
      <w:numFmt w:val="bullet"/>
      <w:lvlText w:val="o"/>
      <w:lvlJc w:val="left"/>
      <w:pPr>
        <w:ind w:left="3960" w:hanging="360"/>
      </w:pPr>
      <w:rPr>
        <w:rFonts w:ascii="Courier New" w:hAnsi="Courier New" w:cs="Courier New" w:hint="default"/>
      </w:rPr>
    </w:lvl>
    <w:lvl w:ilvl="5" w:tplc="04080005" w:tentative="1">
      <w:start w:val="1"/>
      <w:numFmt w:val="bullet"/>
      <w:lvlText w:val=""/>
      <w:lvlJc w:val="left"/>
      <w:pPr>
        <w:ind w:left="4680" w:hanging="360"/>
      </w:pPr>
      <w:rPr>
        <w:rFonts w:ascii="Wingdings" w:hAnsi="Wingdings" w:hint="default"/>
      </w:rPr>
    </w:lvl>
    <w:lvl w:ilvl="6" w:tplc="04080001" w:tentative="1">
      <w:start w:val="1"/>
      <w:numFmt w:val="bullet"/>
      <w:lvlText w:val=""/>
      <w:lvlJc w:val="left"/>
      <w:pPr>
        <w:ind w:left="5400" w:hanging="360"/>
      </w:pPr>
      <w:rPr>
        <w:rFonts w:ascii="Symbol" w:hAnsi="Symbol" w:hint="default"/>
      </w:rPr>
    </w:lvl>
    <w:lvl w:ilvl="7" w:tplc="04080003" w:tentative="1">
      <w:start w:val="1"/>
      <w:numFmt w:val="bullet"/>
      <w:lvlText w:val="o"/>
      <w:lvlJc w:val="left"/>
      <w:pPr>
        <w:ind w:left="6120" w:hanging="360"/>
      </w:pPr>
      <w:rPr>
        <w:rFonts w:ascii="Courier New" w:hAnsi="Courier New" w:cs="Courier New" w:hint="default"/>
      </w:rPr>
    </w:lvl>
    <w:lvl w:ilvl="8" w:tplc="04080005" w:tentative="1">
      <w:start w:val="1"/>
      <w:numFmt w:val="bullet"/>
      <w:lvlText w:val=""/>
      <w:lvlJc w:val="left"/>
      <w:pPr>
        <w:ind w:left="6840" w:hanging="360"/>
      </w:pPr>
      <w:rPr>
        <w:rFonts w:ascii="Wingdings" w:hAnsi="Wingdings" w:hint="default"/>
      </w:rPr>
    </w:lvl>
  </w:abstractNum>
  <w:num w:numId="1" w16cid:durableId="678889941">
    <w:abstractNumId w:val="2"/>
  </w:num>
  <w:num w:numId="2" w16cid:durableId="190339433">
    <w:abstractNumId w:val="10"/>
  </w:num>
  <w:num w:numId="3" w16cid:durableId="776101701">
    <w:abstractNumId w:val="8"/>
  </w:num>
  <w:num w:numId="4" w16cid:durableId="486172017">
    <w:abstractNumId w:val="11"/>
  </w:num>
  <w:num w:numId="5" w16cid:durableId="1781484826">
    <w:abstractNumId w:val="4"/>
  </w:num>
  <w:num w:numId="6" w16cid:durableId="1981498840">
    <w:abstractNumId w:val="0"/>
  </w:num>
  <w:num w:numId="7" w16cid:durableId="259994062">
    <w:abstractNumId w:val="12"/>
  </w:num>
  <w:num w:numId="8" w16cid:durableId="466047688">
    <w:abstractNumId w:val="7"/>
  </w:num>
  <w:num w:numId="9" w16cid:durableId="321861656">
    <w:abstractNumId w:val="5"/>
  </w:num>
  <w:num w:numId="10" w16cid:durableId="541407770">
    <w:abstractNumId w:val="1"/>
  </w:num>
  <w:num w:numId="11" w16cid:durableId="1857815033">
    <w:abstractNumId w:val="3"/>
  </w:num>
  <w:num w:numId="12" w16cid:durableId="79301895">
    <w:abstractNumId w:val="6"/>
  </w:num>
  <w:num w:numId="13" w16cid:durableId="78665933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50"/>
    <o:shapelayout v:ext="edit">
      <o:idmap v:ext="edit" data="1"/>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749CD"/>
    <w:rsid w:val="00002A9C"/>
    <w:rsid w:val="00003665"/>
    <w:rsid w:val="00020ECA"/>
    <w:rsid w:val="00036B57"/>
    <w:rsid w:val="00040DAE"/>
    <w:rsid w:val="0004670F"/>
    <w:rsid w:val="000500CC"/>
    <w:rsid w:val="00050224"/>
    <w:rsid w:val="00053109"/>
    <w:rsid w:val="000531BD"/>
    <w:rsid w:val="000544FE"/>
    <w:rsid w:val="0006311C"/>
    <w:rsid w:val="00063905"/>
    <w:rsid w:val="00063F58"/>
    <w:rsid w:val="0006415A"/>
    <w:rsid w:val="0007491D"/>
    <w:rsid w:val="00074EDD"/>
    <w:rsid w:val="000910BE"/>
    <w:rsid w:val="00092F9A"/>
    <w:rsid w:val="000968E4"/>
    <w:rsid w:val="000A7290"/>
    <w:rsid w:val="000B0706"/>
    <w:rsid w:val="000B7F12"/>
    <w:rsid w:val="000C172F"/>
    <w:rsid w:val="000D3F13"/>
    <w:rsid w:val="000E23B0"/>
    <w:rsid w:val="000E3C5F"/>
    <w:rsid w:val="000E6F31"/>
    <w:rsid w:val="000F1AE8"/>
    <w:rsid w:val="001130E1"/>
    <w:rsid w:val="0012090D"/>
    <w:rsid w:val="00125BCD"/>
    <w:rsid w:val="00134DC1"/>
    <w:rsid w:val="00137B00"/>
    <w:rsid w:val="00154BB9"/>
    <w:rsid w:val="00154EB2"/>
    <w:rsid w:val="0015557E"/>
    <w:rsid w:val="00161E67"/>
    <w:rsid w:val="0016316D"/>
    <w:rsid w:val="001705CF"/>
    <w:rsid w:val="00176607"/>
    <w:rsid w:val="00191392"/>
    <w:rsid w:val="00191EE7"/>
    <w:rsid w:val="0019211B"/>
    <w:rsid w:val="001A0943"/>
    <w:rsid w:val="001A2A96"/>
    <w:rsid w:val="001B7053"/>
    <w:rsid w:val="001C4615"/>
    <w:rsid w:val="001C5EEA"/>
    <w:rsid w:val="001C67EF"/>
    <w:rsid w:val="001D6A5D"/>
    <w:rsid w:val="001E1310"/>
    <w:rsid w:val="001F3E1F"/>
    <w:rsid w:val="00200BCF"/>
    <w:rsid w:val="002025AD"/>
    <w:rsid w:val="0020295A"/>
    <w:rsid w:val="00203DFE"/>
    <w:rsid w:val="00205231"/>
    <w:rsid w:val="002076F8"/>
    <w:rsid w:val="00225B51"/>
    <w:rsid w:val="0022601C"/>
    <w:rsid w:val="00227AC2"/>
    <w:rsid w:val="002306B5"/>
    <w:rsid w:val="0023295F"/>
    <w:rsid w:val="00235A13"/>
    <w:rsid w:val="00237058"/>
    <w:rsid w:val="00240153"/>
    <w:rsid w:val="00240618"/>
    <w:rsid w:val="002424F7"/>
    <w:rsid w:val="00243C0F"/>
    <w:rsid w:val="00251336"/>
    <w:rsid w:val="00251768"/>
    <w:rsid w:val="002571F8"/>
    <w:rsid w:val="002616E0"/>
    <w:rsid w:val="002648CA"/>
    <w:rsid w:val="002650F6"/>
    <w:rsid w:val="00276D7E"/>
    <w:rsid w:val="002924AE"/>
    <w:rsid w:val="00293B2C"/>
    <w:rsid w:val="002A1029"/>
    <w:rsid w:val="002A178B"/>
    <w:rsid w:val="002B17E5"/>
    <w:rsid w:val="002D2166"/>
    <w:rsid w:val="002D49D9"/>
    <w:rsid w:val="002D6809"/>
    <w:rsid w:val="002E2C3B"/>
    <w:rsid w:val="002E4E2C"/>
    <w:rsid w:val="002F0C6A"/>
    <w:rsid w:val="002F2960"/>
    <w:rsid w:val="002F3473"/>
    <w:rsid w:val="002F3A3C"/>
    <w:rsid w:val="00305D49"/>
    <w:rsid w:val="00306490"/>
    <w:rsid w:val="003168EF"/>
    <w:rsid w:val="003301DA"/>
    <w:rsid w:val="0033204D"/>
    <w:rsid w:val="00332457"/>
    <w:rsid w:val="00334193"/>
    <w:rsid w:val="00350C7D"/>
    <w:rsid w:val="00351BE9"/>
    <w:rsid w:val="00351CCF"/>
    <w:rsid w:val="00353EA2"/>
    <w:rsid w:val="00355879"/>
    <w:rsid w:val="0037211A"/>
    <w:rsid w:val="0038596A"/>
    <w:rsid w:val="00391AF9"/>
    <w:rsid w:val="00395CA1"/>
    <w:rsid w:val="003A3976"/>
    <w:rsid w:val="003A4D86"/>
    <w:rsid w:val="003B3F30"/>
    <w:rsid w:val="003D2454"/>
    <w:rsid w:val="003D6A16"/>
    <w:rsid w:val="003D7155"/>
    <w:rsid w:val="003E3638"/>
    <w:rsid w:val="003E3B56"/>
    <w:rsid w:val="003E3EFC"/>
    <w:rsid w:val="003F7EAA"/>
    <w:rsid w:val="00420FEA"/>
    <w:rsid w:val="00433444"/>
    <w:rsid w:val="00435826"/>
    <w:rsid w:val="00446CDD"/>
    <w:rsid w:val="00456808"/>
    <w:rsid w:val="00456F24"/>
    <w:rsid w:val="00486AAE"/>
    <w:rsid w:val="00486DF8"/>
    <w:rsid w:val="004A1193"/>
    <w:rsid w:val="004A232D"/>
    <w:rsid w:val="004A7A13"/>
    <w:rsid w:val="004B330F"/>
    <w:rsid w:val="004C2D1B"/>
    <w:rsid w:val="004D3CE3"/>
    <w:rsid w:val="004D5A7D"/>
    <w:rsid w:val="004D6341"/>
    <w:rsid w:val="005004AE"/>
    <w:rsid w:val="00505BF2"/>
    <w:rsid w:val="005077E5"/>
    <w:rsid w:val="0053309E"/>
    <w:rsid w:val="00542283"/>
    <w:rsid w:val="00544F71"/>
    <w:rsid w:val="00545B0E"/>
    <w:rsid w:val="00553C1C"/>
    <w:rsid w:val="00561748"/>
    <w:rsid w:val="00564860"/>
    <w:rsid w:val="00565D5F"/>
    <w:rsid w:val="0058098E"/>
    <w:rsid w:val="00580A9D"/>
    <w:rsid w:val="00591899"/>
    <w:rsid w:val="00591D17"/>
    <w:rsid w:val="00596CED"/>
    <w:rsid w:val="005A600E"/>
    <w:rsid w:val="005A6596"/>
    <w:rsid w:val="005B63E7"/>
    <w:rsid w:val="005C46D5"/>
    <w:rsid w:val="005D6887"/>
    <w:rsid w:val="005E188E"/>
    <w:rsid w:val="005E4981"/>
    <w:rsid w:val="00601E72"/>
    <w:rsid w:val="00610111"/>
    <w:rsid w:val="00613CCE"/>
    <w:rsid w:val="0063588D"/>
    <w:rsid w:val="00644BD3"/>
    <w:rsid w:val="00646FE8"/>
    <w:rsid w:val="0065119E"/>
    <w:rsid w:val="0066451A"/>
    <w:rsid w:val="00666F55"/>
    <w:rsid w:val="00681E57"/>
    <w:rsid w:val="006934C4"/>
    <w:rsid w:val="00693B1E"/>
    <w:rsid w:val="006C3386"/>
    <w:rsid w:val="006E1FD9"/>
    <w:rsid w:val="006E7CC8"/>
    <w:rsid w:val="006F0438"/>
    <w:rsid w:val="00701F9C"/>
    <w:rsid w:val="00705A88"/>
    <w:rsid w:val="0070659E"/>
    <w:rsid w:val="0071059C"/>
    <w:rsid w:val="0071500C"/>
    <w:rsid w:val="00715571"/>
    <w:rsid w:val="007174BD"/>
    <w:rsid w:val="00720994"/>
    <w:rsid w:val="0072524F"/>
    <w:rsid w:val="00736A38"/>
    <w:rsid w:val="007434BB"/>
    <w:rsid w:val="007505CA"/>
    <w:rsid w:val="00760875"/>
    <w:rsid w:val="00780B9F"/>
    <w:rsid w:val="00784B79"/>
    <w:rsid w:val="00793E4C"/>
    <w:rsid w:val="007A2CE4"/>
    <w:rsid w:val="007A5858"/>
    <w:rsid w:val="007A60B8"/>
    <w:rsid w:val="007B13F8"/>
    <w:rsid w:val="007C2363"/>
    <w:rsid w:val="007C7915"/>
    <w:rsid w:val="007D5D94"/>
    <w:rsid w:val="007F017A"/>
    <w:rsid w:val="007F6D5A"/>
    <w:rsid w:val="00800E47"/>
    <w:rsid w:val="008126AB"/>
    <w:rsid w:val="008137A3"/>
    <w:rsid w:val="00821B2B"/>
    <w:rsid w:val="0082299E"/>
    <w:rsid w:val="00825A96"/>
    <w:rsid w:val="00843A69"/>
    <w:rsid w:val="00870559"/>
    <w:rsid w:val="00872C0F"/>
    <w:rsid w:val="0087304E"/>
    <w:rsid w:val="00875ECA"/>
    <w:rsid w:val="0087670F"/>
    <w:rsid w:val="008832E2"/>
    <w:rsid w:val="0088766D"/>
    <w:rsid w:val="00887BD3"/>
    <w:rsid w:val="008A0823"/>
    <w:rsid w:val="008A3FBF"/>
    <w:rsid w:val="008C113C"/>
    <w:rsid w:val="008C1F57"/>
    <w:rsid w:val="008C594B"/>
    <w:rsid w:val="008E311A"/>
    <w:rsid w:val="00901DA9"/>
    <w:rsid w:val="009103EC"/>
    <w:rsid w:val="00914E25"/>
    <w:rsid w:val="00917962"/>
    <w:rsid w:val="0092006D"/>
    <w:rsid w:val="009248B8"/>
    <w:rsid w:val="00924B70"/>
    <w:rsid w:val="00932D68"/>
    <w:rsid w:val="00945E72"/>
    <w:rsid w:val="00946207"/>
    <w:rsid w:val="00950122"/>
    <w:rsid w:val="00962CF1"/>
    <w:rsid w:val="00963DBE"/>
    <w:rsid w:val="009800D8"/>
    <w:rsid w:val="00980778"/>
    <w:rsid w:val="00983E5C"/>
    <w:rsid w:val="009A134F"/>
    <w:rsid w:val="009A2026"/>
    <w:rsid w:val="009A4370"/>
    <w:rsid w:val="009A7C83"/>
    <w:rsid w:val="009B4578"/>
    <w:rsid w:val="009C2143"/>
    <w:rsid w:val="009C3152"/>
    <w:rsid w:val="009C3ED2"/>
    <w:rsid w:val="009D41D6"/>
    <w:rsid w:val="009D61D1"/>
    <w:rsid w:val="009E07F4"/>
    <w:rsid w:val="009E32F2"/>
    <w:rsid w:val="009F110D"/>
    <w:rsid w:val="009F6B1F"/>
    <w:rsid w:val="00A00BBB"/>
    <w:rsid w:val="00A05E58"/>
    <w:rsid w:val="00A076B9"/>
    <w:rsid w:val="00A0790E"/>
    <w:rsid w:val="00A21517"/>
    <w:rsid w:val="00A215D9"/>
    <w:rsid w:val="00A21F44"/>
    <w:rsid w:val="00A27ED2"/>
    <w:rsid w:val="00A315A2"/>
    <w:rsid w:val="00A31728"/>
    <w:rsid w:val="00A362E5"/>
    <w:rsid w:val="00A66B92"/>
    <w:rsid w:val="00A73B23"/>
    <w:rsid w:val="00A75C72"/>
    <w:rsid w:val="00A85754"/>
    <w:rsid w:val="00A86B46"/>
    <w:rsid w:val="00A87E04"/>
    <w:rsid w:val="00A94828"/>
    <w:rsid w:val="00AA0CB7"/>
    <w:rsid w:val="00AA2C22"/>
    <w:rsid w:val="00AA6F53"/>
    <w:rsid w:val="00AA7A2D"/>
    <w:rsid w:val="00AB7E43"/>
    <w:rsid w:val="00AC6AE3"/>
    <w:rsid w:val="00AD1232"/>
    <w:rsid w:val="00AD3B9C"/>
    <w:rsid w:val="00AE5535"/>
    <w:rsid w:val="00AE5C58"/>
    <w:rsid w:val="00AF39B4"/>
    <w:rsid w:val="00AF3AFF"/>
    <w:rsid w:val="00AF4B3B"/>
    <w:rsid w:val="00B03266"/>
    <w:rsid w:val="00B0419D"/>
    <w:rsid w:val="00B0473D"/>
    <w:rsid w:val="00B07684"/>
    <w:rsid w:val="00B07DDB"/>
    <w:rsid w:val="00B20826"/>
    <w:rsid w:val="00B31D0D"/>
    <w:rsid w:val="00B4126D"/>
    <w:rsid w:val="00B418FD"/>
    <w:rsid w:val="00B42663"/>
    <w:rsid w:val="00B44012"/>
    <w:rsid w:val="00B52C8F"/>
    <w:rsid w:val="00B5378D"/>
    <w:rsid w:val="00B555C8"/>
    <w:rsid w:val="00B60049"/>
    <w:rsid w:val="00B64BE4"/>
    <w:rsid w:val="00B70250"/>
    <w:rsid w:val="00B7261E"/>
    <w:rsid w:val="00B74DA7"/>
    <w:rsid w:val="00B7619F"/>
    <w:rsid w:val="00B82AFB"/>
    <w:rsid w:val="00B83279"/>
    <w:rsid w:val="00B83531"/>
    <w:rsid w:val="00B859FE"/>
    <w:rsid w:val="00B85CDA"/>
    <w:rsid w:val="00B943FE"/>
    <w:rsid w:val="00BA13C9"/>
    <w:rsid w:val="00BB02D8"/>
    <w:rsid w:val="00BB3011"/>
    <w:rsid w:val="00BC08C4"/>
    <w:rsid w:val="00BD004A"/>
    <w:rsid w:val="00BD4E49"/>
    <w:rsid w:val="00BD5136"/>
    <w:rsid w:val="00BE2B1A"/>
    <w:rsid w:val="00BF3C4C"/>
    <w:rsid w:val="00BF7DE0"/>
    <w:rsid w:val="00C00A2F"/>
    <w:rsid w:val="00C00A37"/>
    <w:rsid w:val="00C026D5"/>
    <w:rsid w:val="00C12C66"/>
    <w:rsid w:val="00C13145"/>
    <w:rsid w:val="00C149A5"/>
    <w:rsid w:val="00C200D8"/>
    <w:rsid w:val="00C31A9B"/>
    <w:rsid w:val="00C320E3"/>
    <w:rsid w:val="00C32925"/>
    <w:rsid w:val="00C339C3"/>
    <w:rsid w:val="00C339E9"/>
    <w:rsid w:val="00C53540"/>
    <w:rsid w:val="00C72D7B"/>
    <w:rsid w:val="00C749CD"/>
    <w:rsid w:val="00C9113A"/>
    <w:rsid w:val="00C963D8"/>
    <w:rsid w:val="00CA3EDF"/>
    <w:rsid w:val="00CA7538"/>
    <w:rsid w:val="00CA7680"/>
    <w:rsid w:val="00CA7BD6"/>
    <w:rsid w:val="00CB59BA"/>
    <w:rsid w:val="00CB6659"/>
    <w:rsid w:val="00CC01F0"/>
    <w:rsid w:val="00D105E8"/>
    <w:rsid w:val="00D11C2F"/>
    <w:rsid w:val="00D23942"/>
    <w:rsid w:val="00D317FC"/>
    <w:rsid w:val="00D34858"/>
    <w:rsid w:val="00D35BBD"/>
    <w:rsid w:val="00D35FD4"/>
    <w:rsid w:val="00D37BF1"/>
    <w:rsid w:val="00D50DE8"/>
    <w:rsid w:val="00D61969"/>
    <w:rsid w:val="00D632FA"/>
    <w:rsid w:val="00D85FF2"/>
    <w:rsid w:val="00D879E7"/>
    <w:rsid w:val="00DA7787"/>
    <w:rsid w:val="00DB0F28"/>
    <w:rsid w:val="00DB6A1A"/>
    <w:rsid w:val="00DB6F70"/>
    <w:rsid w:val="00DC35DC"/>
    <w:rsid w:val="00DC414A"/>
    <w:rsid w:val="00DC4828"/>
    <w:rsid w:val="00DE18A4"/>
    <w:rsid w:val="00DE4AB4"/>
    <w:rsid w:val="00DE6E2E"/>
    <w:rsid w:val="00DF2C29"/>
    <w:rsid w:val="00DF36FB"/>
    <w:rsid w:val="00E02830"/>
    <w:rsid w:val="00E039C7"/>
    <w:rsid w:val="00E03B60"/>
    <w:rsid w:val="00E05C2C"/>
    <w:rsid w:val="00E10801"/>
    <w:rsid w:val="00E14DB2"/>
    <w:rsid w:val="00E15C44"/>
    <w:rsid w:val="00E16442"/>
    <w:rsid w:val="00E215BD"/>
    <w:rsid w:val="00E22DED"/>
    <w:rsid w:val="00E2333B"/>
    <w:rsid w:val="00E364E2"/>
    <w:rsid w:val="00E37FF7"/>
    <w:rsid w:val="00E427AD"/>
    <w:rsid w:val="00E43933"/>
    <w:rsid w:val="00E43D4D"/>
    <w:rsid w:val="00E44BDD"/>
    <w:rsid w:val="00E553FC"/>
    <w:rsid w:val="00E638E4"/>
    <w:rsid w:val="00E642EB"/>
    <w:rsid w:val="00E739B7"/>
    <w:rsid w:val="00E803E7"/>
    <w:rsid w:val="00E972E4"/>
    <w:rsid w:val="00EA1F46"/>
    <w:rsid w:val="00EB0C9A"/>
    <w:rsid w:val="00EB3247"/>
    <w:rsid w:val="00EB4D12"/>
    <w:rsid w:val="00EB711C"/>
    <w:rsid w:val="00EC47F0"/>
    <w:rsid w:val="00EC7FFD"/>
    <w:rsid w:val="00ED281D"/>
    <w:rsid w:val="00ED7F61"/>
    <w:rsid w:val="00EE3649"/>
    <w:rsid w:val="00EF0206"/>
    <w:rsid w:val="00EF6095"/>
    <w:rsid w:val="00EF6C69"/>
    <w:rsid w:val="00F05C0E"/>
    <w:rsid w:val="00F246A9"/>
    <w:rsid w:val="00F259F5"/>
    <w:rsid w:val="00F36017"/>
    <w:rsid w:val="00F372D7"/>
    <w:rsid w:val="00F46680"/>
    <w:rsid w:val="00F47A2F"/>
    <w:rsid w:val="00F519A0"/>
    <w:rsid w:val="00F65C97"/>
    <w:rsid w:val="00F702EE"/>
    <w:rsid w:val="00F818BC"/>
    <w:rsid w:val="00F83CE5"/>
    <w:rsid w:val="00F9027D"/>
    <w:rsid w:val="00F94617"/>
    <w:rsid w:val="00FB3413"/>
    <w:rsid w:val="00FB65BF"/>
    <w:rsid w:val="00FC5D1B"/>
    <w:rsid w:val="00FD1F07"/>
    <w:rsid w:val="00FD253F"/>
    <w:rsid w:val="00FD41AD"/>
    <w:rsid w:val="00FD4F55"/>
    <w:rsid w:val="00FD5AC2"/>
    <w:rsid w:val="00FF1945"/>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ABD5F44"/>
  <w15:docId w15:val="{F69F34FF-E2EA-442B-BAFB-53BAA26844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l-GR" w:eastAsia="el-G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Heading1">
    <w:name w:val="heading 1"/>
    <w:basedOn w:val="Normal"/>
    <w:next w:val="Normal"/>
    <w:qFormat/>
    <w:rsid w:val="006E1FD9"/>
    <w:pPr>
      <w:keepNext/>
      <w:spacing w:before="240" w:after="60"/>
      <w:outlineLvl w:val="0"/>
    </w:pPr>
    <w:rPr>
      <w:rFonts w:ascii="Arial" w:hAnsi="Arial" w:cs="Arial"/>
      <w:b/>
      <w:bCs/>
      <w:kern w:val="32"/>
      <w:sz w:val="32"/>
      <w:szCs w:val="32"/>
    </w:rPr>
  </w:style>
  <w:style w:type="paragraph" w:styleId="Heading2">
    <w:name w:val="heading 2"/>
    <w:basedOn w:val="Normal"/>
    <w:qFormat/>
    <w:rsid w:val="00C749CD"/>
    <w:pPr>
      <w:spacing w:before="100" w:beforeAutospacing="1" w:after="100" w:afterAutospacing="1"/>
      <w:outlineLvl w:val="1"/>
    </w:pPr>
    <w:rPr>
      <w:b/>
      <w:bCs/>
      <w:sz w:val="36"/>
      <w:szCs w:val="36"/>
    </w:rPr>
  </w:style>
  <w:style w:type="paragraph" w:styleId="Heading4">
    <w:name w:val="heading 4"/>
    <w:basedOn w:val="Normal"/>
    <w:next w:val="Normal"/>
    <w:qFormat/>
    <w:rsid w:val="006E1FD9"/>
    <w:pPr>
      <w:keepNext/>
      <w:spacing w:before="240" w:after="60"/>
      <w:outlineLvl w:val="3"/>
    </w:pPr>
    <w:rPr>
      <w:rFonts w:ascii="Arial" w:hAnsi="Arial"/>
      <w:b/>
      <w:bCs/>
      <w:sz w:val="28"/>
      <w:szCs w:val="28"/>
    </w:rPr>
  </w:style>
  <w:style w:type="paragraph" w:styleId="Heading5">
    <w:name w:val="heading 5"/>
    <w:basedOn w:val="Heading1"/>
    <w:next w:val="Normal"/>
    <w:qFormat/>
    <w:rsid w:val="00B83531"/>
    <w:pPr>
      <w:outlineLvl w:val="4"/>
    </w:pPr>
    <w:rPr>
      <w:iCs/>
      <w:sz w:val="22"/>
      <w:szCs w:val="22"/>
      <w:shd w:val="clear" w:color="auto" w:fill="00FF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Âáóéêü"/>
    <w:rsid w:val="006E1FD9"/>
    <w:rPr>
      <w:rFonts w:ascii="Courier New" w:hAnsi="Courier New"/>
      <w:sz w:val="24"/>
      <w:lang w:val="en-US" w:eastAsia="en-US"/>
    </w:rPr>
  </w:style>
  <w:style w:type="character" w:styleId="Emphasis">
    <w:name w:val="Emphasis"/>
    <w:qFormat/>
    <w:rsid w:val="00C749CD"/>
    <w:rPr>
      <w:i/>
      <w:iCs/>
    </w:rPr>
  </w:style>
  <w:style w:type="paragraph" w:styleId="BalloonText">
    <w:name w:val="Balloon Text"/>
    <w:basedOn w:val="Normal"/>
    <w:semiHidden/>
    <w:rsid w:val="0033204D"/>
    <w:rPr>
      <w:rFonts w:ascii="Tahoma" w:hAnsi="Tahoma" w:cs="Tahoma"/>
      <w:sz w:val="16"/>
      <w:szCs w:val="16"/>
    </w:rPr>
  </w:style>
  <w:style w:type="paragraph" w:styleId="DocumentMap">
    <w:name w:val="Document Map"/>
    <w:basedOn w:val="Normal"/>
    <w:semiHidden/>
    <w:rsid w:val="00435826"/>
    <w:pPr>
      <w:shd w:val="clear" w:color="auto" w:fill="000080"/>
    </w:pPr>
    <w:rPr>
      <w:rFonts w:ascii="Tahoma" w:hAnsi="Tahoma" w:cs="Tahoma"/>
      <w:sz w:val="20"/>
      <w:szCs w:val="20"/>
    </w:rPr>
  </w:style>
  <w:style w:type="character" w:styleId="Strong">
    <w:name w:val="Strong"/>
    <w:uiPriority w:val="22"/>
    <w:qFormat/>
    <w:rsid w:val="009E07F4"/>
    <w:rPr>
      <w:b/>
      <w:bCs/>
    </w:rPr>
  </w:style>
  <w:style w:type="paragraph" w:styleId="FootnoteText">
    <w:name w:val="footnote text"/>
    <w:basedOn w:val="Normal"/>
    <w:semiHidden/>
    <w:rsid w:val="00134DC1"/>
    <w:rPr>
      <w:sz w:val="20"/>
      <w:szCs w:val="20"/>
    </w:rPr>
  </w:style>
  <w:style w:type="character" w:styleId="FootnoteReference">
    <w:name w:val="footnote reference"/>
    <w:semiHidden/>
    <w:rsid w:val="00134DC1"/>
    <w:rPr>
      <w:vertAlign w:val="superscript"/>
    </w:rPr>
  </w:style>
  <w:style w:type="paragraph" w:styleId="BodyText3">
    <w:name w:val="Body Text 3"/>
    <w:basedOn w:val="Normal"/>
    <w:link w:val="BodyText3Char"/>
    <w:rsid w:val="00036B57"/>
    <w:pPr>
      <w:jc w:val="both"/>
    </w:pPr>
    <w:rPr>
      <w:rFonts w:ascii="Arial" w:hAnsi="Arial"/>
      <w:sz w:val="18"/>
      <w:szCs w:val="20"/>
      <w:lang w:eastAsia="en-US"/>
    </w:rPr>
  </w:style>
  <w:style w:type="character" w:customStyle="1" w:styleId="hps">
    <w:name w:val="hps"/>
    <w:basedOn w:val="DefaultParagraphFont"/>
    <w:rsid w:val="00A215D9"/>
  </w:style>
  <w:style w:type="paragraph" w:styleId="Header">
    <w:name w:val="header"/>
    <w:basedOn w:val="Normal"/>
    <w:rsid w:val="0066451A"/>
    <w:pPr>
      <w:tabs>
        <w:tab w:val="center" w:pos="4153"/>
        <w:tab w:val="right" w:pos="8306"/>
      </w:tabs>
    </w:pPr>
  </w:style>
  <w:style w:type="paragraph" w:styleId="Footer">
    <w:name w:val="footer"/>
    <w:basedOn w:val="Normal"/>
    <w:rsid w:val="0066451A"/>
    <w:pPr>
      <w:tabs>
        <w:tab w:val="center" w:pos="4153"/>
        <w:tab w:val="right" w:pos="8306"/>
      </w:tabs>
    </w:pPr>
  </w:style>
  <w:style w:type="table" w:styleId="TableGrid">
    <w:name w:val="Table Grid"/>
    <w:basedOn w:val="TableNormal"/>
    <w:uiPriority w:val="39"/>
    <w:rsid w:val="00391AF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3Char">
    <w:name w:val="Body Text 3 Char"/>
    <w:basedOn w:val="DefaultParagraphFont"/>
    <w:link w:val="BodyText3"/>
    <w:uiPriority w:val="99"/>
    <w:rsid w:val="007C7915"/>
    <w:rPr>
      <w:rFonts w:ascii="Arial" w:hAnsi="Arial"/>
      <w:sz w:val="18"/>
      <w:lang w:eastAsia="en-US"/>
    </w:rPr>
  </w:style>
  <w:style w:type="paragraph" w:styleId="ListParagraph">
    <w:name w:val="List Paragraph"/>
    <w:basedOn w:val="Normal"/>
    <w:uiPriority w:val="34"/>
    <w:qFormat/>
    <w:rsid w:val="00237058"/>
    <w:pPr>
      <w:ind w:left="720"/>
      <w:contextualSpacing/>
    </w:pPr>
  </w:style>
  <w:style w:type="paragraph" w:styleId="Title">
    <w:name w:val="Title"/>
    <w:basedOn w:val="Normal"/>
    <w:next w:val="Normal"/>
    <w:link w:val="TitleChar"/>
    <w:qFormat/>
    <w:rsid w:val="00203DFE"/>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sid w:val="00203DFE"/>
    <w:rPr>
      <w:rFonts w:asciiTheme="majorHAnsi" w:eastAsiaTheme="majorEastAsia" w:hAnsiTheme="majorHAnsi" w:cstheme="majorBidi"/>
      <w:spacing w:val="-10"/>
      <w:kern w:val="28"/>
      <w:sz w:val="56"/>
      <w:szCs w:val="56"/>
    </w:rPr>
  </w:style>
  <w:style w:type="character" w:styleId="Hyperlink">
    <w:name w:val="Hyperlink"/>
    <w:basedOn w:val="DefaultParagraphFont"/>
    <w:uiPriority w:val="99"/>
    <w:unhideWhenUsed/>
    <w:rsid w:val="00BB02D8"/>
    <w:rPr>
      <w:color w:val="0000FF" w:themeColor="hyperlink"/>
      <w:u w:val="single"/>
    </w:rPr>
  </w:style>
  <w:style w:type="character" w:styleId="UnresolvedMention">
    <w:name w:val="Unresolved Mention"/>
    <w:basedOn w:val="DefaultParagraphFont"/>
    <w:uiPriority w:val="99"/>
    <w:semiHidden/>
    <w:unhideWhenUsed/>
    <w:rsid w:val="00040DA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4187686">
      <w:bodyDiv w:val="1"/>
      <w:marLeft w:val="0"/>
      <w:marRight w:val="0"/>
      <w:marTop w:val="0"/>
      <w:marBottom w:val="0"/>
      <w:divBdr>
        <w:top w:val="none" w:sz="0" w:space="0" w:color="auto"/>
        <w:left w:val="none" w:sz="0" w:space="0" w:color="auto"/>
        <w:bottom w:val="none" w:sz="0" w:space="0" w:color="auto"/>
        <w:right w:val="none" w:sz="0" w:space="0" w:color="auto"/>
      </w:divBdr>
      <w:divsChild>
        <w:div w:id="1924071768">
          <w:marLeft w:val="0"/>
          <w:marRight w:val="0"/>
          <w:marTop w:val="0"/>
          <w:marBottom w:val="0"/>
          <w:divBdr>
            <w:top w:val="none" w:sz="0" w:space="0" w:color="auto"/>
            <w:left w:val="none" w:sz="0" w:space="0" w:color="auto"/>
            <w:bottom w:val="none" w:sz="0" w:space="0" w:color="auto"/>
            <w:right w:val="none" w:sz="0" w:space="0" w:color="auto"/>
          </w:divBdr>
          <w:divsChild>
            <w:div w:id="825778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2772791">
      <w:bodyDiv w:val="1"/>
      <w:marLeft w:val="0"/>
      <w:marRight w:val="0"/>
      <w:marTop w:val="0"/>
      <w:marBottom w:val="0"/>
      <w:divBdr>
        <w:top w:val="none" w:sz="0" w:space="0" w:color="auto"/>
        <w:left w:val="none" w:sz="0" w:space="0" w:color="auto"/>
        <w:bottom w:val="none" w:sz="0" w:space="0" w:color="auto"/>
        <w:right w:val="none" w:sz="0" w:space="0" w:color="auto"/>
      </w:divBdr>
    </w:div>
    <w:div w:id="501555608">
      <w:bodyDiv w:val="1"/>
      <w:marLeft w:val="0"/>
      <w:marRight w:val="0"/>
      <w:marTop w:val="0"/>
      <w:marBottom w:val="0"/>
      <w:divBdr>
        <w:top w:val="none" w:sz="0" w:space="0" w:color="auto"/>
        <w:left w:val="none" w:sz="0" w:space="0" w:color="auto"/>
        <w:bottom w:val="none" w:sz="0" w:space="0" w:color="auto"/>
        <w:right w:val="none" w:sz="0" w:space="0" w:color="auto"/>
      </w:divBdr>
      <w:divsChild>
        <w:div w:id="703865008">
          <w:marLeft w:val="0"/>
          <w:marRight w:val="0"/>
          <w:marTop w:val="0"/>
          <w:marBottom w:val="0"/>
          <w:divBdr>
            <w:top w:val="none" w:sz="0" w:space="0" w:color="auto"/>
            <w:left w:val="none" w:sz="0" w:space="0" w:color="auto"/>
            <w:bottom w:val="none" w:sz="0" w:space="0" w:color="auto"/>
            <w:right w:val="none" w:sz="0" w:space="0" w:color="auto"/>
          </w:divBdr>
          <w:divsChild>
            <w:div w:id="1811289701">
              <w:marLeft w:val="0"/>
              <w:marRight w:val="0"/>
              <w:marTop w:val="0"/>
              <w:marBottom w:val="0"/>
              <w:divBdr>
                <w:top w:val="none" w:sz="0" w:space="0" w:color="auto"/>
                <w:left w:val="none" w:sz="0" w:space="0" w:color="auto"/>
                <w:bottom w:val="none" w:sz="0" w:space="0" w:color="auto"/>
                <w:right w:val="none" w:sz="0" w:space="0" w:color="auto"/>
              </w:divBdr>
            </w:div>
            <w:div w:id="19826928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2362623">
      <w:bodyDiv w:val="1"/>
      <w:marLeft w:val="0"/>
      <w:marRight w:val="0"/>
      <w:marTop w:val="0"/>
      <w:marBottom w:val="0"/>
      <w:divBdr>
        <w:top w:val="none" w:sz="0" w:space="0" w:color="auto"/>
        <w:left w:val="none" w:sz="0" w:space="0" w:color="auto"/>
        <w:bottom w:val="none" w:sz="0" w:space="0" w:color="auto"/>
        <w:right w:val="none" w:sz="0" w:space="0" w:color="auto"/>
      </w:divBdr>
      <w:divsChild>
        <w:div w:id="89550710">
          <w:marLeft w:val="0"/>
          <w:marRight w:val="0"/>
          <w:marTop w:val="0"/>
          <w:marBottom w:val="0"/>
          <w:divBdr>
            <w:top w:val="none" w:sz="0" w:space="0" w:color="auto"/>
            <w:left w:val="none" w:sz="0" w:space="0" w:color="auto"/>
            <w:bottom w:val="none" w:sz="0" w:space="0" w:color="auto"/>
            <w:right w:val="none" w:sz="0" w:space="0" w:color="auto"/>
          </w:divBdr>
          <w:divsChild>
            <w:div w:id="34307189">
              <w:marLeft w:val="0"/>
              <w:marRight w:val="0"/>
              <w:marTop w:val="0"/>
              <w:marBottom w:val="0"/>
              <w:divBdr>
                <w:top w:val="none" w:sz="0" w:space="0" w:color="auto"/>
                <w:left w:val="none" w:sz="0" w:space="0" w:color="auto"/>
                <w:bottom w:val="none" w:sz="0" w:space="0" w:color="auto"/>
                <w:right w:val="none" w:sz="0" w:space="0" w:color="auto"/>
              </w:divBdr>
            </w:div>
            <w:div w:id="179777613">
              <w:marLeft w:val="0"/>
              <w:marRight w:val="0"/>
              <w:marTop w:val="0"/>
              <w:marBottom w:val="0"/>
              <w:divBdr>
                <w:top w:val="none" w:sz="0" w:space="0" w:color="auto"/>
                <w:left w:val="none" w:sz="0" w:space="0" w:color="auto"/>
                <w:bottom w:val="none" w:sz="0" w:space="0" w:color="auto"/>
                <w:right w:val="none" w:sz="0" w:space="0" w:color="auto"/>
              </w:divBdr>
            </w:div>
            <w:div w:id="310445960">
              <w:marLeft w:val="0"/>
              <w:marRight w:val="0"/>
              <w:marTop w:val="0"/>
              <w:marBottom w:val="0"/>
              <w:divBdr>
                <w:top w:val="none" w:sz="0" w:space="0" w:color="auto"/>
                <w:left w:val="none" w:sz="0" w:space="0" w:color="auto"/>
                <w:bottom w:val="none" w:sz="0" w:space="0" w:color="auto"/>
                <w:right w:val="none" w:sz="0" w:space="0" w:color="auto"/>
              </w:divBdr>
            </w:div>
            <w:div w:id="324673500">
              <w:marLeft w:val="0"/>
              <w:marRight w:val="0"/>
              <w:marTop w:val="0"/>
              <w:marBottom w:val="0"/>
              <w:divBdr>
                <w:top w:val="none" w:sz="0" w:space="0" w:color="auto"/>
                <w:left w:val="none" w:sz="0" w:space="0" w:color="auto"/>
                <w:bottom w:val="none" w:sz="0" w:space="0" w:color="auto"/>
                <w:right w:val="none" w:sz="0" w:space="0" w:color="auto"/>
              </w:divBdr>
            </w:div>
            <w:div w:id="415329228">
              <w:marLeft w:val="0"/>
              <w:marRight w:val="0"/>
              <w:marTop w:val="0"/>
              <w:marBottom w:val="0"/>
              <w:divBdr>
                <w:top w:val="none" w:sz="0" w:space="0" w:color="auto"/>
                <w:left w:val="none" w:sz="0" w:space="0" w:color="auto"/>
                <w:bottom w:val="none" w:sz="0" w:space="0" w:color="auto"/>
                <w:right w:val="none" w:sz="0" w:space="0" w:color="auto"/>
              </w:divBdr>
            </w:div>
            <w:div w:id="576552023">
              <w:marLeft w:val="0"/>
              <w:marRight w:val="0"/>
              <w:marTop w:val="0"/>
              <w:marBottom w:val="0"/>
              <w:divBdr>
                <w:top w:val="none" w:sz="0" w:space="0" w:color="auto"/>
                <w:left w:val="none" w:sz="0" w:space="0" w:color="auto"/>
                <w:bottom w:val="none" w:sz="0" w:space="0" w:color="auto"/>
                <w:right w:val="none" w:sz="0" w:space="0" w:color="auto"/>
              </w:divBdr>
            </w:div>
            <w:div w:id="771895331">
              <w:marLeft w:val="0"/>
              <w:marRight w:val="0"/>
              <w:marTop w:val="0"/>
              <w:marBottom w:val="0"/>
              <w:divBdr>
                <w:top w:val="none" w:sz="0" w:space="0" w:color="auto"/>
                <w:left w:val="none" w:sz="0" w:space="0" w:color="auto"/>
                <w:bottom w:val="none" w:sz="0" w:space="0" w:color="auto"/>
                <w:right w:val="none" w:sz="0" w:space="0" w:color="auto"/>
              </w:divBdr>
            </w:div>
            <w:div w:id="1057775800">
              <w:marLeft w:val="0"/>
              <w:marRight w:val="0"/>
              <w:marTop w:val="0"/>
              <w:marBottom w:val="0"/>
              <w:divBdr>
                <w:top w:val="none" w:sz="0" w:space="0" w:color="auto"/>
                <w:left w:val="none" w:sz="0" w:space="0" w:color="auto"/>
                <w:bottom w:val="none" w:sz="0" w:space="0" w:color="auto"/>
                <w:right w:val="none" w:sz="0" w:space="0" w:color="auto"/>
              </w:divBdr>
            </w:div>
            <w:div w:id="1076123605">
              <w:marLeft w:val="0"/>
              <w:marRight w:val="0"/>
              <w:marTop w:val="0"/>
              <w:marBottom w:val="0"/>
              <w:divBdr>
                <w:top w:val="none" w:sz="0" w:space="0" w:color="auto"/>
                <w:left w:val="none" w:sz="0" w:space="0" w:color="auto"/>
                <w:bottom w:val="none" w:sz="0" w:space="0" w:color="auto"/>
                <w:right w:val="none" w:sz="0" w:space="0" w:color="auto"/>
              </w:divBdr>
            </w:div>
            <w:div w:id="1238705406">
              <w:marLeft w:val="0"/>
              <w:marRight w:val="0"/>
              <w:marTop w:val="0"/>
              <w:marBottom w:val="0"/>
              <w:divBdr>
                <w:top w:val="none" w:sz="0" w:space="0" w:color="auto"/>
                <w:left w:val="none" w:sz="0" w:space="0" w:color="auto"/>
                <w:bottom w:val="none" w:sz="0" w:space="0" w:color="auto"/>
                <w:right w:val="none" w:sz="0" w:space="0" w:color="auto"/>
              </w:divBdr>
            </w:div>
            <w:div w:id="15597820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A805BC4-A0D8-4121-8ED8-2D6333030B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1</Pages>
  <Words>343</Words>
  <Characters>1852</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vt:lpstr>
    </vt:vector>
  </TitlesOfParts>
  <Company>Eurobank</Company>
  <LinksUpToDate>false</LinksUpToDate>
  <CharactersWithSpaces>2191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c:title>
  <dc:creator>EKouloheri</dc:creator>
  <cp:lastModifiedBy>Chadolias Ioannis</cp:lastModifiedBy>
  <cp:revision>5</cp:revision>
  <cp:lastPrinted>2019-06-14T08:58:00Z</cp:lastPrinted>
  <dcterms:created xsi:type="dcterms:W3CDTF">2023-10-31T15:37:00Z</dcterms:created>
  <dcterms:modified xsi:type="dcterms:W3CDTF">2023-11-02T06:08:00Z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