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57E6" w14:textId="77777777" w:rsidR="000569A2" w:rsidRPr="002332FE" w:rsidRDefault="006F3708" w:rsidP="006F3708">
      <w:pPr>
        <w:jc w:val="center"/>
        <w:rPr>
          <w:rFonts w:ascii="Tahoma" w:hAnsi="Tahoma" w:cs="Tahoma"/>
          <w:b/>
          <w:sz w:val="20"/>
          <w:szCs w:val="20"/>
        </w:rPr>
      </w:pPr>
      <w:r w:rsidRPr="002332FE">
        <w:rPr>
          <w:rFonts w:ascii="Tahoma" w:hAnsi="Tahoma" w:cs="Tahoma"/>
          <w:b/>
          <w:sz w:val="20"/>
          <w:szCs w:val="20"/>
        </w:rPr>
        <w:t>PRESS RELEASE</w:t>
      </w:r>
    </w:p>
    <w:p w14:paraId="4BACC6C8" w14:textId="77777777" w:rsidR="006F3708" w:rsidRPr="002332FE" w:rsidRDefault="006F3708" w:rsidP="006F3708">
      <w:pPr>
        <w:jc w:val="center"/>
        <w:rPr>
          <w:rFonts w:ascii="Tahoma" w:hAnsi="Tahoma" w:cs="Tahoma"/>
          <w:b/>
          <w:sz w:val="20"/>
          <w:szCs w:val="20"/>
        </w:rPr>
      </w:pPr>
      <w:r w:rsidRPr="002332FE">
        <w:rPr>
          <w:rFonts w:ascii="Tahoma" w:hAnsi="Tahoma" w:cs="Tahoma"/>
          <w:b/>
          <w:sz w:val="20"/>
          <w:szCs w:val="20"/>
        </w:rPr>
        <w:t>ANNUAL FINANCIAL RESULTS 2022</w:t>
      </w:r>
    </w:p>
    <w:p w14:paraId="3E52B149" w14:textId="3BDC73AA" w:rsidR="006F3708" w:rsidRPr="002332FE" w:rsidRDefault="006F3708" w:rsidP="006F3708">
      <w:pPr>
        <w:pStyle w:val="ListParagraph"/>
        <w:numPr>
          <w:ilvl w:val="0"/>
          <w:numId w:val="1"/>
        </w:numPr>
        <w:spacing w:before="120"/>
        <w:jc w:val="both"/>
        <w:rPr>
          <w:rFonts w:ascii="Tahoma" w:hAnsi="Tahoma" w:cs="Tahoma"/>
          <w:b/>
          <w:bCs/>
          <w:sz w:val="20"/>
          <w:szCs w:val="20"/>
        </w:rPr>
      </w:pPr>
      <w:r w:rsidRPr="002332FE">
        <w:rPr>
          <w:rFonts w:ascii="Tahoma" w:hAnsi="Tahoma" w:cs="Tahoma"/>
          <w:b/>
          <w:bCs/>
          <w:sz w:val="20"/>
          <w:szCs w:val="20"/>
          <w:lang w:val="en-US"/>
        </w:rPr>
        <w:t>Significant increase of turnover</w:t>
      </w:r>
      <w:r w:rsidR="00F73207">
        <w:rPr>
          <w:rFonts w:ascii="Tahoma" w:hAnsi="Tahoma" w:cs="Tahoma"/>
          <w:b/>
          <w:bCs/>
          <w:sz w:val="20"/>
          <w:szCs w:val="20"/>
          <w:lang w:val="en-US"/>
        </w:rPr>
        <w:t>.</w:t>
      </w:r>
    </w:p>
    <w:p w14:paraId="05681411" w14:textId="6C5CB6C4" w:rsidR="006F3708" w:rsidRPr="002332FE" w:rsidRDefault="006F3708" w:rsidP="006F3708">
      <w:pPr>
        <w:pStyle w:val="ListParagraph"/>
        <w:numPr>
          <w:ilvl w:val="0"/>
          <w:numId w:val="1"/>
        </w:numPr>
        <w:spacing w:before="120"/>
        <w:jc w:val="both"/>
        <w:rPr>
          <w:rFonts w:ascii="Tahoma" w:hAnsi="Tahoma" w:cs="Tahoma"/>
          <w:b/>
          <w:bCs/>
          <w:sz w:val="20"/>
          <w:szCs w:val="20"/>
          <w:lang w:val="en-US"/>
        </w:rPr>
      </w:pPr>
      <w:r w:rsidRPr="002332FE">
        <w:rPr>
          <w:rFonts w:ascii="Tahoma" w:hAnsi="Tahoma" w:cs="Tahoma"/>
          <w:b/>
          <w:bCs/>
          <w:sz w:val="20"/>
          <w:szCs w:val="20"/>
          <w:lang w:val="en-US"/>
        </w:rPr>
        <w:t xml:space="preserve">Profitability remains strong despite, despite shrinking </w:t>
      </w:r>
      <w:r w:rsidR="00F73207" w:rsidRPr="002332FE">
        <w:rPr>
          <w:rFonts w:ascii="Tahoma" w:hAnsi="Tahoma" w:cs="Tahoma"/>
          <w:b/>
          <w:bCs/>
          <w:sz w:val="20"/>
          <w:szCs w:val="20"/>
          <w:lang w:val="en-US"/>
        </w:rPr>
        <w:t>margins.</w:t>
      </w:r>
    </w:p>
    <w:p w14:paraId="04D67BCA" w14:textId="77777777" w:rsidR="006F3708" w:rsidRPr="002332FE" w:rsidRDefault="006F3708">
      <w:pPr>
        <w:rPr>
          <w:rFonts w:ascii="Tahoma" w:hAnsi="Tahoma" w:cs="Tahoma"/>
          <w:sz w:val="20"/>
          <w:szCs w:val="20"/>
        </w:rPr>
      </w:pPr>
    </w:p>
    <w:p w14:paraId="33579CEC" w14:textId="05E254F7" w:rsidR="006F3708" w:rsidRPr="002332FE" w:rsidRDefault="00E7057F" w:rsidP="00894697">
      <w:pPr>
        <w:jc w:val="both"/>
        <w:rPr>
          <w:rFonts w:ascii="Tahoma" w:hAnsi="Tahoma" w:cs="Tahoma"/>
          <w:sz w:val="20"/>
          <w:szCs w:val="20"/>
        </w:rPr>
      </w:pPr>
      <w:r w:rsidRPr="002332FE">
        <w:rPr>
          <w:rFonts w:ascii="Tahoma" w:hAnsi="Tahoma" w:cs="Tahoma"/>
          <w:sz w:val="20"/>
          <w:szCs w:val="20"/>
        </w:rPr>
        <w:t xml:space="preserve">The consolidated turnover of SIDMA </w:t>
      </w:r>
      <w:r w:rsidR="00CB3355" w:rsidRPr="002332FE">
        <w:rPr>
          <w:rFonts w:ascii="Tahoma" w:hAnsi="Tahoma" w:cs="Tahoma"/>
          <w:sz w:val="20"/>
          <w:szCs w:val="20"/>
        </w:rPr>
        <w:t xml:space="preserve">Steel </w:t>
      </w:r>
      <w:r w:rsidRPr="002332FE">
        <w:rPr>
          <w:rFonts w:ascii="Tahoma" w:hAnsi="Tahoma" w:cs="Tahoma"/>
          <w:sz w:val="20"/>
          <w:szCs w:val="20"/>
        </w:rPr>
        <w:t>Group recorded a 17.2% increase during 2022, amounting to €265.3 million, compared to €226.4 million in 202</w:t>
      </w:r>
      <w:r w:rsidR="008406EC">
        <w:rPr>
          <w:rFonts w:ascii="Tahoma" w:hAnsi="Tahoma" w:cs="Tahoma"/>
          <w:sz w:val="20"/>
          <w:szCs w:val="20"/>
        </w:rPr>
        <w:t>1</w:t>
      </w:r>
      <w:r w:rsidRPr="002332FE">
        <w:rPr>
          <w:rFonts w:ascii="Tahoma" w:hAnsi="Tahoma" w:cs="Tahoma"/>
          <w:sz w:val="20"/>
          <w:szCs w:val="20"/>
        </w:rPr>
        <w:t xml:space="preserve">. </w:t>
      </w:r>
      <w:r w:rsidR="00894697" w:rsidRPr="002332FE">
        <w:rPr>
          <w:rFonts w:ascii="Tahoma" w:hAnsi="Tahoma" w:cs="Tahoma"/>
          <w:sz w:val="20"/>
          <w:szCs w:val="20"/>
        </w:rPr>
        <w:t xml:space="preserve">Taking into consideration dealer sales, it amounted to </w:t>
      </w:r>
      <w:r w:rsidR="0097731D" w:rsidRPr="002332FE">
        <w:rPr>
          <w:rFonts w:ascii="Tahoma" w:hAnsi="Tahoma" w:cs="Tahoma"/>
          <w:sz w:val="20"/>
          <w:szCs w:val="20"/>
        </w:rPr>
        <w:t>€</w:t>
      </w:r>
      <w:r w:rsidR="00894697" w:rsidRPr="002332FE">
        <w:rPr>
          <w:rFonts w:ascii="Tahoma" w:hAnsi="Tahoma" w:cs="Tahoma"/>
          <w:sz w:val="20"/>
          <w:szCs w:val="20"/>
        </w:rPr>
        <w:t>31</w:t>
      </w:r>
      <w:r w:rsidR="000D442F">
        <w:rPr>
          <w:rFonts w:ascii="Tahoma" w:hAnsi="Tahoma" w:cs="Tahoma"/>
          <w:sz w:val="20"/>
          <w:szCs w:val="20"/>
        </w:rPr>
        <w:t>4</w:t>
      </w:r>
      <w:r w:rsidR="00894697" w:rsidRPr="002332FE">
        <w:rPr>
          <w:rFonts w:ascii="Tahoma" w:hAnsi="Tahoma" w:cs="Tahoma"/>
          <w:sz w:val="20"/>
          <w:szCs w:val="20"/>
        </w:rPr>
        <w:t>.</w:t>
      </w:r>
      <w:r w:rsidR="000D442F">
        <w:rPr>
          <w:rFonts w:ascii="Tahoma" w:hAnsi="Tahoma" w:cs="Tahoma"/>
          <w:sz w:val="20"/>
          <w:szCs w:val="20"/>
        </w:rPr>
        <w:t>0</w:t>
      </w:r>
      <w:r w:rsidR="00894697" w:rsidRPr="002332FE">
        <w:rPr>
          <w:rFonts w:ascii="Tahoma" w:hAnsi="Tahoma" w:cs="Tahoma"/>
          <w:sz w:val="20"/>
          <w:szCs w:val="20"/>
        </w:rPr>
        <w:t xml:space="preserve"> million compared to €274.2 million in the previous year, registering a 1</w:t>
      </w:r>
      <w:r w:rsidR="000D442F">
        <w:rPr>
          <w:rFonts w:ascii="Tahoma" w:hAnsi="Tahoma" w:cs="Tahoma"/>
          <w:sz w:val="20"/>
          <w:szCs w:val="20"/>
        </w:rPr>
        <w:t>4</w:t>
      </w:r>
      <w:r w:rsidR="00894697" w:rsidRPr="002332FE">
        <w:rPr>
          <w:rFonts w:ascii="Tahoma" w:hAnsi="Tahoma" w:cs="Tahoma"/>
          <w:sz w:val="20"/>
          <w:szCs w:val="20"/>
        </w:rPr>
        <w:t>.</w:t>
      </w:r>
      <w:r w:rsidR="000D442F">
        <w:rPr>
          <w:rFonts w:ascii="Tahoma" w:hAnsi="Tahoma" w:cs="Tahoma"/>
          <w:sz w:val="20"/>
          <w:szCs w:val="20"/>
        </w:rPr>
        <w:t>5</w:t>
      </w:r>
      <w:r w:rsidR="00894697" w:rsidRPr="002332FE">
        <w:rPr>
          <w:rFonts w:ascii="Tahoma" w:hAnsi="Tahoma" w:cs="Tahoma"/>
          <w:sz w:val="20"/>
          <w:szCs w:val="20"/>
        </w:rPr>
        <w:t xml:space="preserve">% increase. </w:t>
      </w:r>
    </w:p>
    <w:p w14:paraId="432BC77A" w14:textId="77777777" w:rsidR="00894697" w:rsidRPr="002332FE" w:rsidRDefault="00894697" w:rsidP="00894697">
      <w:pPr>
        <w:jc w:val="both"/>
        <w:rPr>
          <w:rFonts w:ascii="Tahoma" w:hAnsi="Tahoma" w:cs="Tahoma"/>
          <w:sz w:val="20"/>
          <w:szCs w:val="20"/>
        </w:rPr>
      </w:pPr>
      <w:r w:rsidRPr="002332FE">
        <w:rPr>
          <w:rFonts w:ascii="Tahoma" w:hAnsi="Tahoma" w:cs="Tahoma"/>
          <w:sz w:val="20"/>
          <w:szCs w:val="20"/>
        </w:rPr>
        <w:t xml:space="preserve">The increase in turnover is attributable to an increase of the average sale price and the volume of sales and reflects the strong presence of the Group’s companies in the markets in which they operate. </w:t>
      </w:r>
    </w:p>
    <w:p w14:paraId="01906093" w14:textId="44E3432D" w:rsidR="00E13358" w:rsidRPr="002332FE" w:rsidRDefault="00E7282C" w:rsidP="00894697">
      <w:pPr>
        <w:jc w:val="both"/>
        <w:rPr>
          <w:rFonts w:ascii="Tahoma" w:hAnsi="Tahoma" w:cs="Tahoma"/>
          <w:sz w:val="20"/>
          <w:szCs w:val="20"/>
        </w:rPr>
      </w:pPr>
      <w:r w:rsidRPr="002332FE">
        <w:rPr>
          <w:rFonts w:ascii="Tahoma" w:hAnsi="Tahoma" w:cs="Tahoma"/>
          <w:sz w:val="20"/>
          <w:szCs w:val="20"/>
        </w:rPr>
        <w:t xml:space="preserve">The earnings before interest, taxes, </w:t>
      </w:r>
      <w:r w:rsidR="00427040" w:rsidRPr="002332FE">
        <w:rPr>
          <w:rFonts w:ascii="Tahoma" w:hAnsi="Tahoma" w:cs="Tahoma"/>
          <w:sz w:val="20"/>
          <w:szCs w:val="20"/>
        </w:rPr>
        <w:t>depreciation,</w:t>
      </w:r>
      <w:r w:rsidRPr="002332FE">
        <w:rPr>
          <w:rFonts w:ascii="Tahoma" w:hAnsi="Tahoma" w:cs="Tahoma"/>
          <w:sz w:val="20"/>
          <w:szCs w:val="20"/>
        </w:rPr>
        <w:t xml:space="preserve"> and amortization (EBITDA) amounted to €17.8 million, compared to €27.1 million in 2021, recording a 34.5% decrease mainly due to a 36.7% decrease of the gross profit margin</w:t>
      </w:r>
      <w:r w:rsidR="00E13358" w:rsidRPr="002332FE">
        <w:rPr>
          <w:rFonts w:ascii="Tahoma" w:hAnsi="Tahoma" w:cs="Tahoma"/>
          <w:sz w:val="20"/>
          <w:szCs w:val="20"/>
        </w:rPr>
        <w:t xml:space="preserve"> (from 15.3% in 2021 to 9.7% in 2022) and the subsequent decrease of the gross profits by €8.9 million (from €34.7 million in 2021 to </w:t>
      </w:r>
      <w:r w:rsidR="00C86EC6" w:rsidRPr="002332FE">
        <w:rPr>
          <w:rFonts w:ascii="Tahoma" w:hAnsi="Tahoma" w:cs="Tahoma"/>
          <w:sz w:val="20"/>
          <w:szCs w:val="20"/>
        </w:rPr>
        <w:t>€</w:t>
      </w:r>
      <w:r w:rsidR="00E13358" w:rsidRPr="002332FE">
        <w:rPr>
          <w:rFonts w:ascii="Tahoma" w:hAnsi="Tahoma" w:cs="Tahoma"/>
          <w:sz w:val="20"/>
          <w:szCs w:val="20"/>
        </w:rPr>
        <w:t>25.7 million in 2022)</w:t>
      </w:r>
      <w:r w:rsidR="00F0521E">
        <w:rPr>
          <w:rFonts w:ascii="Tahoma" w:hAnsi="Tahoma" w:cs="Tahoma"/>
          <w:sz w:val="20"/>
          <w:szCs w:val="20"/>
        </w:rPr>
        <w:t xml:space="preserve"> </w:t>
      </w:r>
      <w:bookmarkStart w:id="0" w:name="_Hlk132882856"/>
      <w:r w:rsidR="00F0521E">
        <w:rPr>
          <w:rFonts w:ascii="Tahoma" w:hAnsi="Tahoma" w:cs="Tahoma"/>
          <w:sz w:val="20"/>
          <w:szCs w:val="20"/>
        </w:rPr>
        <w:t>or by 25,8%</w:t>
      </w:r>
      <w:r w:rsidR="00E13358" w:rsidRPr="002332FE">
        <w:rPr>
          <w:rFonts w:ascii="Tahoma" w:hAnsi="Tahoma" w:cs="Tahoma"/>
          <w:sz w:val="20"/>
          <w:szCs w:val="20"/>
        </w:rPr>
        <w:t xml:space="preserve">. </w:t>
      </w:r>
      <w:bookmarkEnd w:id="0"/>
    </w:p>
    <w:p w14:paraId="1AD5A54C" w14:textId="64148090" w:rsidR="00E13358" w:rsidRPr="002332FE" w:rsidRDefault="00427040" w:rsidP="00894697">
      <w:pPr>
        <w:jc w:val="both"/>
        <w:rPr>
          <w:rFonts w:ascii="Tahoma" w:hAnsi="Tahoma" w:cs="Tahoma"/>
          <w:sz w:val="20"/>
          <w:szCs w:val="20"/>
        </w:rPr>
      </w:pPr>
      <w:r w:rsidRPr="002332FE">
        <w:rPr>
          <w:rFonts w:ascii="Tahoma" w:hAnsi="Tahoma" w:cs="Tahoma"/>
          <w:sz w:val="20"/>
          <w:szCs w:val="20"/>
        </w:rPr>
        <w:t>Regarding</w:t>
      </w:r>
      <w:r w:rsidR="00E13358" w:rsidRPr="002332FE">
        <w:rPr>
          <w:rFonts w:ascii="Tahoma" w:hAnsi="Tahoma" w:cs="Tahoma"/>
          <w:sz w:val="20"/>
          <w:szCs w:val="20"/>
        </w:rPr>
        <w:t xml:space="preserve"> the decrease of the gross profit </w:t>
      </w:r>
      <w:r w:rsidRPr="002332FE">
        <w:rPr>
          <w:rFonts w:ascii="Tahoma" w:hAnsi="Tahoma" w:cs="Tahoma"/>
          <w:sz w:val="20"/>
          <w:szCs w:val="20"/>
        </w:rPr>
        <w:t>margin,</w:t>
      </w:r>
      <w:r w:rsidR="00E13358" w:rsidRPr="002332FE">
        <w:rPr>
          <w:rFonts w:ascii="Tahoma" w:hAnsi="Tahoma" w:cs="Tahoma"/>
          <w:sz w:val="20"/>
          <w:szCs w:val="20"/>
        </w:rPr>
        <w:t xml:space="preserve"> it should be noted that </w:t>
      </w:r>
      <w:r w:rsidR="00AA0030" w:rsidRPr="002332FE">
        <w:rPr>
          <w:rFonts w:ascii="Tahoma" w:hAnsi="Tahoma" w:cs="Tahoma"/>
          <w:sz w:val="20"/>
          <w:szCs w:val="20"/>
        </w:rPr>
        <w:t xml:space="preserve">whereas </w:t>
      </w:r>
      <w:r w:rsidR="00E13358" w:rsidRPr="002332FE">
        <w:rPr>
          <w:rFonts w:ascii="Tahoma" w:hAnsi="Tahoma" w:cs="Tahoma"/>
          <w:sz w:val="20"/>
          <w:szCs w:val="20"/>
        </w:rPr>
        <w:t xml:space="preserve">in 2021, due to the </w:t>
      </w:r>
      <w:proofErr w:type="gramStart"/>
      <w:r w:rsidR="00E13358" w:rsidRPr="002332FE">
        <w:rPr>
          <w:rFonts w:ascii="Tahoma" w:hAnsi="Tahoma" w:cs="Tahoma"/>
          <w:sz w:val="20"/>
          <w:szCs w:val="20"/>
        </w:rPr>
        <w:t>particular conditions</w:t>
      </w:r>
      <w:proofErr w:type="gramEnd"/>
      <w:r w:rsidR="00E13358" w:rsidRPr="002332FE">
        <w:rPr>
          <w:rFonts w:ascii="Tahoma" w:hAnsi="Tahoma" w:cs="Tahoma"/>
          <w:sz w:val="20"/>
          <w:szCs w:val="20"/>
        </w:rPr>
        <w:t xml:space="preserve"> created by the abrupt return of economies to rapid growth rates after the pandemic recession, the </w:t>
      </w:r>
      <w:r w:rsidR="00AA0030" w:rsidRPr="002332FE">
        <w:rPr>
          <w:rFonts w:ascii="Tahoma" w:hAnsi="Tahoma" w:cs="Tahoma"/>
          <w:sz w:val="20"/>
          <w:szCs w:val="20"/>
        </w:rPr>
        <w:t>profit margins reached unusually high levels, during 2022, due to a slowing growth</w:t>
      </w:r>
      <w:r w:rsidR="007B45DE" w:rsidRPr="002332FE">
        <w:rPr>
          <w:rFonts w:ascii="Tahoma" w:hAnsi="Tahoma" w:cs="Tahoma"/>
          <w:sz w:val="20"/>
          <w:szCs w:val="20"/>
        </w:rPr>
        <w:t>, they were limited within a “normality” range. Furthermore, the de-escalation of</w:t>
      </w:r>
      <w:r w:rsidR="00965BD5" w:rsidRPr="002332FE">
        <w:rPr>
          <w:rFonts w:ascii="Tahoma" w:hAnsi="Tahoma" w:cs="Tahoma"/>
          <w:sz w:val="20"/>
          <w:szCs w:val="20"/>
        </w:rPr>
        <w:t xml:space="preserve"> the prices of </w:t>
      </w:r>
      <w:r w:rsidR="007B45DE" w:rsidRPr="002332FE">
        <w:rPr>
          <w:rFonts w:ascii="Tahoma" w:hAnsi="Tahoma" w:cs="Tahoma"/>
          <w:sz w:val="20"/>
          <w:szCs w:val="20"/>
        </w:rPr>
        <w:t>steel products</w:t>
      </w:r>
      <w:r w:rsidR="00965BD5" w:rsidRPr="002332FE">
        <w:rPr>
          <w:rFonts w:ascii="Tahoma" w:hAnsi="Tahoma" w:cs="Tahoma"/>
          <w:sz w:val="20"/>
          <w:szCs w:val="20"/>
        </w:rPr>
        <w:t xml:space="preserve">, flat-steel </w:t>
      </w:r>
      <w:proofErr w:type="gramStart"/>
      <w:r w:rsidR="00965BD5" w:rsidRPr="002332FE">
        <w:rPr>
          <w:rFonts w:ascii="Tahoma" w:hAnsi="Tahoma" w:cs="Tahoma"/>
          <w:sz w:val="20"/>
          <w:szCs w:val="20"/>
        </w:rPr>
        <w:t>products in particular, after</w:t>
      </w:r>
      <w:proofErr w:type="gramEnd"/>
      <w:r w:rsidR="00965BD5" w:rsidRPr="002332FE">
        <w:rPr>
          <w:rFonts w:ascii="Tahoma" w:hAnsi="Tahoma" w:cs="Tahoma"/>
          <w:sz w:val="20"/>
          <w:szCs w:val="20"/>
        </w:rPr>
        <w:t xml:space="preserve"> their explosive rise during the first quarter of 2022 due to the Russian invasion in Ukraine, </w:t>
      </w:r>
      <w:r w:rsidR="002332FE" w:rsidRPr="002332FE">
        <w:rPr>
          <w:rFonts w:ascii="Tahoma" w:hAnsi="Tahoma" w:cs="Tahoma"/>
          <w:sz w:val="20"/>
          <w:szCs w:val="20"/>
        </w:rPr>
        <w:t>led to</w:t>
      </w:r>
      <w:r w:rsidR="00965BD5" w:rsidRPr="002332FE">
        <w:rPr>
          <w:rFonts w:ascii="Tahoma" w:hAnsi="Tahoma" w:cs="Tahoma"/>
          <w:sz w:val="20"/>
          <w:szCs w:val="20"/>
        </w:rPr>
        <w:t xml:space="preserve"> a further compression of the profit margins until the realignment of the sale prices with the average cost of stocks. </w:t>
      </w:r>
    </w:p>
    <w:p w14:paraId="11330970" w14:textId="1C273A2B" w:rsidR="00965BD5" w:rsidRPr="002332FE" w:rsidRDefault="00965BD5" w:rsidP="00894697">
      <w:pPr>
        <w:jc w:val="both"/>
        <w:rPr>
          <w:rFonts w:ascii="Tahoma" w:hAnsi="Tahoma" w:cs="Tahoma"/>
          <w:sz w:val="20"/>
          <w:szCs w:val="20"/>
        </w:rPr>
      </w:pPr>
      <w:r w:rsidRPr="002332FE">
        <w:rPr>
          <w:rFonts w:ascii="Tahoma" w:hAnsi="Tahoma" w:cs="Tahoma"/>
          <w:sz w:val="20"/>
          <w:szCs w:val="20"/>
        </w:rPr>
        <w:t xml:space="preserve">Lastly, the profits before tax amounted to €9.8 million, compared to €31.7 million in 2021. However, these figures include the impact of the accounting treatment of the refinancing of the Company’s loan liabilities, </w:t>
      </w:r>
      <w:r w:rsidR="00427040" w:rsidRPr="002332FE">
        <w:rPr>
          <w:rFonts w:ascii="Tahoma" w:hAnsi="Tahoma" w:cs="Tahoma"/>
          <w:sz w:val="20"/>
          <w:szCs w:val="20"/>
        </w:rPr>
        <w:t>consisting of</w:t>
      </w:r>
      <w:r w:rsidRPr="002332FE">
        <w:rPr>
          <w:rFonts w:ascii="Tahoma" w:hAnsi="Tahoma" w:cs="Tahoma"/>
          <w:sz w:val="20"/>
          <w:szCs w:val="20"/>
        </w:rPr>
        <w:t xml:space="preserve"> the </w:t>
      </w:r>
      <w:r w:rsidR="000E740D" w:rsidRPr="002332FE">
        <w:rPr>
          <w:rFonts w:ascii="Tahoma" w:hAnsi="Tahoma" w:cs="Tahoma"/>
          <w:sz w:val="20"/>
          <w:szCs w:val="20"/>
        </w:rPr>
        <w:t xml:space="preserve">reporting of the loan liabilities at fair value. Subtracting the impact of said accounting treatment, the profits before tax amounted to €11.4 million in </w:t>
      </w:r>
      <w:r w:rsidR="002332FE" w:rsidRPr="002332FE">
        <w:rPr>
          <w:rFonts w:ascii="Tahoma" w:hAnsi="Tahoma" w:cs="Tahoma"/>
          <w:sz w:val="20"/>
          <w:szCs w:val="20"/>
        </w:rPr>
        <w:t>2022 and</w:t>
      </w:r>
      <w:r w:rsidR="000E740D" w:rsidRPr="002332FE">
        <w:rPr>
          <w:rFonts w:ascii="Tahoma" w:hAnsi="Tahoma" w:cs="Tahoma"/>
          <w:sz w:val="20"/>
          <w:szCs w:val="20"/>
        </w:rPr>
        <w:t xml:space="preserve"> €19.3 million in 202</w:t>
      </w:r>
      <w:r w:rsidR="00C86EC6" w:rsidRPr="002332FE">
        <w:rPr>
          <w:rFonts w:ascii="Tahoma" w:hAnsi="Tahoma" w:cs="Tahoma"/>
          <w:sz w:val="20"/>
          <w:szCs w:val="20"/>
        </w:rPr>
        <w:t>1</w:t>
      </w:r>
      <w:r w:rsidR="000E740D" w:rsidRPr="002332FE">
        <w:rPr>
          <w:rFonts w:ascii="Tahoma" w:hAnsi="Tahoma" w:cs="Tahoma"/>
          <w:sz w:val="20"/>
          <w:szCs w:val="20"/>
        </w:rPr>
        <w:t xml:space="preserve">, recording a 40.9% decrease. </w:t>
      </w:r>
    </w:p>
    <w:p w14:paraId="6DFDCED6" w14:textId="77777777" w:rsidR="000E740D" w:rsidRPr="002332FE" w:rsidRDefault="000E740D" w:rsidP="00894697">
      <w:pPr>
        <w:jc w:val="both"/>
        <w:rPr>
          <w:rFonts w:ascii="Tahoma" w:hAnsi="Tahoma" w:cs="Tahoma"/>
          <w:sz w:val="20"/>
          <w:szCs w:val="20"/>
        </w:rPr>
      </w:pPr>
      <w:r w:rsidRPr="002332FE">
        <w:rPr>
          <w:rFonts w:ascii="Tahoma" w:hAnsi="Tahoma" w:cs="Tahoma"/>
          <w:sz w:val="20"/>
          <w:szCs w:val="20"/>
        </w:rPr>
        <w:t xml:space="preserve">It should be noted that whereas gross profits were decreased by €8.9 million, the </w:t>
      </w:r>
      <w:r w:rsidR="00CB3355" w:rsidRPr="002332FE">
        <w:rPr>
          <w:rFonts w:ascii="Tahoma" w:hAnsi="Tahoma" w:cs="Tahoma"/>
          <w:sz w:val="20"/>
          <w:szCs w:val="20"/>
        </w:rPr>
        <w:t xml:space="preserve">decrease in </w:t>
      </w:r>
      <w:r w:rsidRPr="002332FE">
        <w:rPr>
          <w:rFonts w:ascii="Tahoma" w:hAnsi="Tahoma" w:cs="Tahoma"/>
          <w:sz w:val="20"/>
          <w:szCs w:val="20"/>
        </w:rPr>
        <w:t xml:space="preserve">net profit before tax </w:t>
      </w:r>
      <w:r w:rsidR="00CB3355" w:rsidRPr="002332FE">
        <w:rPr>
          <w:rFonts w:ascii="Tahoma" w:hAnsi="Tahoma" w:cs="Tahoma"/>
          <w:sz w:val="20"/>
          <w:szCs w:val="20"/>
        </w:rPr>
        <w:t xml:space="preserve">was limited to €7.9 million. </w:t>
      </w:r>
    </w:p>
    <w:p w14:paraId="02944E3C" w14:textId="7C95B8E3" w:rsidR="00BB5AED" w:rsidRPr="002332FE" w:rsidRDefault="00CB3355" w:rsidP="00894697">
      <w:pPr>
        <w:jc w:val="both"/>
        <w:rPr>
          <w:rFonts w:ascii="Tahoma" w:hAnsi="Tahoma" w:cs="Tahoma"/>
          <w:sz w:val="20"/>
          <w:szCs w:val="20"/>
        </w:rPr>
      </w:pPr>
      <w:r w:rsidRPr="002332FE">
        <w:rPr>
          <w:rFonts w:ascii="Tahoma" w:hAnsi="Tahoma" w:cs="Tahoma"/>
          <w:sz w:val="20"/>
          <w:szCs w:val="20"/>
        </w:rPr>
        <w:t>At the company leve</w:t>
      </w:r>
      <w:r w:rsidR="00BB5AED" w:rsidRPr="002332FE">
        <w:rPr>
          <w:rFonts w:ascii="Tahoma" w:hAnsi="Tahoma" w:cs="Tahoma"/>
          <w:sz w:val="20"/>
          <w:szCs w:val="20"/>
        </w:rPr>
        <w:t>l</w:t>
      </w:r>
      <w:r w:rsidRPr="002332FE">
        <w:rPr>
          <w:rFonts w:ascii="Tahoma" w:hAnsi="Tahoma" w:cs="Tahoma"/>
          <w:sz w:val="20"/>
          <w:szCs w:val="20"/>
        </w:rPr>
        <w:t xml:space="preserve">, the turnover </w:t>
      </w:r>
      <w:r w:rsidR="00F73207" w:rsidRPr="002332FE">
        <w:rPr>
          <w:rFonts w:ascii="Tahoma" w:hAnsi="Tahoma" w:cs="Tahoma"/>
          <w:sz w:val="20"/>
          <w:szCs w:val="20"/>
        </w:rPr>
        <w:t>of SIDMA</w:t>
      </w:r>
      <w:r w:rsidRPr="002332FE">
        <w:rPr>
          <w:rFonts w:ascii="Tahoma" w:hAnsi="Tahoma" w:cs="Tahoma"/>
          <w:sz w:val="20"/>
          <w:szCs w:val="20"/>
        </w:rPr>
        <w:t xml:space="preserve"> Steel in 2022 increased to €17</w:t>
      </w:r>
      <w:r w:rsidR="00F0521E">
        <w:rPr>
          <w:rFonts w:ascii="Tahoma" w:hAnsi="Tahoma" w:cs="Tahoma"/>
          <w:sz w:val="20"/>
          <w:szCs w:val="20"/>
        </w:rPr>
        <w:t>3</w:t>
      </w:r>
      <w:r w:rsidRPr="002332FE">
        <w:rPr>
          <w:rFonts w:ascii="Tahoma" w:hAnsi="Tahoma" w:cs="Tahoma"/>
          <w:sz w:val="20"/>
          <w:szCs w:val="20"/>
        </w:rPr>
        <w:t xml:space="preserve">.0 million from €150.1 million, registering a 15.3% increase, whereas, taking into consideration dealer sales, it </w:t>
      </w:r>
      <w:r w:rsidR="00BB5AED" w:rsidRPr="002332FE">
        <w:rPr>
          <w:rFonts w:ascii="Tahoma" w:hAnsi="Tahoma" w:cs="Tahoma"/>
          <w:sz w:val="20"/>
          <w:szCs w:val="20"/>
        </w:rPr>
        <w:t>amounted to €2</w:t>
      </w:r>
      <w:r w:rsidR="00FE2D4E">
        <w:rPr>
          <w:rFonts w:ascii="Tahoma" w:hAnsi="Tahoma" w:cs="Tahoma"/>
          <w:sz w:val="20"/>
          <w:szCs w:val="20"/>
        </w:rPr>
        <w:t>2</w:t>
      </w:r>
      <w:r w:rsidR="00136401">
        <w:rPr>
          <w:rFonts w:ascii="Tahoma" w:hAnsi="Tahoma" w:cs="Tahoma"/>
          <w:sz w:val="20"/>
          <w:szCs w:val="20"/>
        </w:rPr>
        <w:t>1</w:t>
      </w:r>
      <w:r w:rsidR="00BB5AED" w:rsidRPr="002332FE">
        <w:rPr>
          <w:rFonts w:ascii="Tahoma" w:hAnsi="Tahoma" w:cs="Tahoma"/>
          <w:sz w:val="20"/>
          <w:szCs w:val="20"/>
        </w:rPr>
        <w:t>.</w:t>
      </w:r>
      <w:r w:rsidR="00FE2D4E">
        <w:rPr>
          <w:rFonts w:ascii="Tahoma" w:hAnsi="Tahoma" w:cs="Tahoma"/>
          <w:sz w:val="20"/>
          <w:szCs w:val="20"/>
        </w:rPr>
        <w:t>7</w:t>
      </w:r>
      <w:r w:rsidR="00BB5AED" w:rsidRPr="002332FE">
        <w:rPr>
          <w:rFonts w:ascii="Tahoma" w:hAnsi="Tahoma" w:cs="Tahoma"/>
          <w:sz w:val="20"/>
          <w:szCs w:val="20"/>
        </w:rPr>
        <w:t xml:space="preserve"> million compared to €197.9 million in 2021, presenting a 1</w:t>
      </w:r>
      <w:r w:rsidR="00FE2D4E">
        <w:rPr>
          <w:rFonts w:ascii="Tahoma" w:hAnsi="Tahoma" w:cs="Tahoma"/>
          <w:sz w:val="20"/>
          <w:szCs w:val="20"/>
        </w:rPr>
        <w:t>2</w:t>
      </w:r>
      <w:r w:rsidR="00BB5AED" w:rsidRPr="002332FE">
        <w:rPr>
          <w:rFonts w:ascii="Tahoma" w:hAnsi="Tahoma" w:cs="Tahoma"/>
          <w:sz w:val="20"/>
          <w:szCs w:val="20"/>
        </w:rPr>
        <w:t>.</w:t>
      </w:r>
      <w:r w:rsidR="00FE2D4E">
        <w:rPr>
          <w:rFonts w:ascii="Tahoma" w:hAnsi="Tahoma" w:cs="Tahoma"/>
          <w:sz w:val="20"/>
          <w:szCs w:val="20"/>
        </w:rPr>
        <w:t>1</w:t>
      </w:r>
      <w:r w:rsidR="00BB5AED" w:rsidRPr="002332FE">
        <w:rPr>
          <w:rFonts w:ascii="Tahoma" w:hAnsi="Tahoma" w:cs="Tahoma"/>
          <w:sz w:val="20"/>
          <w:szCs w:val="20"/>
        </w:rPr>
        <w:t xml:space="preserve">% increase. The earnings before interest, taxes, </w:t>
      </w:r>
      <w:r w:rsidR="00427040" w:rsidRPr="002332FE">
        <w:rPr>
          <w:rFonts w:ascii="Tahoma" w:hAnsi="Tahoma" w:cs="Tahoma"/>
          <w:sz w:val="20"/>
          <w:szCs w:val="20"/>
        </w:rPr>
        <w:t>depreciation,</w:t>
      </w:r>
      <w:r w:rsidR="00BB5AED" w:rsidRPr="002332FE">
        <w:rPr>
          <w:rFonts w:ascii="Tahoma" w:hAnsi="Tahoma" w:cs="Tahoma"/>
          <w:sz w:val="20"/>
          <w:szCs w:val="20"/>
        </w:rPr>
        <w:t xml:space="preserve"> and amortization (EBITDA) amounted to €12.7 million, compared to €20.2 million in 2021, mainly due to a </w:t>
      </w:r>
      <w:r w:rsidR="00EC5F6A" w:rsidRPr="002332FE">
        <w:rPr>
          <w:rFonts w:ascii="Tahoma" w:hAnsi="Tahoma" w:cs="Tahoma"/>
          <w:sz w:val="20"/>
          <w:szCs w:val="20"/>
        </w:rPr>
        <w:t xml:space="preserve">37% </w:t>
      </w:r>
      <w:r w:rsidR="00BB5AED" w:rsidRPr="002332FE">
        <w:rPr>
          <w:rFonts w:ascii="Tahoma" w:hAnsi="Tahoma" w:cs="Tahoma"/>
          <w:sz w:val="20"/>
          <w:szCs w:val="20"/>
        </w:rPr>
        <w:t>decr</w:t>
      </w:r>
      <w:r w:rsidR="00EC5F6A" w:rsidRPr="002332FE">
        <w:rPr>
          <w:rFonts w:ascii="Tahoma" w:hAnsi="Tahoma" w:cs="Tahoma"/>
          <w:sz w:val="20"/>
          <w:szCs w:val="20"/>
        </w:rPr>
        <w:t xml:space="preserve">ease of the gross profit margin, whereas the profits before tax amounted to €5.8 million, compared to €26.4 million in 2021. Without taking into consideration the impact of the </w:t>
      </w:r>
      <w:proofErr w:type="gramStart"/>
      <w:r w:rsidR="00EC5F6A" w:rsidRPr="002332FE">
        <w:rPr>
          <w:rFonts w:ascii="Tahoma" w:hAnsi="Tahoma" w:cs="Tahoma"/>
          <w:sz w:val="20"/>
          <w:szCs w:val="20"/>
        </w:rPr>
        <w:t>aforementioned accounting</w:t>
      </w:r>
      <w:proofErr w:type="gramEnd"/>
      <w:r w:rsidR="00EC5F6A" w:rsidRPr="002332FE">
        <w:rPr>
          <w:rFonts w:ascii="Tahoma" w:hAnsi="Tahoma" w:cs="Tahoma"/>
          <w:sz w:val="20"/>
          <w:szCs w:val="20"/>
        </w:rPr>
        <w:t xml:space="preserve"> treatment of the refinancing of the Company’s loan liabilities, the profits before tax in 2022 amounted to €7.4 million, whereas the comparable figure of 2021 amounted to €13.9 million. </w:t>
      </w:r>
    </w:p>
    <w:p w14:paraId="0E8A0FAB" w14:textId="1877DFC9" w:rsidR="00EC5F6A" w:rsidRPr="002332FE" w:rsidRDefault="00427040" w:rsidP="00894697">
      <w:pPr>
        <w:jc w:val="both"/>
        <w:rPr>
          <w:rFonts w:ascii="Tahoma" w:hAnsi="Tahoma" w:cs="Tahoma"/>
          <w:sz w:val="20"/>
          <w:szCs w:val="20"/>
        </w:rPr>
      </w:pPr>
      <w:r w:rsidRPr="002332FE">
        <w:rPr>
          <w:rFonts w:ascii="Tahoma" w:hAnsi="Tahoma" w:cs="Tahoma"/>
          <w:sz w:val="20"/>
          <w:szCs w:val="20"/>
        </w:rPr>
        <w:t>Regarding</w:t>
      </w:r>
      <w:r w:rsidR="00EC5F6A" w:rsidRPr="002332FE">
        <w:rPr>
          <w:rFonts w:ascii="Tahoma" w:hAnsi="Tahoma" w:cs="Tahoma"/>
          <w:sz w:val="20"/>
          <w:szCs w:val="20"/>
        </w:rPr>
        <w:t xml:space="preserve"> Balkan subsidiaries, the </w:t>
      </w:r>
      <w:r w:rsidR="008E4905" w:rsidRPr="002332FE">
        <w:rPr>
          <w:rFonts w:ascii="Tahoma" w:hAnsi="Tahoma" w:cs="Tahoma"/>
          <w:sz w:val="20"/>
          <w:szCs w:val="20"/>
        </w:rPr>
        <w:t xml:space="preserve">exceptional </w:t>
      </w:r>
      <w:r w:rsidR="00EC5F6A" w:rsidRPr="002332FE">
        <w:rPr>
          <w:rFonts w:ascii="Tahoma" w:hAnsi="Tahoma" w:cs="Tahoma"/>
          <w:sz w:val="20"/>
          <w:szCs w:val="20"/>
        </w:rPr>
        <w:t xml:space="preserve">performance of SIDMA Bulgaria </w:t>
      </w:r>
      <w:r w:rsidR="008E4905" w:rsidRPr="002332FE">
        <w:rPr>
          <w:rFonts w:ascii="Tahoma" w:hAnsi="Tahoma" w:cs="Tahoma"/>
          <w:sz w:val="20"/>
          <w:szCs w:val="20"/>
        </w:rPr>
        <w:t>is worth</w:t>
      </w:r>
      <w:r w:rsidR="00B339F3" w:rsidRPr="002332FE">
        <w:rPr>
          <w:rFonts w:ascii="Tahoma" w:hAnsi="Tahoma" w:cs="Tahoma"/>
          <w:sz w:val="20"/>
          <w:szCs w:val="20"/>
        </w:rPr>
        <w:t>y</w:t>
      </w:r>
      <w:r w:rsidR="008E4905" w:rsidRPr="002332FE">
        <w:rPr>
          <w:rFonts w:ascii="Tahoma" w:hAnsi="Tahoma" w:cs="Tahoma"/>
          <w:sz w:val="20"/>
          <w:szCs w:val="20"/>
        </w:rPr>
        <w:t xml:space="preserve"> of note, achieving a 25% increase in turnover, from €44.6 million to €55.7 </w:t>
      </w:r>
      <w:r w:rsidR="00F73207" w:rsidRPr="002332FE">
        <w:rPr>
          <w:rFonts w:ascii="Tahoma" w:hAnsi="Tahoma" w:cs="Tahoma"/>
          <w:sz w:val="20"/>
          <w:szCs w:val="20"/>
        </w:rPr>
        <w:t>million, with</w:t>
      </w:r>
      <w:r w:rsidR="008E4905" w:rsidRPr="002332FE">
        <w:rPr>
          <w:rFonts w:ascii="Tahoma" w:hAnsi="Tahoma" w:cs="Tahoma"/>
          <w:sz w:val="20"/>
          <w:szCs w:val="20"/>
        </w:rPr>
        <w:t xml:space="preserve"> an average sale price </w:t>
      </w:r>
      <w:r w:rsidR="00B339F3" w:rsidRPr="002332FE">
        <w:rPr>
          <w:rFonts w:ascii="Tahoma" w:hAnsi="Tahoma" w:cs="Tahoma"/>
          <w:sz w:val="20"/>
          <w:szCs w:val="20"/>
        </w:rPr>
        <w:t xml:space="preserve">increased by 14.4% compared to 2021. The company’s EBITDA amounted to €3,184 thousand, compared to €3,505 thousand in 2021, recording a 9.1% decrease, whereas the profit before tax amounted to €2,604 thousand compared to €2,970 thousand during the previous fiscal year. </w:t>
      </w:r>
    </w:p>
    <w:p w14:paraId="6187CB9E" w14:textId="77777777" w:rsidR="00B339F3" w:rsidRPr="002332FE" w:rsidRDefault="00E0710F" w:rsidP="00894697">
      <w:pPr>
        <w:jc w:val="both"/>
        <w:rPr>
          <w:rFonts w:ascii="Tahoma" w:hAnsi="Tahoma" w:cs="Tahoma"/>
          <w:sz w:val="20"/>
          <w:szCs w:val="20"/>
        </w:rPr>
      </w:pPr>
      <w:r w:rsidRPr="002332FE">
        <w:rPr>
          <w:rFonts w:ascii="Tahoma" w:hAnsi="Tahoma" w:cs="Tahoma"/>
          <w:sz w:val="20"/>
          <w:szCs w:val="20"/>
        </w:rPr>
        <w:t>SIDMA Romania also recorded a 16%</w:t>
      </w:r>
      <w:r w:rsidR="00B339F3" w:rsidRPr="002332FE">
        <w:rPr>
          <w:rFonts w:ascii="Tahoma" w:hAnsi="Tahoma" w:cs="Tahoma"/>
          <w:sz w:val="20"/>
          <w:szCs w:val="20"/>
        </w:rPr>
        <w:t xml:space="preserve"> increase in turnover</w:t>
      </w:r>
      <w:r w:rsidRPr="002332FE">
        <w:rPr>
          <w:rFonts w:ascii="Tahoma" w:hAnsi="Tahoma" w:cs="Tahoma"/>
          <w:sz w:val="20"/>
          <w:szCs w:val="20"/>
        </w:rPr>
        <w:t xml:space="preserve">, amounting to €37.8 million compared to €32.7 million in 2021, mostly due to </w:t>
      </w:r>
      <w:r w:rsidR="0098658C" w:rsidRPr="002332FE">
        <w:rPr>
          <w:rFonts w:ascii="Tahoma" w:hAnsi="Tahoma" w:cs="Tahoma"/>
          <w:sz w:val="20"/>
          <w:szCs w:val="20"/>
        </w:rPr>
        <w:t>an</w:t>
      </w:r>
      <w:r w:rsidRPr="002332FE">
        <w:rPr>
          <w:rFonts w:ascii="Tahoma" w:hAnsi="Tahoma" w:cs="Tahoma"/>
          <w:sz w:val="20"/>
          <w:szCs w:val="20"/>
        </w:rPr>
        <w:t xml:space="preserve"> increase of </w:t>
      </w:r>
      <w:r w:rsidR="0098658C" w:rsidRPr="002332FE">
        <w:rPr>
          <w:rFonts w:ascii="Tahoma" w:hAnsi="Tahoma" w:cs="Tahoma"/>
          <w:sz w:val="20"/>
          <w:szCs w:val="20"/>
        </w:rPr>
        <w:t>the</w:t>
      </w:r>
      <w:r w:rsidRPr="002332FE">
        <w:rPr>
          <w:rFonts w:ascii="Tahoma" w:hAnsi="Tahoma" w:cs="Tahoma"/>
          <w:sz w:val="20"/>
          <w:szCs w:val="20"/>
        </w:rPr>
        <w:t xml:space="preserve"> volume of sales, given the fact that the average sale price increased by only 3.7%. Its EBITDA amounted to €1,911 thousand compared to €3,478 thousand in 2021, whereas the profit before tax amounted to €1,405 thousand compared to €2,411 thousand during the previous fiscal year.</w:t>
      </w:r>
      <w:r w:rsidR="00FB0D96" w:rsidRPr="002332FE">
        <w:rPr>
          <w:rFonts w:ascii="Tahoma" w:hAnsi="Tahoma" w:cs="Tahoma"/>
          <w:sz w:val="20"/>
          <w:szCs w:val="20"/>
        </w:rPr>
        <w:t xml:space="preserve"> </w:t>
      </w:r>
      <w:r w:rsidR="00763CB6" w:rsidRPr="002332FE">
        <w:rPr>
          <w:rFonts w:ascii="Tahoma" w:hAnsi="Tahoma" w:cs="Tahoma"/>
          <w:sz w:val="20"/>
          <w:szCs w:val="20"/>
        </w:rPr>
        <w:t xml:space="preserve">As in the previous case, the decreased performance is </w:t>
      </w:r>
      <w:r w:rsidR="0098658C" w:rsidRPr="002332FE">
        <w:rPr>
          <w:rFonts w:ascii="Tahoma" w:hAnsi="Tahoma" w:cs="Tahoma"/>
          <w:sz w:val="20"/>
          <w:szCs w:val="20"/>
        </w:rPr>
        <w:t>attributable</w:t>
      </w:r>
      <w:r w:rsidR="00763CB6" w:rsidRPr="002332FE">
        <w:rPr>
          <w:rFonts w:ascii="Tahoma" w:hAnsi="Tahoma" w:cs="Tahoma"/>
          <w:sz w:val="20"/>
          <w:szCs w:val="20"/>
        </w:rPr>
        <w:t xml:space="preserve"> to the decrease of the profit margin by 31% compared to the previous fiscal year (from 14.3% to 8.6%), which led to a €1,437 thousand</w:t>
      </w:r>
      <w:r w:rsidR="00E47BF3" w:rsidRPr="002332FE">
        <w:rPr>
          <w:rFonts w:ascii="Tahoma" w:hAnsi="Tahoma" w:cs="Tahoma"/>
          <w:sz w:val="20"/>
          <w:szCs w:val="20"/>
        </w:rPr>
        <w:t xml:space="preserve"> decrease of the gross profit</w:t>
      </w:r>
      <w:r w:rsidR="00763CB6" w:rsidRPr="002332FE">
        <w:rPr>
          <w:rFonts w:ascii="Tahoma" w:hAnsi="Tahoma" w:cs="Tahoma"/>
          <w:sz w:val="20"/>
          <w:szCs w:val="20"/>
        </w:rPr>
        <w:t xml:space="preserve">. </w:t>
      </w:r>
    </w:p>
    <w:p w14:paraId="319B5B98" w14:textId="5E1B2696" w:rsidR="00E47BF3" w:rsidRPr="002332FE" w:rsidRDefault="00E47BF3" w:rsidP="00894697">
      <w:pPr>
        <w:jc w:val="both"/>
        <w:rPr>
          <w:rFonts w:ascii="Tahoma" w:hAnsi="Tahoma" w:cs="Tahoma"/>
          <w:sz w:val="20"/>
          <w:szCs w:val="20"/>
        </w:rPr>
      </w:pPr>
      <w:r w:rsidRPr="002332FE">
        <w:rPr>
          <w:rFonts w:ascii="Tahoma" w:hAnsi="Tahoma" w:cs="Tahoma"/>
          <w:sz w:val="20"/>
          <w:szCs w:val="20"/>
        </w:rPr>
        <w:t xml:space="preserve">Lastly, </w:t>
      </w:r>
      <w:r w:rsidR="00F73207" w:rsidRPr="002332FE">
        <w:rPr>
          <w:rFonts w:ascii="Tahoma" w:hAnsi="Tahoma" w:cs="Tahoma"/>
          <w:sz w:val="20"/>
          <w:szCs w:val="20"/>
        </w:rPr>
        <w:t>regarding</w:t>
      </w:r>
      <w:r w:rsidRPr="002332FE">
        <w:rPr>
          <w:rFonts w:ascii="Tahoma" w:hAnsi="Tahoma" w:cs="Tahoma"/>
          <w:sz w:val="20"/>
          <w:szCs w:val="20"/>
        </w:rPr>
        <w:t xml:space="preserve"> the Group’s financial position, it is noted that the Company’s equity amounted to €29.8 million, whereas the capital structure and debt service indicators</w:t>
      </w:r>
      <w:r w:rsidR="00B90C28" w:rsidRPr="002332FE">
        <w:rPr>
          <w:rFonts w:ascii="Tahoma" w:hAnsi="Tahoma" w:cs="Tahoma"/>
          <w:sz w:val="20"/>
          <w:szCs w:val="20"/>
        </w:rPr>
        <w:t>, as of 31</w:t>
      </w:r>
      <w:r w:rsidR="00427040">
        <w:rPr>
          <w:rFonts w:ascii="Tahoma" w:hAnsi="Tahoma" w:cs="Tahoma"/>
          <w:sz w:val="20"/>
          <w:szCs w:val="20"/>
        </w:rPr>
        <w:t>.</w:t>
      </w:r>
      <w:r w:rsidR="00B90C28" w:rsidRPr="002332FE">
        <w:rPr>
          <w:rFonts w:ascii="Tahoma" w:hAnsi="Tahoma" w:cs="Tahoma"/>
          <w:sz w:val="20"/>
          <w:szCs w:val="20"/>
        </w:rPr>
        <w:t>12</w:t>
      </w:r>
      <w:r w:rsidR="00427040">
        <w:rPr>
          <w:rFonts w:ascii="Tahoma" w:hAnsi="Tahoma" w:cs="Tahoma"/>
          <w:sz w:val="20"/>
          <w:szCs w:val="20"/>
        </w:rPr>
        <w:t>.</w:t>
      </w:r>
      <w:r w:rsidR="00B90C28" w:rsidRPr="002332FE">
        <w:rPr>
          <w:rFonts w:ascii="Tahoma" w:hAnsi="Tahoma" w:cs="Tahoma"/>
          <w:sz w:val="20"/>
          <w:szCs w:val="20"/>
        </w:rPr>
        <w:t>2022, w</w:t>
      </w:r>
      <w:r w:rsidRPr="002332FE">
        <w:rPr>
          <w:rFonts w:ascii="Tahoma" w:hAnsi="Tahoma" w:cs="Tahoma"/>
          <w:sz w:val="20"/>
          <w:szCs w:val="20"/>
        </w:rPr>
        <w:t>ere as follows:</w:t>
      </w:r>
    </w:p>
    <w:p w14:paraId="30159EFA" w14:textId="77777777" w:rsidR="00E47BF3" w:rsidRPr="002332FE" w:rsidRDefault="00B90C28" w:rsidP="00894697">
      <w:pPr>
        <w:jc w:val="both"/>
        <w:rPr>
          <w:rFonts w:ascii="Tahoma" w:hAnsi="Tahoma" w:cs="Tahoma"/>
          <w:sz w:val="20"/>
          <w:szCs w:val="20"/>
        </w:rPr>
      </w:pPr>
      <w:r w:rsidRPr="002332FE">
        <w:rPr>
          <w:rFonts w:ascii="Tahoma" w:hAnsi="Tahoma" w:cs="Tahoma"/>
          <w:sz w:val="20"/>
          <w:szCs w:val="20"/>
        </w:rPr>
        <w:t>•</w:t>
      </w:r>
      <w:r w:rsidR="00F30E73" w:rsidRPr="002332FE">
        <w:rPr>
          <w:rFonts w:ascii="Tahoma" w:hAnsi="Tahoma" w:cs="Tahoma"/>
          <w:sz w:val="20"/>
          <w:szCs w:val="20"/>
        </w:rPr>
        <w:t xml:space="preserve"> Net Debt to Equity Ratio = 2.2</w:t>
      </w:r>
    </w:p>
    <w:p w14:paraId="48809E9B" w14:textId="77777777" w:rsidR="00F30E73" w:rsidRPr="002332FE" w:rsidRDefault="00B90C28" w:rsidP="00894697">
      <w:pPr>
        <w:jc w:val="both"/>
        <w:rPr>
          <w:rFonts w:ascii="Tahoma" w:hAnsi="Tahoma" w:cs="Tahoma"/>
          <w:sz w:val="20"/>
          <w:szCs w:val="20"/>
        </w:rPr>
      </w:pPr>
      <w:r w:rsidRPr="002332FE">
        <w:rPr>
          <w:rFonts w:ascii="Tahoma" w:hAnsi="Tahoma" w:cs="Tahoma"/>
          <w:sz w:val="20"/>
          <w:szCs w:val="20"/>
        </w:rPr>
        <w:t>•</w:t>
      </w:r>
      <w:r w:rsidR="00F30E73" w:rsidRPr="002332FE">
        <w:rPr>
          <w:rFonts w:ascii="Tahoma" w:hAnsi="Tahoma" w:cs="Tahoma"/>
          <w:sz w:val="20"/>
          <w:szCs w:val="20"/>
        </w:rPr>
        <w:t xml:space="preserve"> Interest Coverage Ratio (EBITDA/Net Interest) = 4.0</w:t>
      </w:r>
    </w:p>
    <w:p w14:paraId="09518C95" w14:textId="16E2D879" w:rsidR="00F30E73" w:rsidRDefault="00F30E73" w:rsidP="00894697">
      <w:pPr>
        <w:jc w:val="both"/>
        <w:rPr>
          <w:rFonts w:ascii="Tahoma" w:hAnsi="Tahoma" w:cs="Tahoma"/>
          <w:sz w:val="20"/>
          <w:szCs w:val="20"/>
        </w:rPr>
      </w:pPr>
      <w:r w:rsidRPr="002332FE">
        <w:rPr>
          <w:rFonts w:ascii="Tahoma" w:hAnsi="Tahoma" w:cs="Tahoma"/>
          <w:sz w:val="20"/>
          <w:szCs w:val="20"/>
        </w:rPr>
        <w:t>At the end of 2022, the Group’s liq</w:t>
      </w:r>
      <w:r w:rsidR="00911C8D" w:rsidRPr="002332FE">
        <w:rPr>
          <w:rFonts w:ascii="Tahoma" w:hAnsi="Tahoma" w:cs="Tahoma"/>
          <w:sz w:val="20"/>
          <w:szCs w:val="20"/>
        </w:rPr>
        <w:t xml:space="preserve">uidity amounted to €8.5 million, whereas its loan liabilities were reduced by 4% or €3.3 million. </w:t>
      </w:r>
    </w:p>
    <w:p w14:paraId="1797651D" w14:textId="2DE296C0" w:rsidR="00F16F71" w:rsidRDefault="009461C7" w:rsidP="00894697">
      <w:pPr>
        <w:jc w:val="both"/>
        <w:rPr>
          <w:rFonts w:ascii="Tahoma" w:hAnsi="Tahoma" w:cs="Tahoma"/>
          <w:sz w:val="20"/>
          <w:szCs w:val="20"/>
        </w:rPr>
      </w:pPr>
      <w:r w:rsidRPr="009461C7">
        <w:drawing>
          <wp:inline distT="0" distB="0" distL="0" distR="0" wp14:anchorId="060FB702" wp14:editId="368F2DF3">
            <wp:extent cx="5512435" cy="1501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2435" cy="1501140"/>
                    </a:xfrm>
                    <a:prstGeom prst="rect">
                      <a:avLst/>
                    </a:prstGeom>
                    <a:noFill/>
                    <a:ln>
                      <a:noFill/>
                    </a:ln>
                  </pic:spPr>
                </pic:pic>
              </a:graphicData>
            </a:graphic>
          </wp:inline>
        </w:drawing>
      </w:r>
    </w:p>
    <w:p w14:paraId="3EEC07EC" w14:textId="4EE313D6" w:rsidR="00F16F71" w:rsidRPr="002332FE" w:rsidRDefault="009461C7" w:rsidP="00894697">
      <w:pPr>
        <w:jc w:val="both"/>
        <w:rPr>
          <w:rFonts w:ascii="Tahoma" w:hAnsi="Tahoma" w:cs="Tahoma"/>
          <w:sz w:val="20"/>
          <w:szCs w:val="20"/>
        </w:rPr>
      </w:pPr>
      <w:r w:rsidRPr="009461C7">
        <w:drawing>
          <wp:inline distT="0" distB="0" distL="0" distR="0" wp14:anchorId="7FE0D7DB" wp14:editId="2B0B3205">
            <wp:extent cx="5512435" cy="1501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2435" cy="1501140"/>
                    </a:xfrm>
                    <a:prstGeom prst="rect">
                      <a:avLst/>
                    </a:prstGeom>
                    <a:noFill/>
                    <a:ln>
                      <a:noFill/>
                    </a:ln>
                  </pic:spPr>
                </pic:pic>
              </a:graphicData>
            </a:graphic>
          </wp:inline>
        </w:drawing>
      </w:r>
    </w:p>
    <w:p w14:paraId="188AF5AA" w14:textId="77777777" w:rsidR="00911C8D" w:rsidRPr="008D626C" w:rsidRDefault="00911C8D" w:rsidP="00894697">
      <w:pPr>
        <w:jc w:val="both"/>
        <w:rPr>
          <w:rFonts w:ascii="Tahoma" w:hAnsi="Tahoma" w:cs="Tahoma"/>
          <w:b/>
          <w:bCs/>
          <w:sz w:val="20"/>
          <w:szCs w:val="20"/>
        </w:rPr>
      </w:pPr>
      <w:r w:rsidRPr="008D626C">
        <w:rPr>
          <w:rFonts w:ascii="Tahoma" w:hAnsi="Tahoma" w:cs="Tahoma"/>
          <w:b/>
          <w:bCs/>
          <w:sz w:val="20"/>
          <w:szCs w:val="20"/>
        </w:rPr>
        <w:t>2023 Outlook</w:t>
      </w:r>
    </w:p>
    <w:p w14:paraId="25FF43D1" w14:textId="17ABAE89" w:rsidR="00911C8D" w:rsidRPr="002332FE" w:rsidRDefault="008D626C" w:rsidP="00894697">
      <w:pPr>
        <w:jc w:val="both"/>
        <w:rPr>
          <w:rFonts w:ascii="Tahoma" w:hAnsi="Tahoma" w:cs="Tahoma"/>
          <w:sz w:val="20"/>
          <w:szCs w:val="20"/>
        </w:rPr>
      </w:pPr>
      <w:r w:rsidRPr="002332FE">
        <w:rPr>
          <w:rFonts w:ascii="Tahoma" w:hAnsi="Tahoma" w:cs="Tahoma"/>
          <w:sz w:val="20"/>
          <w:szCs w:val="20"/>
        </w:rPr>
        <w:t>Even though</w:t>
      </w:r>
      <w:r w:rsidR="00911C8D" w:rsidRPr="002332FE">
        <w:rPr>
          <w:rFonts w:ascii="Tahoma" w:hAnsi="Tahoma" w:cs="Tahoma"/>
          <w:sz w:val="20"/>
          <w:szCs w:val="20"/>
        </w:rPr>
        <w:t xml:space="preserve"> the international financial environment remains particularly volatile and full of uncertainties, the Greek economy will continue to grow in 2023, even if at slower rates</w:t>
      </w:r>
      <w:r w:rsidR="00212492" w:rsidRPr="002332FE">
        <w:rPr>
          <w:rFonts w:ascii="Tahoma" w:hAnsi="Tahoma" w:cs="Tahoma"/>
          <w:sz w:val="20"/>
          <w:szCs w:val="20"/>
        </w:rPr>
        <w:t>.</w:t>
      </w:r>
    </w:p>
    <w:p w14:paraId="4CD96039" w14:textId="77777777" w:rsidR="00CF0446" w:rsidRPr="002332FE" w:rsidRDefault="00212492" w:rsidP="00894697">
      <w:pPr>
        <w:jc w:val="both"/>
        <w:rPr>
          <w:rFonts w:ascii="Tahoma" w:hAnsi="Tahoma" w:cs="Tahoma"/>
          <w:sz w:val="20"/>
          <w:szCs w:val="20"/>
        </w:rPr>
      </w:pPr>
      <w:r w:rsidRPr="002332FE">
        <w:rPr>
          <w:rFonts w:ascii="Tahoma" w:hAnsi="Tahoma" w:cs="Tahoma"/>
          <w:sz w:val="20"/>
          <w:szCs w:val="20"/>
        </w:rPr>
        <w:t>Tourism figures give rise to realistic expectation</w:t>
      </w:r>
      <w:r w:rsidR="00CF0446" w:rsidRPr="002332FE">
        <w:rPr>
          <w:rFonts w:ascii="Tahoma" w:hAnsi="Tahoma" w:cs="Tahoma"/>
          <w:sz w:val="20"/>
          <w:szCs w:val="20"/>
        </w:rPr>
        <w:t>s</w:t>
      </w:r>
      <w:r w:rsidRPr="002332FE">
        <w:rPr>
          <w:rFonts w:ascii="Tahoma" w:hAnsi="Tahoma" w:cs="Tahoma"/>
          <w:sz w:val="20"/>
          <w:szCs w:val="20"/>
        </w:rPr>
        <w:t xml:space="preserve"> for new arrival and revenue records</w:t>
      </w:r>
      <w:r w:rsidR="00D75C5E" w:rsidRPr="002332FE">
        <w:rPr>
          <w:rFonts w:ascii="Tahoma" w:hAnsi="Tahoma" w:cs="Tahoma"/>
          <w:sz w:val="20"/>
          <w:szCs w:val="20"/>
        </w:rPr>
        <w:t xml:space="preserve">, consumption remains strong, despite the decline in real income due to inflation, and the construction sector maintains </w:t>
      </w:r>
      <w:r w:rsidR="00CF0446" w:rsidRPr="002332FE">
        <w:rPr>
          <w:rFonts w:ascii="Tahoma" w:hAnsi="Tahoma" w:cs="Tahoma"/>
          <w:sz w:val="20"/>
          <w:szCs w:val="20"/>
        </w:rPr>
        <w:t xml:space="preserve">the momentum of the previous two years unabated. </w:t>
      </w:r>
    </w:p>
    <w:p w14:paraId="4A4D467E" w14:textId="24BFC773" w:rsidR="00CF0446" w:rsidRPr="002332FE" w:rsidRDefault="00CF0446" w:rsidP="00894697">
      <w:pPr>
        <w:jc w:val="both"/>
        <w:rPr>
          <w:rFonts w:ascii="Tahoma" w:hAnsi="Tahoma" w:cs="Tahoma"/>
          <w:sz w:val="20"/>
          <w:szCs w:val="20"/>
        </w:rPr>
      </w:pPr>
      <w:r w:rsidRPr="002332FE">
        <w:rPr>
          <w:rFonts w:ascii="Tahoma" w:hAnsi="Tahoma" w:cs="Tahoma"/>
          <w:sz w:val="20"/>
          <w:szCs w:val="20"/>
        </w:rPr>
        <w:t xml:space="preserve">However, </w:t>
      </w:r>
      <w:r w:rsidR="008D626C" w:rsidRPr="002332FE">
        <w:rPr>
          <w:rFonts w:ascii="Tahoma" w:hAnsi="Tahoma" w:cs="Tahoma"/>
          <w:sz w:val="20"/>
          <w:szCs w:val="20"/>
        </w:rPr>
        <w:t>soon</w:t>
      </w:r>
      <w:r w:rsidR="003C1338" w:rsidRPr="002332FE">
        <w:rPr>
          <w:rFonts w:ascii="Tahoma" w:hAnsi="Tahoma" w:cs="Tahoma"/>
          <w:sz w:val="20"/>
          <w:szCs w:val="20"/>
        </w:rPr>
        <w:t xml:space="preserve"> it is expected that investments and exports, with the financial support of the Recovery and Resilience Facility and the </w:t>
      </w:r>
      <w:r w:rsidR="00E358B7" w:rsidRPr="002332FE">
        <w:rPr>
          <w:rFonts w:ascii="Tahoma" w:hAnsi="Tahoma" w:cs="Tahoma"/>
          <w:sz w:val="20"/>
          <w:szCs w:val="20"/>
        </w:rPr>
        <w:t xml:space="preserve">Partnership Agreement for the Development Framework (ESPA) will be the driving force behind the growth rates of economic activity. </w:t>
      </w:r>
    </w:p>
    <w:p w14:paraId="11963D2C" w14:textId="6487848C" w:rsidR="00CF0446" w:rsidRPr="002332FE" w:rsidRDefault="008D626C" w:rsidP="00894697">
      <w:pPr>
        <w:jc w:val="both"/>
        <w:rPr>
          <w:rFonts w:ascii="Tahoma" w:hAnsi="Tahoma" w:cs="Tahoma"/>
          <w:sz w:val="20"/>
          <w:szCs w:val="20"/>
        </w:rPr>
      </w:pPr>
      <w:r w:rsidRPr="002332FE">
        <w:rPr>
          <w:rFonts w:ascii="Tahoma" w:hAnsi="Tahoma" w:cs="Tahoma"/>
          <w:sz w:val="20"/>
          <w:szCs w:val="20"/>
        </w:rPr>
        <w:t>Furthermore, the</w:t>
      </w:r>
      <w:r w:rsidR="00CF0446" w:rsidRPr="002332FE">
        <w:rPr>
          <w:rFonts w:ascii="Tahoma" w:hAnsi="Tahoma" w:cs="Tahoma"/>
          <w:sz w:val="20"/>
          <w:szCs w:val="20"/>
        </w:rPr>
        <w:t xml:space="preserve"> </w:t>
      </w:r>
      <w:r w:rsidR="00E358B7" w:rsidRPr="002332FE">
        <w:rPr>
          <w:rFonts w:ascii="Tahoma" w:hAnsi="Tahoma" w:cs="Tahoma"/>
          <w:sz w:val="20"/>
          <w:szCs w:val="20"/>
        </w:rPr>
        <w:t>expected</w:t>
      </w:r>
      <w:r w:rsidR="00494415" w:rsidRPr="002332FE">
        <w:rPr>
          <w:rFonts w:ascii="Tahoma" w:hAnsi="Tahoma" w:cs="Tahoma"/>
          <w:sz w:val="20"/>
          <w:szCs w:val="20"/>
        </w:rPr>
        <w:t xml:space="preserve">, within the </w:t>
      </w:r>
      <w:r w:rsidRPr="002332FE">
        <w:rPr>
          <w:rFonts w:ascii="Tahoma" w:hAnsi="Tahoma" w:cs="Tahoma"/>
          <w:sz w:val="20"/>
          <w:szCs w:val="20"/>
        </w:rPr>
        <w:t>year, upgrade</w:t>
      </w:r>
      <w:r w:rsidR="00E358B7" w:rsidRPr="002332FE">
        <w:rPr>
          <w:rFonts w:ascii="Tahoma" w:hAnsi="Tahoma" w:cs="Tahoma"/>
          <w:sz w:val="20"/>
          <w:szCs w:val="20"/>
        </w:rPr>
        <w:t xml:space="preserve"> of the </w:t>
      </w:r>
      <w:r w:rsidR="00CF0446" w:rsidRPr="002332FE">
        <w:rPr>
          <w:rFonts w:ascii="Tahoma" w:hAnsi="Tahoma" w:cs="Tahoma"/>
          <w:sz w:val="20"/>
          <w:szCs w:val="20"/>
        </w:rPr>
        <w:t xml:space="preserve">country's credit rating to </w:t>
      </w:r>
      <w:r w:rsidR="00494415" w:rsidRPr="002332FE">
        <w:rPr>
          <w:rFonts w:ascii="Tahoma" w:hAnsi="Tahoma" w:cs="Tahoma"/>
          <w:sz w:val="20"/>
          <w:szCs w:val="20"/>
        </w:rPr>
        <w:t>“</w:t>
      </w:r>
      <w:r w:rsidR="00CF0446" w:rsidRPr="002332FE">
        <w:rPr>
          <w:rFonts w:ascii="Tahoma" w:hAnsi="Tahoma" w:cs="Tahoma"/>
          <w:sz w:val="20"/>
          <w:szCs w:val="20"/>
        </w:rPr>
        <w:t>investment grade</w:t>
      </w:r>
      <w:r w:rsidR="00494415" w:rsidRPr="002332FE">
        <w:rPr>
          <w:rFonts w:ascii="Tahoma" w:hAnsi="Tahoma" w:cs="Tahoma"/>
          <w:sz w:val="20"/>
          <w:szCs w:val="20"/>
        </w:rPr>
        <w:t>”, for the first time since the financial crisis, is also expected to play an important role that could lead to a significant increase in foreign investment inflows.</w:t>
      </w:r>
    </w:p>
    <w:p w14:paraId="0C61179C" w14:textId="67C14EA2" w:rsidR="00D63091" w:rsidRPr="002332FE" w:rsidRDefault="00494415" w:rsidP="009461C7">
      <w:pPr>
        <w:jc w:val="both"/>
        <w:rPr>
          <w:rFonts w:ascii="Tahoma" w:hAnsi="Tahoma" w:cs="Tahoma"/>
          <w:sz w:val="20"/>
          <w:szCs w:val="20"/>
        </w:rPr>
      </w:pPr>
      <w:r w:rsidRPr="002332FE">
        <w:rPr>
          <w:rFonts w:ascii="Tahoma" w:hAnsi="Tahoma" w:cs="Tahoma"/>
          <w:sz w:val="20"/>
          <w:szCs w:val="20"/>
        </w:rPr>
        <w:t xml:space="preserve">In view of the foregoing, and </w:t>
      </w:r>
      <w:proofErr w:type="gramStart"/>
      <w:r w:rsidRPr="002332FE">
        <w:rPr>
          <w:rFonts w:ascii="Tahoma" w:hAnsi="Tahoma" w:cs="Tahoma"/>
          <w:sz w:val="20"/>
          <w:szCs w:val="20"/>
        </w:rPr>
        <w:t>assuming that</w:t>
      </w:r>
      <w:proofErr w:type="gramEnd"/>
      <w:r w:rsidRPr="002332FE">
        <w:rPr>
          <w:rFonts w:ascii="Tahoma" w:hAnsi="Tahoma" w:cs="Tahoma"/>
          <w:sz w:val="20"/>
          <w:szCs w:val="20"/>
        </w:rPr>
        <w:t xml:space="preserve"> no unforeseen disruptive events </w:t>
      </w:r>
      <w:r w:rsidR="008D626C" w:rsidRPr="002332FE">
        <w:rPr>
          <w:rFonts w:ascii="Tahoma" w:hAnsi="Tahoma" w:cs="Tahoma"/>
          <w:sz w:val="20"/>
          <w:szCs w:val="20"/>
        </w:rPr>
        <w:t>occur,</w:t>
      </w:r>
      <w:r w:rsidRPr="002332FE">
        <w:rPr>
          <w:rFonts w:ascii="Tahoma" w:hAnsi="Tahoma" w:cs="Tahoma"/>
          <w:sz w:val="20"/>
          <w:szCs w:val="20"/>
        </w:rPr>
        <w:t xml:space="preserve"> and the </w:t>
      </w:r>
      <w:r w:rsidR="00D63091" w:rsidRPr="002332FE">
        <w:rPr>
          <w:rFonts w:ascii="Tahoma" w:hAnsi="Tahoma" w:cs="Tahoma"/>
          <w:sz w:val="20"/>
          <w:szCs w:val="20"/>
        </w:rPr>
        <w:t xml:space="preserve">rate hike cycle ends soon, SIDMA METAL is expected to continue its growth in 2023. </w:t>
      </w:r>
    </w:p>
    <w:p w14:paraId="416A2885" w14:textId="4BC74ED9" w:rsidR="0097731D" w:rsidRPr="002332FE" w:rsidRDefault="00D63091" w:rsidP="00894697">
      <w:pPr>
        <w:jc w:val="both"/>
        <w:rPr>
          <w:rFonts w:ascii="Tahoma" w:hAnsi="Tahoma" w:cs="Tahoma"/>
          <w:sz w:val="20"/>
          <w:szCs w:val="20"/>
          <w:vertAlign w:val="superscript"/>
        </w:rPr>
      </w:pPr>
      <w:r w:rsidRPr="002332FE">
        <w:rPr>
          <w:rFonts w:ascii="Tahoma" w:hAnsi="Tahoma" w:cs="Tahoma"/>
          <w:sz w:val="20"/>
          <w:szCs w:val="20"/>
        </w:rPr>
        <w:lastRenderedPageBreak/>
        <w:t>In any case, the Management closely follows developments</w:t>
      </w:r>
      <w:r w:rsidR="00212492" w:rsidRPr="002332FE">
        <w:rPr>
          <w:rFonts w:ascii="Tahoma" w:hAnsi="Tahoma" w:cs="Tahoma"/>
          <w:sz w:val="20"/>
          <w:szCs w:val="20"/>
        </w:rPr>
        <w:t xml:space="preserve"> </w:t>
      </w:r>
      <w:r w:rsidRPr="002332FE">
        <w:rPr>
          <w:rFonts w:ascii="Tahoma" w:hAnsi="Tahoma" w:cs="Tahoma"/>
          <w:sz w:val="20"/>
          <w:szCs w:val="20"/>
        </w:rPr>
        <w:t xml:space="preserve">and is ready to address any </w:t>
      </w:r>
      <w:r w:rsidR="00FA54F5" w:rsidRPr="002332FE">
        <w:rPr>
          <w:rFonts w:ascii="Tahoma" w:hAnsi="Tahoma" w:cs="Tahoma"/>
          <w:sz w:val="20"/>
          <w:szCs w:val="20"/>
        </w:rPr>
        <w:t>unforeseen event,</w:t>
      </w:r>
      <w:r w:rsidRPr="002332FE">
        <w:rPr>
          <w:rFonts w:ascii="Tahoma" w:hAnsi="Tahoma" w:cs="Tahoma"/>
          <w:sz w:val="20"/>
          <w:szCs w:val="20"/>
        </w:rPr>
        <w:t xml:space="preserve"> in the national or international environment</w:t>
      </w:r>
      <w:r w:rsidR="00FA54F5" w:rsidRPr="002332FE">
        <w:rPr>
          <w:rFonts w:ascii="Tahoma" w:hAnsi="Tahoma" w:cs="Tahoma"/>
          <w:sz w:val="20"/>
          <w:szCs w:val="20"/>
        </w:rPr>
        <w:t>,</w:t>
      </w:r>
      <w:r w:rsidRPr="002332FE">
        <w:rPr>
          <w:rFonts w:ascii="Tahoma" w:hAnsi="Tahoma" w:cs="Tahoma"/>
          <w:sz w:val="20"/>
          <w:szCs w:val="20"/>
        </w:rPr>
        <w:t xml:space="preserve"> </w:t>
      </w:r>
      <w:r w:rsidR="00FA54F5" w:rsidRPr="002332FE">
        <w:rPr>
          <w:rFonts w:ascii="Tahoma" w:hAnsi="Tahoma" w:cs="Tahoma"/>
          <w:sz w:val="20"/>
          <w:szCs w:val="20"/>
        </w:rPr>
        <w:t xml:space="preserve">that could potentially affect the Company’s activities. </w:t>
      </w:r>
    </w:p>
    <w:p w14:paraId="6910EEBE" w14:textId="3828C9F4" w:rsidR="0046226A" w:rsidRPr="002332FE" w:rsidRDefault="0046226A" w:rsidP="009461C7">
      <w:pPr>
        <w:pBdr>
          <w:top w:val="single" w:sz="4" w:space="1" w:color="auto"/>
        </w:pBdr>
        <w:jc w:val="both"/>
        <w:rPr>
          <w:rFonts w:ascii="Tahoma" w:hAnsi="Tahoma" w:cs="Tahoma"/>
          <w:sz w:val="20"/>
          <w:szCs w:val="20"/>
        </w:rPr>
      </w:pPr>
      <w:bookmarkStart w:id="1" w:name="_Hlk132881458"/>
      <w:r w:rsidRPr="002332FE">
        <w:rPr>
          <w:rFonts w:ascii="Tahoma" w:hAnsi="Tahoma" w:cs="Tahoma"/>
          <w:sz w:val="20"/>
          <w:szCs w:val="20"/>
          <w:vertAlign w:val="superscript"/>
        </w:rPr>
        <w:t>1</w:t>
      </w:r>
      <w:r w:rsidRPr="002332FE">
        <w:rPr>
          <w:rFonts w:ascii="Tahoma" w:hAnsi="Tahoma" w:cs="Tahoma"/>
          <w:sz w:val="20"/>
          <w:szCs w:val="20"/>
        </w:rPr>
        <w:t xml:space="preserve"> GREEK ECONOMY, ISSUE 4/22 Foundation for Economic &amp; Industrial Research (IOBE)</w:t>
      </w:r>
      <w:bookmarkEnd w:id="1"/>
    </w:p>
    <w:sectPr w:rsidR="0046226A" w:rsidRPr="002332FE" w:rsidSect="009461C7">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6373C"/>
    <w:multiLevelType w:val="hybridMultilevel"/>
    <w:tmpl w:val="5D82A0F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2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1A"/>
    <w:rsid w:val="000569A2"/>
    <w:rsid w:val="000D442F"/>
    <w:rsid w:val="000E740D"/>
    <w:rsid w:val="00136401"/>
    <w:rsid w:val="00212492"/>
    <w:rsid w:val="002332FE"/>
    <w:rsid w:val="003C1338"/>
    <w:rsid w:val="00427040"/>
    <w:rsid w:val="0046226A"/>
    <w:rsid w:val="00494415"/>
    <w:rsid w:val="004D401A"/>
    <w:rsid w:val="00573429"/>
    <w:rsid w:val="005F6B3E"/>
    <w:rsid w:val="006E67F6"/>
    <w:rsid w:val="006F3708"/>
    <w:rsid w:val="00763CB6"/>
    <w:rsid w:val="007B45DE"/>
    <w:rsid w:val="008406EC"/>
    <w:rsid w:val="00894697"/>
    <w:rsid w:val="008D626C"/>
    <w:rsid w:val="008E4905"/>
    <w:rsid w:val="00911C8D"/>
    <w:rsid w:val="009461C7"/>
    <w:rsid w:val="00965BD5"/>
    <w:rsid w:val="0097731D"/>
    <w:rsid w:val="0098658C"/>
    <w:rsid w:val="00AA0030"/>
    <w:rsid w:val="00AB7FD5"/>
    <w:rsid w:val="00B339F3"/>
    <w:rsid w:val="00B90C28"/>
    <w:rsid w:val="00BB5AED"/>
    <w:rsid w:val="00C86EC6"/>
    <w:rsid w:val="00CB3355"/>
    <w:rsid w:val="00CF0446"/>
    <w:rsid w:val="00D63091"/>
    <w:rsid w:val="00D75C5E"/>
    <w:rsid w:val="00DD058E"/>
    <w:rsid w:val="00E0710F"/>
    <w:rsid w:val="00E13358"/>
    <w:rsid w:val="00E358B7"/>
    <w:rsid w:val="00E47BF3"/>
    <w:rsid w:val="00E7057F"/>
    <w:rsid w:val="00E7282C"/>
    <w:rsid w:val="00EC5F6A"/>
    <w:rsid w:val="00F0521E"/>
    <w:rsid w:val="00F16F71"/>
    <w:rsid w:val="00F30E73"/>
    <w:rsid w:val="00F73207"/>
    <w:rsid w:val="00FA54F5"/>
    <w:rsid w:val="00FB0D96"/>
    <w:rsid w:val="00FE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57C2"/>
  <w15:docId w15:val="{96058DCE-C08A-4D08-9559-C611A6F6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Κουκίδες"/>
    <w:basedOn w:val="Normal"/>
    <w:link w:val="ListParagraphChar"/>
    <w:uiPriority w:val="34"/>
    <w:qFormat/>
    <w:rsid w:val="006F3708"/>
    <w:pPr>
      <w:spacing w:after="0" w:line="240" w:lineRule="auto"/>
      <w:ind w:left="720"/>
      <w:contextualSpacing/>
    </w:pPr>
    <w:rPr>
      <w:rFonts w:ascii="Times New Roman" w:eastAsia="Times New Roman" w:hAnsi="Times New Roman" w:cs="Times New Roman"/>
      <w:sz w:val="24"/>
      <w:szCs w:val="24"/>
      <w:lang w:val="el-GR" w:eastAsia="el-GR"/>
    </w:rPr>
  </w:style>
  <w:style w:type="character" w:customStyle="1" w:styleId="ListParagraphChar">
    <w:name w:val="List Paragraph Char"/>
    <w:aliases w:val="Κουκίδες Char"/>
    <w:link w:val="ListParagraph"/>
    <w:uiPriority w:val="34"/>
    <w:locked/>
    <w:rsid w:val="006F3708"/>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dc:description/>
  <cp:lastModifiedBy>Samonas, Michalis (Σαμωνάς Μιχάλης)</cp:lastModifiedBy>
  <cp:revision>2</cp:revision>
  <cp:lastPrinted>2023-04-20T08:05:00Z</cp:lastPrinted>
  <dcterms:created xsi:type="dcterms:W3CDTF">2023-04-20T09:18:00Z</dcterms:created>
  <dcterms:modified xsi:type="dcterms:W3CDTF">2023-04-20T09:18:00Z</dcterms:modified>
</cp:coreProperties>
</file>