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5B" w:rsidRDefault="0034765B" w:rsidP="0034765B">
      <w:pPr>
        <w:pStyle w:val="Default"/>
        <w:jc w:val="center"/>
        <w:rPr>
          <w:b/>
          <w:bCs/>
          <w:lang w:val="en-US"/>
        </w:rPr>
      </w:pPr>
      <w:r>
        <w:rPr>
          <w:b/>
          <w:bCs/>
          <w:noProof/>
          <w:sz w:val="22"/>
          <w:szCs w:val="22"/>
          <w:lang w:eastAsia="el-GR"/>
        </w:rPr>
        <w:drawing>
          <wp:inline distT="0" distB="0" distL="0" distR="0">
            <wp:extent cx="993945" cy="762894"/>
            <wp:effectExtent l="0" t="0" r="0" b="0"/>
            <wp:docPr id="179" name="Εικόνα 70" descr="Κίτρινη Ελληνική Πεταλού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0" descr="Κίτρινη Ελληνική Πεταλούδα"/>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2903" cy="777445"/>
                    </a:xfrm>
                    <a:prstGeom prst="rect">
                      <a:avLst/>
                    </a:prstGeom>
                    <a:noFill/>
                  </pic:spPr>
                </pic:pic>
              </a:graphicData>
            </a:graphic>
          </wp:inline>
        </w:drawing>
      </w:r>
    </w:p>
    <w:p w:rsidR="00E31135" w:rsidRPr="00E31135" w:rsidRDefault="00E31135" w:rsidP="0034765B">
      <w:pPr>
        <w:pStyle w:val="Default"/>
        <w:jc w:val="center"/>
        <w:rPr>
          <w:b/>
          <w:bCs/>
          <w:lang w:val="en-US"/>
        </w:rPr>
      </w:pPr>
    </w:p>
    <w:p w:rsidR="0034765B" w:rsidRPr="0034765B" w:rsidRDefault="0034765B" w:rsidP="0034765B">
      <w:pPr>
        <w:shd w:val="clear" w:color="auto" w:fill="FFFFFF"/>
        <w:tabs>
          <w:tab w:val="left" w:leader="dot" w:pos="4387"/>
        </w:tabs>
        <w:spacing w:line="240" w:lineRule="auto"/>
        <w:jc w:val="both"/>
        <w:rPr>
          <w:rFonts w:ascii="Tahoma" w:hAnsi="Tahoma" w:cs="Tahoma"/>
          <w:b/>
          <w:bCs/>
        </w:rPr>
      </w:pPr>
      <w:r w:rsidRPr="0034765B">
        <w:rPr>
          <w:rFonts w:ascii="Tahoma" w:hAnsi="Tahoma" w:cs="Tahoma"/>
          <w:b/>
          <w:bCs/>
        </w:rPr>
        <w:t>ΕΛ. Δ. ΜΟΥΖΑΚΗΣ ΑΝΩΝΥΜΗ ΕΤΑΙΡΕΙΑ ΒΙΟΜΗΧΑΝΙΑΣ ΕΜΠΟΡΙΟΥ ΜΕΛΕΤΩΝ ΚΑΙ ΕΠΕΝΔΥΣΕΩΝ</w:t>
      </w:r>
      <w:r>
        <w:rPr>
          <w:rFonts w:ascii="Tahoma" w:hAnsi="Tahoma" w:cs="Tahoma"/>
          <w:b/>
          <w:bCs/>
        </w:rPr>
        <w:t xml:space="preserve"> ΟΜΙΛΟΣ ΕΠΙΧΕΙΡΗΣΕΩΝ</w:t>
      </w:r>
    </w:p>
    <w:p w:rsidR="0034765B" w:rsidRPr="0034765B" w:rsidRDefault="0034765B" w:rsidP="0034765B">
      <w:pPr>
        <w:pStyle w:val="Default"/>
        <w:jc w:val="center"/>
      </w:pPr>
    </w:p>
    <w:p w:rsidR="0034765B" w:rsidRPr="00184E99" w:rsidRDefault="0034765B" w:rsidP="0034765B">
      <w:pPr>
        <w:pStyle w:val="Default"/>
        <w:jc w:val="center"/>
        <w:rPr>
          <w:sz w:val="21"/>
          <w:szCs w:val="21"/>
        </w:rPr>
      </w:pPr>
      <w:r w:rsidRPr="00E31135">
        <w:rPr>
          <w:b/>
          <w:bCs/>
          <w:sz w:val="21"/>
          <w:szCs w:val="21"/>
        </w:rPr>
        <w:t xml:space="preserve">Δελτίο Τύπου </w:t>
      </w:r>
      <w:r w:rsidR="00184E99" w:rsidRPr="00B35EB5">
        <w:rPr>
          <w:b/>
          <w:bCs/>
          <w:sz w:val="21"/>
          <w:szCs w:val="21"/>
        </w:rPr>
        <w:t>0</w:t>
      </w:r>
      <w:r w:rsidR="00467485">
        <w:rPr>
          <w:b/>
          <w:bCs/>
          <w:sz w:val="21"/>
          <w:szCs w:val="21"/>
          <w:lang w:val="en-US"/>
        </w:rPr>
        <w:t>7</w:t>
      </w:r>
      <w:r w:rsidRPr="00E31135">
        <w:rPr>
          <w:b/>
          <w:bCs/>
          <w:sz w:val="21"/>
          <w:szCs w:val="21"/>
        </w:rPr>
        <w:t>/1</w:t>
      </w:r>
      <w:r w:rsidR="00184E99" w:rsidRPr="00B35EB5">
        <w:rPr>
          <w:b/>
          <w:bCs/>
          <w:sz w:val="21"/>
          <w:szCs w:val="21"/>
        </w:rPr>
        <w:t>2</w:t>
      </w:r>
      <w:r w:rsidRPr="00E31135">
        <w:rPr>
          <w:b/>
          <w:bCs/>
          <w:sz w:val="21"/>
          <w:szCs w:val="21"/>
        </w:rPr>
        <w:t>/202</w:t>
      </w:r>
      <w:r w:rsidR="00184E99" w:rsidRPr="00184E99">
        <w:rPr>
          <w:b/>
          <w:bCs/>
          <w:sz w:val="21"/>
          <w:szCs w:val="21"/>
        </w:rPr>
        <w:t>2</w:t>
      </w:r>
    </w:p>
    <w:p w:rsidR="0034765B" w:rsidRPr="00184E99" w:rsidRDefault="0034765B" w:rsidP="0034765B">
      <w:pPr>
        <w:pStyle w:val="Default"/>
        <w:jc w:val="center"/>
        <w:rPr>
          <w:b/>
          <w:bCs/>
          <w:sz w:val="21"/>
          <w:szCs w:val="21"/>
        </w:rPr>
      </w:pPr>
      <w:r>
        <w:rPr>
          <w:b/>
          <w:bCs/>
          <w:sz w:val="21"/>
          <w:szCs w:val="21"/>
        </w:rPr>
        <w:t xml:space="preserve">Επιδόσεις </w:t>
      </w:r>
      <w:r w:rsidR="00CE6040">
        <w:rPr>
          <w:b/>
          <w:bCs/>
          <w:sz w:val="21"/>
          <w:szCs w:val="21"/>
        </w:rPr>
        <w:t>και Αποτελέσματα εννεάμηνου 202</w:t>
      </w:r>
      <w:r w:rsidR="00184E99" w:rsidRPr="00184E99">
        <w:rPr>
          <w:b/>
          <w:bCs/>
          <w:sz w:val="21"/>
          <w:szCs w:val="21"/>
        </w:rPr>
        <w:t>2</w:t>
      </w:r>
    </w:p>
    <w:p w:rsidR="0034765B" w:rsidRDefault="0034765B" w:rsidP="0034765B">
      <w:pPr>
        <w:pStyle w:val="Default"/>
        <w:jc w:val="center"/>
      </w:pPr>
    </w:p>
    <w:p w:rsidR="0034765B" w:rsidRPr="005367B9" w:rsidRDefault="0034765B" w:rsidP="0034765B">
      <w:pPr>
        <w:pStyle w:val="Default"/>
        <w:jc w:val="both"/>
        <w:rPr>
          <w:sz w:val="20"/>
          <w:szCs w:val="20"/>
        </w:rPr>
      </w:pPr>
      <w:r>
        <w:rPr>
          <w:sz w:val="20"/>
          <w:szCs w:val="20"/>
        </w:rPr>
        <w:t xml:space="preserve">Σε συνέχεια της με αριθμό πρωτοκόλλου </w:t>
      </w:r>
      <w:r w:rsidR="00B35EB5" w:rsidRPr="00B35EB5">
        <w:rPr>
          <w:sz w:val="20"/>
          <w:szCs w:val="20"/>
        </w:rPr>
        <w:t>2707</w:t>
      </w:r>
      <w:r w:rsidRPr="00B35EB5">
        <w:rPr>
          <w:sz w:val="20"/>
          <w:szCs w:val="20"/>
        </w:rPr>
        <w:t>/</w:t>
      </w:r>
      <w:r w:rsidR="00FC2EA0" w:rsidRPr="00B35EB5">
        <w:rPr>
          <w:sz w:val="20"/>
          <w:szCs w:val="20"/>
        </w:rPr>
        <w:t>09</w:t>
      </w:r>
      <w:r w:rsidRPr="00B35EB5">
        <w:rPr>
          <w:sz w:val="20"/>
          <w:szCs w:val="20"/>
        </w:rPr>
        <w:t>.11.202</w:t>
      </w:r>
      <w:r w:rsidR="00B35EB5" w:rsidRPr="00B35EB5">
        <w:rPr>
          <w:sz w:val="20"/>
          <w:szCs w:val="20"/>
        </w:rPr>
        <w:t>2</w:t>
      </w:r>
      <w:r>
        <w:rPr>
          <w:sz w:val="20"/>
          <w:szCs w:val="20"/>
        </w:rPr>
        <w:t xml:space="preserve"> επιστολής της Επιτροπής Κεφαλαιαγοράς που εστάλη προς τις εισηγμένες εταιρίες στην οργανωμένη αγορά του Χρηματιστηρίου Αθηνών και στα πλαίσια της ενημέρωσης του επενδυτικού κοινού σε συνδυασμό με </w:t>
      </w:r>
      <w:r w:rsidR="00B35EB5">
        <w:rPr>
          <w:sz w:val="20"/>
          <w:szCs w:val="20"/>
        </w:rPr>
        <w:t xml:space="preserve"> τις επιπτώσεις της ενεργειακής κρίσης , των πολεμικών συγκρούσεων στην Ουκρανία και </w:t>
      </w:r>
      <w:r w:rsidR="00EC0319">
        <w:rPr>
          <w:sz w:val="20"/>
          <w:szCs w:val="20"/>
        </w:rPr>
        <w:t xml:space="preserve">του </w:t>
      </w:r>
      <w:r w:rsidR="00B35EB5">
        <w:rPr>
          <w:sz w:val="20"/>
          <w:szCs w:val="20"/>
        </w:rPr>
        <w:t>μακροοικονομικού περιβάλλοντος εν γένει</w:t>
      </w:r>
      <w:r>
        <w:rPr>
          <w:sz w:val="20"/>
          <w:szCs w:val="20"/>
        </w:rPr>
        <w:t xml:space="preserve">, η Ανώνυμη Εταιρεία με την επωνυμία </w:t>
      </w:r>
      <w:r>
        <w:rPr>
          <w:b/>
          <w:bCs/>
          <w:sz w:val="20"/>
          <w:szCs w:val="20"/>
        </w:rPr>
        <w:t>«</w:t>
      </w:r>
      <w:r w:rsidRPr="0034765B">
        <w:rPr>
          <w:b/>
          <w:bCs/>
          <w:sz w:val="20"/>
          <w:szCs w:val="20"/>
        </w:rPr>
        <w:t>ΕΛ. Δ. ΜΟΥΖΑΚΗΣ ΑΝΩΝΥΜΗ ΕΤΑΙΡΕΙΑ ΒΙΟΜΗΧΑΝΙΑΣ ΕΜΠΟΡΙΟΥ ΜΕΛΕΤΩΝ ΚΑΙ ΕΠΕΝΔΥΣΕΩΝ</w:t>
      </w:r>
      <w:r>
        <w:rPr>
          <w:b/>
          <w:bCs/>
          <w:sz w:val="20"/>
          <w:szCs w:val="20"/>
        </w:rPr>
        <w:t xml:space="preserve">» </w:t>
      </w:r>
      <w:r w:rsidR="005367B9" w:rsidRPr="005367B9">
        <w:rPr>
          <w:bCs/>
          <w:sz w:val="20"/>
          <w:szCs w:val="20"/>
        </w:rPr>
        <w:t>παρουσιάζει</w:t>
      </w:r>
      <w:r w:rsidR="005367B9">
        <w:rPr>
          <w:b/>
          <w:bCs/>
          <w:sz w:val="20"/>
          <w:szCs w:val="20"/>
        </w:rPr>
        <w:t xml:space="preserve"> </w:t>
      </w:r>
      <w:r>
        <w:rPr>
          <w:sz w:val="20"/>
          <w:szCs w:val="20"/>
        </w:rPr>
        <w:t xml:space="preserve">τα ακόλουθα αναφορικά με τη διαμόρφωση των θεμελιωδών οικονομικών μεγεθών αυτής κατά το </w:t>
      </w:r>
      <w:r w:rsidR="00D45528">
        <w:rPr>
          <w:sz w:val="20"/>
          <w:szCs w:val="20"/>
        </w:rPr>
        <w:t>Γ</w:t>
      </w:r>
      <w:r>
        <w:rPr>
          <w:sz w:val="20"/>
          <w:szCs w:val="20"/>
        </w:rPr>
        <w:t>΄ τρίμηνο της τρέχουσας χρήσεως 202</w:t>
      </w:r>
      <w:r w:rsidR="00B35EB5">
        <w:rPr>
          <w:sz w:val="20"/>
          <w:szCs w:val="20"/>
        </w:rPr>
        <w:t>2</w:t>
      </w:r>
      <w:r>
        <w:rPr>
          <w:sz w:val="20"/>
          <w:szCs w:val="20"/>
        </w:rPr>
        <w:t xml:space="preserve"> και τις εν γένει εξελίξεις στην δραστηριότητά της. </w:t>
      </w:r>
    </w:p>
    <w:p w:rsidR="00E31135" w:rsidRPr="005367B9" w:rsidRDefault="00E31135" w:rsidP="0034765B">
      <w:pPr>
        <w:pStyle w:val="Default"/>
        <w:jc w:val="both"/>
        <w:rPr>
          <w:sz w:val="20"/>
          <w:szCs w:val="20"/>
        </w:rPr>
      </w:pPr>
    </w:p>
    <w:p w:rsidR="0034765B" w:rsidRPr="00E31135" w:rsidRDefault="0034765B" w:rsidP="0034765B">
      <w:pPr>
        <w:pStyle w:val="Default"/>
        <w:jc w:val="both"/>
        <w:rPr>
          <w:sz w:val="20"/>
          <w:szCs w:val="20"/>
        </w:rPr>
      </w:pPr>
      <w:r>
        <w:rPr>
          <w:sz w:val="20"/>
          <w:szCs w:val="20"/>
        </w:rPr>
        <w:t>Ειδικότερα τα αποτελέσματα του Ομίλου και της Εταιρείας για το εννεάμηνο του 202</w:t>
      </w:r>
      <w:r w:rsidR="00184E99" w:rsidRPr="00184E99">
        <w:rPr>
          <w:sz w:val="20"/>
          <w:szCs w:val="20"/>
        </w:rPr>
        <w:t>2</w:t>
      </w:r>
      <w:r>
        <w:rPr>
          <w:sz w:val="20"/>
          <w:szCs w:val="20"/>
        </w:rPr>
        <w:t xml:space="preserve">, συγκρινόμενα παράλληλα και με την αντίστοιχη περίοδο της προηγούμενης χρήσης </w:t>
      </w:r>
      <w:r w:rsidR="005367B9">
        <w:rPr>
          <w:sz w:val="20"/>
          <w:szCs w:val="20"/>
        </w:rPr>
        <w:t>20</w:t>
      </w:r>
      <w:r w:rsidR="00FC2EA0" w:rsidRPr="00FC2EA0">
        <w:rPr>
          <w:sz w:val="20"/>
          <w:szCs w:val="20"/>
        </w:rPr>
        <w:t>2</w:t>
      </w:r>
      <w:r w:rsidR="00184E99" w:rsidRPr="00184E99">
        <w:rPr>
          <w:sz w:val="20"/>
          <w:szCs w:val="20"/>
        </w:rPr>
        <w:t>1</w:t>
      </w:r>
      <w:r w:rsidR="005367B9">
        <w:rPr>
          <w:sz w:val="20"/>
          <w:szCs w:val="20"/>
        </w:rPr>
        <w:t xml:space="preserve"> </w:t>
      </w:r>
      <w:r>
        <w:rPr>
          <w:sz w:val="20"/>
          <w:szCs w:val="20"/>
        </w:rPr>
        <w:t xml:space="preserve">έχουν συνοπτικά ως ακολούθως : </w:t>
      </w:r>
    </w:p>
    <w:p w:rsidR="0070744F" w:rsidRPr="00E31135"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α) Ο ενοποιημένος κύκλος εργασιών ανήλθε σε </w:t>
      </w:r>
      <w:r w:rsidR="00184E99" w:rsidRPr="00184E99">
        <w:rPr>
          <w:sz w:val="20"/>
          <w:szCs w:val="20"/>
        </w:rPr>
        <w:t xml:space="preserve"> </w:t>
      </w:r>
      <w:r w:rsidR="00B35EB5">
        <w:rPr>
          <w:sz w:val="20"/>
          <w:szCs w:val="20"/>
        </w:rPr>
        <w:t>3.259.544,41</w:t>
      </w:r>
      <w:r>
        <w:rPr>
          <w:sz w:val="20"/>
          <w:szCs w:val="20"/>
        </w:rPr>
        <w:t xml:space="preserve"> ευρώ, έναντι </w:t>
      </w:r>
      <w:r w:rsidR="00184E99" w:rsidRPr="00FC2EA0">
        <w:rPr>
          <w:sz w:val="20"/>
          <w:szCs w:val="20"/>
        </w:rPr>
        <w:t>3</w:t>
      </w:r>
      <w:r w:rsidR="00184E99" w:rsidRPr="00671F2E">
        <w:rPr>
          <w:sz w:val="20"/>
          <w:szCs w:val="20"/>
        </w:rPr>
        <w:t>.</w:t>
      </w:r>
      <w:r w:rsidR="00184E99" w:rsidRPr="00FC2EA0">
        <w:rPr>
          <w:sz w:val="20"/>
          <w:szCs w:val="20"/>
        </w:rPr>
        <w:t>689</w:t>
      </w:r>
      <w:r w:rsidR="00184E99" w:rsidRPr="00671F2E">
        <w:rPr>
          <w:sz w:val="20"/>
          <w:szCs w:val="20"/>
        </w:rPr>
        <w:t>.</w:t>
      </w:r>
      <w:r w:rsidR="00184E99" w:rsidRPr="00FC2EA0">
        <w:rPr>
          <w:sz w:val="20"/>
          <w:szCs w:val="20"/>
        </w:rPr>
        <w:t>518</w:t>
      </w:r>
      <w:r w:rsidR="00184E99" w:rsidRPr="00671F2E">
        <w:rPr>
          <w:sz w:val="20"/>
          <w:szCs w:val="20"/>
        </w:rPr>
        <w:t>,</w:t>
      </w:r>
      <w:r w:rsidR="00184E99" w:rsidRPr="00FC2EA0">
        <w:rPr>
          <w:sz w:val="20"/>
          <w:szCs w:val="20"/>
        </w:rPr>
        <w:t>72</w:t>
      </w:r>
      <w:r w:rsidR="00184E99">
        <w:rPr>
          <w:sz w:val="20"/>
          <w:szCs w:val="20"/>
        </w:rPr>
        <w:t xml:space="preserve"> </w:t>
      </w:r>
      <w:r>
        <w:rPr>
          <w:sz w:val="20"/>
          <w:szCs w:val="20"/>
        </w:rPr>
        <w:t xml:space="preserve">ευρώ παρουσιάζοντας ποσοστιαία </w:t>
      </w:r>
      <w:r w:rsidR="00184E99">
        <w:rPr>
          <w:sz w:val="20"/>
          <w:szCs w:val="20"/>
        </w:rPr>
        <w:t xml:space="preserve">μείωση </w:t>
      </w:r>
      <w:r>
        <w:rPr>
          <w:sz w:val="20"/>
          <w:szCs w:val="20"/>
        </w:rPr>
        <w:t xml:space="preserve"> κατά </w:t>
      </w:r>
      <w:r w:rsidR="00B35EB5">
        <w:rPr>
          <w:sz w:val="20"/>
          <w:szCs w:val="20"/>
        </w:rPr>
        <w:t>11,65%</w:t>
      </w:r>
      <w:r>
        <w:rPr>
          <w:sz w:val="20"/>
          <w:szCs w:val="20"/>
        </w:rPr>
        <w:t xml:space="preserve"> και ο εταιρικός σε</w:t>
      </w:r>
      <w:r w:rsidR="00B35EB5">
        <w:rPr>
          <w:sz w:val="20"/>
          <w:szCs w:val="20"/>
        </w:rPr>
        <w:t xml:space="preserve"> 3.259.544,41</w:t>
      </w:r>
      <w:r>
        <w:rPr>
          <w:sz w:val="20"/>
          <w:szCs w:val="20"/>
        </w:rPr>
        <w:t xml:space="preserve"> </w:t>
      </w:r>
      <w:r w:rsidR="00184E99">
        <w:rPr>
          <w:sz w:val="20"/>
          <w:szCs w:val="20"/>
        </w:rPr>
        <w:t xml:space="preserve">                      </w:t>
      </w:r>
      <w:r w:rsidR="00FC2EA0">
        <w:rPr>
          <w:sz w:val="20"/>
          <w:szCs w:val="20"/>
        </w:rPr>
        <w:t xml:space="preserve"> </w:t>
      </w:r>
      <w:r w:rsidR="00671F2E">
        <w:rPr>
          <w:sz w:val="20"/>
          <w:szCs w:val="20"/>
        </w:rPr>
        <w:t xml:space="preserve">ευρώ, έναντι </w:t>
      </w:r>
      <w:r w:rsidR="00184E99" w:rsidRPr="00FC2EA0">
        <w:rPr>
          <w:sz w:val="20"/>
          <w:szCs w:val="20"/>
        </w:rPr>
        <w:t>3</w:t>
      </w:r>
      <w:r w:rsidR="00184E99" w:rsidRPr="00671F2E">
        <w:rPr>
          <w:sz w:val="20"/>
          <w:szCs w:val="20"/>
        </w:rPr>
        <w:t>.</w:t>
      </w:r>
      <w:r w:rsidR="00184E99" w:rsidRPr="00FC2EA0">
        <w:rPr>
          <w:sz w:val="20"/>
          <w:szCs w:val="20"/>
        </w:rPr>
        <w:t>689</w:t>
      </w:r>
      <w:r w:rsidR="00184E99" w:rsidRPr="00671F2E">
        <w:rPr>
          <w:sz w:val="20"/>
          <w:szCs w:val="20"/>
        </w:rPr>
        <w:t>.</w:t>
      </w:r>
      <w:r w:rsidR="00184E99" w:rsidRPr="00FC2EA0">
        <w:rPr>
          <w:sz w:val="20"/>
          <w:szCs w:val="20"/>
        </w:rPr>
        <w:t>518</w:t>
      </w:r>
      <w:r w:rsidR="00184E99" w:rsidRPr="00671F2E">
        <w:rPr>
          <w:sz w:val="20"/>
          <w:szCs w:val="20"/>
        </w:rPr>
        <w:t>,</w:t>
      </w:r>
      <w:r w:rsidR="00184E99" w:rsidRPr="00FC2EA0">
        <w:rPr>
          <w:sz w:val="20"/>
          <w:szCs w:val="20"/>
        </w:rPr>
        <w:t>72</w:t>
      </w:r>
      <w:r w:rsidR="00184E99">
        <w:rPr>
          <w:sz w:val="20"/>
          <w:szCs w:val="20"/>
        </w:rPr>
        <w:t xml:space="preserve"> </w:t>
      </w:r>
      <w:r w:rsidR="00671F2E">
        <w:rPr>
          <w:sz w:val="20"/>
          <w:szCs w:val="20"/>
        </w:rPr>
        <w:t xml:space="preserve">ευρώ παρουσιάζοντας ποσοστιαία </w:t>
      </w:r>
      <w:r w:rsidR="00184E99">
        <w:rPr>
          <w:sz w:val="20"/>
          <w:szCs w:val="20"/>
        </w:rPr>
        <w:t>μείω</w:t>
      </w:r>
      <w:r w:rsidR="00175E8B">
        <w:rPr>
          <w:sz w:val="20"/>
          <w:szCs w:val="20"/>
        </w:rPr>
        <w:t>ση</w:t>
      </w:r>
      <w:r w:rsidR="00671F2E">
        <w:rPr>
          <w:sz w:val="20"/>
          <w:szCs w:val="20"/>
        </w:rPr>
        <w:t xml:space="preserve"> κατά </w:t>
      </w:r>
      <w:r w:rsidR="00B35EB5">
        <w:rPr>
          <w:sz w:val="20"/>
          <w:szCs w:val="20"/>
        </w:rPr>
        <w:t>11,65%</w:t>
      </w:r>
    </w:p>
    <w:p w:rsidR="0070744F" w:rsidRPr="005367B9"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β) Τα κέρδη προ φόρων, χρηματοδοτικών και επενδυτικών αποτελεσμάτων (EBIT) ανήλθαν σε επίπεδο Ομίλου </w:t>
      </w:r>
      <w:r w:rsidR="00F413BF">
        <w:rPr>
          <w:sz w:val="20"/>
          <w:szCs w:val="20"/>
        </w:rPr>
        <w:t xml:space="preserve">στις </w:t>
      </w:r>
      <w:r w:rsidR="008D30AC" w:rsidRPr="008D30AC">
        <w:rPr>
          <w:sz w:val="20"/>
          <w:szCs w:val="20"/>
        </w:rPr>
        <w:t xml:space="preserve">540.443,00  </w:t>
      </w:r>
      <w:r>
        <w:rPr>
          <w:sz w:val="20"/>
          <w:szCs w:val="20"/>
        </w:rPr>
        <w:t xml:space="preserve">ευρώ, έναντι </w:t>
      </w:r>
      <w:r w:rsidR="00495E80">
        <w:rPr>
          <w:sz w:val="20"/>
          <w:szCs w:val="20"/>
        </w:rPr>
        <w:t xml:space="preserve">999.780.03 </w:t>
      </w:r>
      <w:r>
        <w:rPr>
          <w:sz w:val="20"/>
          <w:szCs w:val="20"/>
        </w:rPr>
        <w:t>ευρώ,</w:t>
      </w:r>
      <w:r w:rsidR="00495E80">
        <w:rPr>
          <w:sz w:val="20"/>
          <w:szCs w:val="20"/>
        </w:rPr>
        <w:t xml:space="preserve">  μειωμένα </w:t>
      </w:r>
      <w:r>
        <w:rPr>
          <w:sz w:val="20"/>
          <w:szCs w:val="20"/>
        </w:rPr>
        <w:t xml:space="preserve"> κατά </w:t>
      </w:r>
      <w:r w:rsidR="0015797E" w:rsidRPr="0015797E">
        <w:rPr>
          <w:sz w:val="20"/>
          <w:szCs w:val="20"/>
        </w:rPr>
        <w:t xml:space="preserve"> </w:t>
      </w:r>
      <w:r w:rsidR="008D30AC" w:rsidRPr="008D30AC">
        <w:rPr>
          <w:sz w:val="20"/>
          <w:szCs w:val="20"/>
        </w:rPr>
        <w:t>459.337,03</w:t>
      </w:r>
      <w:r w:rsidR="00495E80">
        <w:rPr>
          <w:sz w:val="20"/>
          <w:szCs w:val="20"/>
        </w:rPr>
        <w:t xml:space="preserve">   </w:t>
      </w:r>
      <w:r w:rsidR="00671F2E">
        <w:rPr>
          <w:sz w:val="20"/>
          <w:szCs w:val="20"/>
        </w:rPr>
        <w:t>ευρώ</w:t>
      </w:r>
      <w:r w:rsidR="00B35EB5">
        <w:rPr>
          <w:sz w:val="20"/>
          <w:szCs w:val="20"/>
        </w:rPr>
        <w:t xml:space="preserve"> </w:t>
      </w:r>
      <w:r w:rsidR="00F413BF" w:rsidRPr="00F413BF">
        <w:rPr>
          <w:sz w:val="20"/>
          <w:szCs w:val="20"/>
        </w:rPr>
        <w:t xml:space="preserve"> </w:t>
      </w:r>
      <w:r w:rsidR="00671F2E">
        <w:rPr>
          <w:sz w:val="20"/>
          <w:szCs w:val="20"/>
        </w:rPr>
        <w:t xml:space="preserve">ήτοι </w:t>
      </w:r>
      <w:r w:rsidR="00CF2CE6" w:rsidRPr="00CF2CE6">
        <w:rPr>
          <w:sz w:val="20"/>
          <w:szCs w:val="20"/>
        </w:rPr>
        <w:t>45</w:t>
      </w:r>
      <w:r w:rsidR="00B35EB5">
        <w:rPr>
          <w:sz w:val="20"/>
          <w:szCs w:val="20"/>
        </w:rPr>
        <w:t>,</w:t>
      </w:r>
      <w:r w:rsidR="00CF2CE6" w:rsidRPr="00CF2CE6">
        <w:rPr>
          <w:sz w:val="20"/>
          <w:szCs w:val="20"/>
        </w:rPr>
        <w:t xml:space="preserve">94 </w:t>
      </w:r>
      <w:r w:rsidR="00B35EB5">
        <w:rPr>
          <w:sz w:val="20"/>
          <w:szCs w:val="20"/>
        </w:rPr>
        <w:t>%</w:t>
      </w:r>
      <w:r>
        <w:rPr>
          <w:sz w:val="20"/>
          <w:szCs w:val="20"/>
        </w:rPr>
        <w:t xml:space="preserve"> και σε εταιρικό επίπεδο</w:t>
      </w:r>
      <w:r w:rsidR="00B35EB5">
        <w:rPr>
          <w:sz w:val="20"/>
          <w:szCs w:val="20"/>
        </w:rPr>
        <w:t xml:space="preserve"> </w:t>
      </w:r>
      <w:r>
        <w:rPr>
          <w:sz w:val="20"/>
          <w:szCs w:val="20"/>
        </w:rPr>
        <w:t xml:space="preserve"> </w:t>
      </w:r>
      <w:r w:rsidR="00CF2CE6" w:rsidRPr="00CF2CE6">
        <w:rPr>
          <w:sz w:val="20"/>
          <w:szCs w:val="20"/>
        </w:rPr>
        <w:t>425.164,17</w:t>
      </w:r>
      <w:r w:rsidR="00495E80">
        <w:rPr>
          <w:sz w:val="20"/>
          <w:szCs w:val="20"/>
        </w:rPr>
        <w:t xml:space="preserve">  </w:t>
      </w:r>
      <w:r w:rsidR="00671F2E">
        <w:rPr>
          <w:sz w:val="20"/>
          <w:szCs w:val="20"/>
        </w:rPr>
        <w:t xml:space="preserve">ευρώ, έναντι </w:t>
      </w:r>
      <w:r w:rsidR="00495E80">
        <w:rPr>
          <w:sz w:val="20"/>
          <w:szCs w:val="20"/>
        </w:rPr>
        <w:t xml:space="preserve">835.379,61  </w:t>
      </w:r>
      <w:r w:rsidR="00671F2E">
        <w:rPr>
          <w:sz w:val="20"/>
          <w:szCs w:val="20"/>
        </w:rPr>
        <w:t xml:space="preserve">ευρώ, </w:t>
      </w:r>
      <w:r w:rsidR="00B35EB5">
        <w:rPr>
          <w:sz w:val="20"/>
          <w:szCs w:val="20"/>
        </w:rPr>
        <w:t xml:space="preserve">μειωμένα </w:t>
      </w:r>
      <w:r w:rsidR="00671F2E">
        <w:rPr>
          <w:sz w:val="20"/>
          <w:szCs w:val="20"/>
        </w:rPr>
        <w:t xml:space="preserve"> κατά </w:t>
      </w:r>
      <w:r w:rsidR="00495E80">
        <w:rPr>
          <w:sz w:val="20"/>
          <w:szCs w:val="20"/>
        </w:rPr>
        <w:t xml:space="preserve"> </w:t>
      </w:r>
      <w:r w:rsidR="00CF2CE6" w:rsidRPr="00CF2CE6">
        <w:rPr>
          <w:sz w:val="20"/>
          <w:szCs w:val="20"/>
        </w:rPr>
        <w:t>410.215,44</w:t>
      </w:r>
      <w:r w:rsidR="00495E80">
        <w:rPr>
          <w:sz w:val="20"/>
          <w:szCs w:val="20"/>
        </w:rPr>
        <w:t xml:space="preserve">  </w:t>
      </w:r>
      <w:r w:rsidR="00671F2E">
        <w:rPr>
          <w:sz w:val="20"/>
          <w:szCs w:val="20"/>
        </w:rPr>
        <w:t xml:space="preserve">ευρώ ήτοι </w:t>
      </w:r>
      <w:r w:rsidR="00CF2CE6" w:rsidRPr="00D72C3C">
        <w:rPr>
          <w:sz w:val="20"/>
          <w:szCs w:val="20"/>
        </w:rPr>
        <w:t>49</w:t>
      </w:r>
      <w:r w:rsidR="00B35EB5">
        <w:rPr>
          <w:sz w:val="20"/>
          <w:szCs w:val="20"/>
        </w:rPr>
        <w:t>,1</w:t>
      </w:r>
      <w:r w:rsidR="00CF2CE6" w:rsidRPr="00D72C3C">
        <w:rPr>
          <w:sz w:val="20"/>
          <w:szCs w:val="20"/>
        </w:rPr>
        <w:t>1</w:t>
      </w:r>
      <w:r w:rsidR="00B35EB5">
        <w:rPr>
          <w:sz w:val="20"/>
          <w:szCs w:val="20"/>
        </w:rPr>
        <w:t>%</w:t>
      </w:r>
      <w:r>
        <w:rPr>
          <w:sz w:val="20"/>
          <w:szCs w:val="20"/>
        </w:rPr>
        <w:t xml:space="preserve"> </w:t>
      </w:r>
      <w:r w:rsidR="00671F2E">
        <w:rPr>
          <w:sz w:val="20"/>
          <w:szCs w:val="20"/>
        </w:rPr>
        <w:t>.</w:t>
      </w:r>
    </w:p>
    <w:p w:rsidR="0070744F" w:rsidRPr="005367B9"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γ) Τα κέρδη προ φόρων, χρηματοδοτικών, επενδυτικών αποτελεσμάτων και αποσβέσεων (EBITDA) ανήλθαν σε επίπεδο Ομίλου </w:t>
      </w:r>
      <w:r w:rsidR="00F413BF">
        <w:rPr>
          <w:sz w:val="20"/>
          <w:szCs w:val="20"/>
        </w:rPr>
        <w:t>στις</w:t>
      </w:r>
      <w:r>
        <w:rPr>
          <w:sz w:val="20"/>
          <w:szCs w:val="20"/>
        </w:rPr>
        <w:t xml:space="preserve"> </w:t>
      </w:r>
      <w:r w:rsidR="00D72C3C" w:rsidRPr="00D72C3C">
        <w:rPr>
          <w:sz w:val="20"/>
          <w:szCs w:val="20"/>
        </w:rPr>
        <w:t>765.137,63</w:t>
      </w:r>
      <w:r w:rsidR="00495E80">
        <w:rPr>
          <w:sz w:val="20"/>
          <w:szCs w:val="20"/>
        </w:rPr>
        <w:t xml:space="preserve">  </w:t>
      </w:r>
      <w:r w:rsidR="00671F2E">
        <w:rPr>
          <w:sz w:val="20"/>
          <w:szCs w:val="20"/>
        </w:rPr>
        <w:t xml:space="preserve">ευρώ, έναντι </w:t>
      </w:r>
      <w:r w:rsidR="00495E80">
        <w:rPr>
          <w:sz w:val="20"/>
          <w:szCs w:val="20"/>
        </w:rPr>
        <w:t xml:space="preserve">1.159.476,84 </w:t>
      </w:r>
      <w:r w:rsidR="00671F2E">
        <w:rPr>
          <w:sz w:val="20"/>
          <w:szCs w:val="20"/>
        </w:rPr>
        <w:t xml:space="preserve">ευρώ, </w:t>
      </w:r>
      <w:r w:rsidR="00495E80">
        <w:rPr>
          <w:sz w:val="20"/>
          <w:szCs w:val="20"/>
        </w:rPr>
        <w:t>μειω</w:t>
      </w:r>
      <w:r w:rsidR="00671F2E">
        <w:rPr>
          <w:sz w:val="20"/>
          <w:szCs w:val="20"/>
        </w:rPr>
        <w:t xml:space="preserve">μένα κατά </w:t>
      </w:r>
      <w:r w:rsidR="00D72C3C" w:rsidRPr="00D72C3C">
        <w:rPr>
          <w:sz w:val="20"/>
          <w:szCs w:val="20"/>
        </w:rPr>
        <w:t>394.339,21</w:t>
      </w:r>
      <w:r w:rsidR="00671F2E">
        <w:rPr>
          <w:sz w:val="20"/>
          <w:szCs w:val="20"/>
        </w:rPr>
        <w:t xml:space="preserve"> ευρώ ήτοι </w:t>
      </w:r>
      <w:r w:rsidR="00D72C3C" w:rsidRPr="00D72C3C">
        <w:rPr>
          <w:sz w:val="20"/>
          <w:szCs w:val="20"/>
        </w:rPr>
        <w:t>34</w:t>
      </w:r>
      <w:r w:rsidR="00370A93">
        <w:rPr>
          <w:sz w:val="20"/>
          <w:szCs w:val="20"/>
        </w:rPr>
        <w:t>,</w:t>
      </w:r>
      <w:r w:rsidR="00D72C3C" w:rsidRPr="00D72C3C">
        <w:rPr>
          <w:sz w:val="20"/>
          <w:szCs w:val="20"/>
        </w:rPr>
        <w:t>01</w:t>
      </w:r>
      <w:r w:rsidR="00370A93">
        <w:rPr>
          <w:sz w:val="20"/>
          <w:szCs w:val="20"/>
        </w:rPr>
        <w:t>%</w:t>
      </w:r>
      <w:r>
        <w:rPr>
          <w:sz w:val="20"/>
          <w:szCs w:val="20"/>
        </w:rPr>
        <w:t xml:space="preserve"> και σε εταιρικό επίπεδο </w:t>
      </w:r>
      <w:r w:rsidR="00F413BF">
        <w:rPr>
          <w:sz w:val="20"/>
          <w:szCs w:val="20"/>
        </w:rPr>
        <w:t xml:space="preserve">στις </w:t>
      </w:r>
      <w:r w:rsidR="00370A93">
        <w:rPr>
          <w:sz w:val="20"/>
          <w:szCs w:val="20"/>
        </w:rPr>
        <w:t xml:space="preserve"> </w:t>
      </w:r>
      <w:r w:rsidR="00D72C3C" w:rsidRPr="00D72C3C">
        <w:rPr>
          <w:sz w:val="20"/>
          <w:szCs w:val="20"/>
        </w:rPr>
        <w:t>649.455,59</w:t>
      </w:r>
      <w:r>
        <w:rPr>
          <w:sz w:val="20"/>
          <w:szCs w:val="20"/>
        </w:rPr>
        <w:t xml:space="preserve"> </w:t>
      </w:r>
      <w:r w:rsidR="00495E80">
        <w:rPr>
          <w:sz w:val="20"/>
          <w:szCs w:val="20"/>
        </w:rPr>
        <w:t xml:space="preserve"> </w:t>
      </w:r>
      <w:r w:rsidR="00671F2E">
        <w:rPr>
          <w:sz w:val="20"/>
          <w:szCs w:val="20"/>
        </w:rPr>
        <w:t xml:space="preserve">ευρώ, έναντι </w:t>
      </w:r>
      <w:r w:rsidR="00495E80">
        <w:rPr>
          <w:sz w:val="20"/>
          <w:szCs w:val="20"/>
        </w:rPr>
        <w:t xml:space="preserve">1.057.921,88 </w:t>
      </w:r>
      <w:r w:rsidR="00FC2EA0">
        <w:rPr>
          <w:sz w:val="20"/>
          <w:szCs w:val="20"/>
        </w:rPr>
        <w:t xml:space="preserve"> </w:t>
      </w:r>
      <w:r w:rsidR="00671F2E">
        <w:rPr>
          <w:sz w:val="20"/>
          <w:szCs w:val="20"/>
        </w:rPr>
        <w:t xml:space="preserve">ευρώ, </w:t>
      </w:r>
      <w:r w:rsidR="00495E80">
        <w:rPr>
          <w:sz w:val="20"/>
          <w:szCs w:val="20"/>
        </w:rPr>
        <w:t>μειω</w:t>
      </w:r>
      <w:r w:rsidR="00671F2E">
        <w:rPr>
          <w:sz w:val="20"/>
          <w:szCs w:val="20"/>
        </w:rPr>
        <w:t xml:space="preserve">μένα κατά </w:t>
      </w:r>
      <w:r w:rsidR="00D72C3C" w:rsidRPr="00D72C3C">
        <w:rPr>
          <w:sz w:val="20"/>
          <w:szCs w:val="20"/>
        </w:rPr>
        <w:t>408.466,29</w:t>
      </w:r>
      <w:r w:rsidR="00671F2E">
        <w:rPr>
          <w:sz w:val="20"/>
          <w:szCs w:val="20"/>
        </w:rPr>
        <w:t xml:space="preserve"> ευρώ ήτοι </w:t>
      </w:r>
      <w:r w:rsidR="004A0EA2" w:rsidRPr="004A0EA2">
        <w:rPr>
          <w:sz w:val="20"/>
          <w:szCs w:val="20"/>
        </w:rPr>
        <w:t>38,61</w:t>
      </w:r>
      <w:r w:rsidR="00671F2E">
        <w:rPr>
          <w:sz w:val="20"/>
          <w:szCs w:val="20"/>
        </w:rPr>
        <w:t>%</w:t>
      </w:r>
      <w:r>
        <w:rPr>
          <w:sz w:val="20"/>
          <w:szCs w:val="20"/>
        </w:rPr>
        <w:t xml:space="preserve">. </w:t>
      </w:r>
    </w:p>
    <w:p w:rsidR="0070744F" w:rsidRPr="005367B9" w:rsidRDefault="0070744F" w:rsidP="0034765B">
      <w:pPr>
        <w:pStyle w:val="Default"/>
        <w:jc w:val="both"/>
        <w:rPr>
          <w:sz w:val="20"/>
          <w:szCs w:val="20"/>
        </w:rPr>
      </w:pPr>
    </w:p>
    <w:p w:rsidR="0034765B" w:rsidRPr="0070744F" w:rsidRDefault="0034765B" w:rsidP="0034765B">
      <w:pPr>
        <w:pStyle w:val="Default"/>
        <w:jc w:val="both"/>
        <w:rPr>
          <w:sz w:val="20"/>
          <w:szCs w:val="20"/>
        </w:rPr>
      </w:pPr>
      <w:r>
        <w:rPr>
          <w:sz w:val="20"/>
          <w:szCs w:val="20"/>
        </w:rPr>
        <w:t xml:space="preserve">δ) Τα κέρδη προ φόρων (EBT) ανήλθαν για τον Όμιλο σε </w:t>
      </w:r>
      <w:r w:rsidR="004A0EA2" w:rsidRPr="004A0EA2">
        <w:rPr>
          <w:sz w:val="20"/>
          <w:szCs w:val="20"/>
        </w:rPr>
        <w:t>520.928,07</w:t>
      </w:r>
      <w:r w:rsidR="001A7FDC">
        <w:rPr>
          <w:sz w:val="20"/>
          <w:szCs w:val="20"/>
        </w:rPr>
        <w:t xml:space="preserve"> ευρώ, έναντι </w:t>
      </w:r>
      <w:r w:rsidR="00495E80">
        <w:rPr>
          <w:sz w:val="20"/>
          <w:szCs w:val="20"/>
        </w:rPr>
        <w:t xml:space="preserve">933.303,44 </w:t>
      </w:r>
      <w:r w:rsidR="00AB4943">
        <w:rPr>
          <w:sz w:val="20"/>
          <w:szCs w:val="20"/>
        </w:rPr>
        <w:t xml:space="preserve"> </w:t>
      </w:r>
      <w:r w:rsidR="001A7FDC">
        <w:rPr>
          <w:sz w:val="20"/>
          <w:szCs w:val="20"/>
        </w:rPr>
        <w:t xml:space="preserve">ευρώ, </w:t>
      </w:r>
      <w:r w:rsidR="00495E80">
        <w:rPr>
          <w:sz w:val="20"/>
          <w:szCs w:val="20"/>
        </w:rPr>
        <w:t>μειω</w:t>
      </w:r>
      <w:r w:rsidR="001A7FDC">
        <w:rPr>
          <w:sz w:val="20"/>
          <w:szCs w:val="20"/>
        </w:rPr>
        <w:t xml:space="preserve">μένα κατά </w:t>
      </w:r>
      <w:r w:rsidR="004A0EA2" w:rsidRPr="004A0EA2">
        <w:rPr>
          <w:sz w:val="20"/>
          <w:szCs w:val="20"/>
        </w:rPr>
        <w:t>412.375,37</w:t>
      </w:r>
      <w:r w:rsidR="00F055CA">
        <w:rPr>
          <w:sz w:val="20"/>
          <w:szCs w:val="20"/>
        </w:rPr>
        <w:t xml:space="preserve"> </w:t>
      </w:r>
      <w:r w:rsidR="001A7FDC">
        <w:rPr>
          <w:sz w:val="20"/>
          <w:szCs w:val="20"/>
        </w:rPr>
        <w:t xml:space="preserve"> ευρώ ήτοι </w:t>
      </w:r>
      <w:r w:rsidR="004A0EA2" w:rsidRPr="004A0EA2">
        <w:rPr>
          <w:sz w:val="20"/>
          <w:szCs w:val="20"/>
        </w:rPr>
        <w:t>44,18</w:t>
      </w:r>
      <w:r w:rsidR="00F055CA">
        <w:rPr>
          <w:sz w:val="20"/>
          <w:szCs w:val="20"/>
        </w:rPr>
        <w:t>%</w:t>
      </w:r>
      <w:r>
        <w:rPr>
          <w:sz w:val="20"/>
          <w:szCs w:val="20"/>
        </w:rPr>
        <w:t xml:space="preserve"> και για την Εταιρεία σε </w:t>
      </w:r>
      <w:r w:rsidR="004A0EA2" w:rsidRPr="004A0EA2">
        <w:rPr>
          <w:sz w:val="20"/>
          <w:szCs w:val="20"/>
        </w:rPr>
        <w:t>406.627,59</w:t>
      </w:r>
      <w:r w:rsidR="001A7FDC">
        <w:rPr>
          <w:sz w:val="20"/>
          <w:szCs w:val="20"/>
        </w:rPr>
        <w:t xml:space="preserve"> ευρώ, έναντι </w:t>
      </w:r>
      <w:r w:rsidR="00495E80">
        <w:rPr>
          <w:sz w:val="20"/>
          <w:szCs w:val="20"/>
        </w:rPr>
        <w:t xml:space="preserve">818.639,96 </w:t>
      </w:r>
      <w:r w:rsidR="001A7FDC">
        <w:rPr>
          <w:sz w:val="20"/>
          <w:szCs w:val="20"/>
        </w:rPr>
        <w:t xml:space="preserve">ευρώ, </w:t>
      </w:r>
      <w:r w:rsidR="00495E80">
        <w:rPr>
          <w:sz w:val="20"/>
          <w:szCs w:val="20"/>
        </w:rPr>
        <w:t>μειω</w:t>
      </w:r>
      <w:r w:rsidR="001A7FDC">
        <w:rPr>
          <w:sz w:val="20"/>
          <w:szCs w:val="20"/>
        </w:rPr>
        <w:t xml:space="preserve">μένα κατά </w:t>
      </w:r>
      <w:r w:rsidR="004A0EA2" w:rsidRPr="004A0EA2">
        <w:rPr>
          <w:sz w:val="20"/>
          <w:szCs w:val="20"/>
        </w:rPr>
        <w:t>412</w:t>
      </w:r>
      <w:r w:rsidR="00BC723E" w:rsidRPr="00BC723E">
        <w:rPr>
          <w:sz w:val="20"/>
          <w:szCs w:val="20"/>
        </w:rPr>
        <w:t>.</w:t>
      </w:r>
      <w:r w:rsidR="004A0EA2" w:rsidRPr="004A0EA2">
        <w:rPr>
          <w:sz w:val="20"/>
          <w:szCs w:val="20"/>
        </w:rPr>
        <w:t>012,37</w:t>
      </w:r>
      <w:r w:rsidR="00F055CA">
        <w:rPr>
          <w:sz w:val="20"/>
          <w:szCs w:val="20"/>
        </w:rPr>
        <w:t xml:space="preserve"> </w:t>
      </w:r>
      <w:r w:rsidR="001A7FDC">
        <w:rPr>
          <w:sz w:val="20"/>
          <w:szCs w:val="20"/>
        </w:rPr>
        <w:t xml:space="preserve">ευρώ ήτοι </w:t>
      </w:r>
      <w:r w:rsidR="004A0EA2" w:rsidRPr="004A0EA2">
        <w:rPr>
          <w:sz w:val="20"/>
          <w:szCs w:val="20"/>
        </w:rPr>
        <w:t>50</w:t>
      </w:r>
      <w:r w:rsidR="00D72C3C" w:rsidRPr="00D72C3C">
        <w:rPr>
          <w:sz w:val="20"/>
          <w:szCs w:val="20"/>
        </w:rPr>
        <w:t>,</w:t>
      </w:r>
      <w:r w:rsidR="004A0EA2" w:rsidRPr="00BC723E">
        <w:rPr>
          <w:sz w:val="20"/>
          <w:szCs w:val="20"/>
        </w:rPr>
        <w:t>3</w:t>
      </w:r>
      <w:r w:rsidR="00D72C3C" w:rsidRPr="00D72C3C">
        <w:rPr>
          <w:sz w:val="20"/>
          <w:szCs w:val="20"/>
        </w:rPr>
        <w:t>3</w:t>
      </w:r>
      <w:r w:rsidR="001A7FDC">
        <w:rPr>
          <w:sz w:val="20"/>
          <w:szCs w:val="20"/>
        </w:rPr>
        <w:t>%</w:t>
      </w:r>
      <w:r w:rsidR="00C542FF">
        <w:rPr>
          <w:sz w:val="20"/>
          <w:szCs w:val="20"/>
        </w:rPr>
        <w:t>.</w:t>
      </w:r>
    </w:p>
    <w:p w:rsidR="00F276E2" w:rsidRPr="0070744F" w:rsidRDefault="00F276E2" w:rsidP="0034765B">
      <w:pPr>
        <w:pStyle w:val="Default"/>
        <w:jc w:val="both"/>
        <w:rPr>
          <w:sz w:val="20"/>
          <w:szCs w:val="20"/>
        </w:rPr>
      </w:pPr>
    </w:p>
    <w:p w:rsidR="004C4A4C" w:rsidRPr="0034765B" w:rsidRDefault="0034765B" w:rsidP="0034765B">
      <w:pPr>
        <w:jc w:val="both"/>
        <w:rPr>
          <w:rFonts w:ascii="Tahoma" w:hAnsi="Tahoma" w:cs="Tahoma"/>
          <w:sz w:val="20"/>
          <w:szCs w:val="20"/>
        </w:rPr>
      </w:pPr>
      <w:r w:rsidRPr="0034765B">
        <w:rPr>
          <w:rFonts w:ascii="Tahoma" w:hAnsi="Tahoma" w:cs="Tahoma"/>
          <w:sz w:val="20"/>
          <w:szCs w:val="20"/>
        </w:rPr>
        <w:t xml:space="preserve">Όλα τα ανωτέρω, καθώς και  τα λοιπά μεγέθη της χρηματοοικονομικής θέσης που έλαβαν χώρα κατά το </w:t>
      </w:r>
      <w:r w:rsidR="005509A3">
        <w:rPr>
          <w:rFonts w:ascii="Tahoma" w:hAnsi="Tahoma" w:cs="Tahoma"/>
          <w:sz w:val="20"/>
          <w:szCs w:val="20"/>
        </w:rPr>
        <w:t>Γ</w:t>
      </w:r>
      <w:r w:rsidRPr="0034765B">
        <w:rPr>
          <w:rFonts w:ascii="Tahoma" w:hAnsi="Tahoma" w:cs="Tahoma"/>
          <w:sz w:val="20"/>
          <w:szCs w:val="20"/>
        </w:rPr>
        <w:t>’</w:t>
      </w:r>
      <w:r w:rsidR="005509A3">
        <w:rPr>
          <w:rFonts w:ascii="Tahoma" w:hAnsi="Tahoma" w:cs="Tahoma"/>
          <w:sz w:val="20"/>
          <w:szCs w:val="20"/>
        </w:rPr>
        <w:t xml:space="preserve"> </w:t>
      </w:r>
      <w:r w:rsidRPr="0034765B">
        <w:rPr>
          <w:rFonts w:ascii="Tahoma" w:hAnsi="Tahoma" w:cs="Tahoma"/>
          <w:sz w:val="20"/>
          <w:szCs w:val="20"/>
        </w:rPr>
        <w:t xml:space="preserve"> τρίμηνο της χρήσης 202</w:t>
      </w:r>
      <w:r w:rsidR="00495E80">
        <w:rPr>
          <w:rFonts w:ascii="Tahoma" w:hAnsi="Tahoma" w:cs="Tahoma"/>
          <w:sz w:val="20"/>
          <w:szCs w:val="20"/>
        </w:rPr>
        <w:t>2</w:t>
      </w:r>
      <w:r w:rsidRPr="0034765B">
        <w:rPr>
          <w:rFonts w:ascii="Tahoma" w:hAnsi="Tahoma" w:cs="Tahoma"/>
          <w:sz w:val="20"/>
          <w:szCs w:val="20"/>
        </w:rPr>
        <w:t xml:space="preserve"> απεικονίζονται στους ακόλουθους πίνακες :</w:t>
      </w:r>
    </w:p>
    <w:p w:rsidR="00F276E2" w:rsidRPr="005367B9" w:rsidRDefault="00F276E2"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F276E2" w:rsidRPr="004E65E3" w:rsidRDefault="004E65E3" w:rsidP="0034765B">
      <w:pPr>
        <w:rPr>
          <w:rFonts w:ascii="Times New Roman" w:hAnsi="Times New Roman" w:cs="Times New Roman"/>
          <w:b/>
          <w:sz w:val="20"/>
          <w:szCs w:val="20"/>
          <w:u w:val="single"/>
        </w:rPr>
      </w:pPr>
      <w:r w:rsidRPr="004E65E3">
        <w:rPr>
          <w:rFonts w:ascii="Times New Roman" w:hAnsi="Times New Roman" w:cs="Times New Roman"/>
          <w:b/>
          <w:sz w:val="20"/>
          <w:szCs w:val="20"/>
          <w:u w:val="single"/>
        </w:rPr>
        <w:lastRenderedPageBreak/>
        <w:t>ΚΑΤΑΣΤΑΣΗ ΑΠΟΤΕΛΕΣΜΑΤΩΝ</w:t>
      </w:r>
    </w:p>
    <w:p w:rsidR="00F276E2" w:rsidRPr="0070744F" w:rsidRDefault="00F276E2" w:rsidP="0034765B">
      <w:pPr>
        <w:rPr>
          <w:sz w:val="20"/>
          <w:szCs w:val="20"/>
        </w:rPr>
      </w:pPr>
    </w:p>
    <w:p w:rsidR="00260C82" w:rsidRPr="008D30AC" w:rsidRDefault="008D30AC" w:rsidP="00E31135">
      <w:pPr>
        <w:spacing w:after="0" w:line="240" w:lineRule="auto"/>
        <w:rPr>
          <w:rFonts w:ascii="Tahoma" w:eastAsia="Times New Roman" w:hAnsi="Tahoma" w:cs="Tahoma"/>
          <w:b/>
          <w:bCs/>
          <w:sz w:val="18"/>
          <w:szCs w:val="18"/>
          <w:lang w:eastAsia="el-GR"/>
        </w:rPr>
      </w:pPr>
      <w:r w:rsidRPr="008D30AC">
        <w:rPr>
          <w:noProof/>
          <w:szCs w:val="18"/>
          <w:lang w:eastAsia="el-GR"/>
        </w:rPr>
        <w:drawing>
          <wp:inline distT="0" distB="0" distL="0" distR="0">
            <wp:extent cx="5263515" cy="522541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63515" cy="5225415"/>
                    </a:xfrm>
                    <a:prstGeom prst="rect">
                      <a:avLst/>
                    </a:prstGeom>
                    <a:noFill/>
                    <a:ln w="9525">
                      <a:noFill/>
                      <a:miter lim="800000"/>
                      <a:headEnd/>
                      <a:tailEnd/>
                    </a:ln>
                  </pic:spPr>
                </pic:pic>
              </a:graphicData>
            </a:graphic>
          </wp:inline>
        </w:drawing>
      </w: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260C82" w:rsidRPr="008D30AC" w:rsidRDefault="00260C82"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rFonts w:ascii="Tahoma" w:eastAsia="Times New Roman" w:hAnsi="Tahoma" w:cs="Tahoma"/>
          <w:b/>
          <w:bCs/>
          <w:sz w:val="18"/>
          <w:szCs w:val="18"/>
          <w:lang w:eastAsia="el-GR"/>
        </w:rPr>
      </w:pPr>
    </w:p>
    <w:p w:rsidR="004E65E3" w:rsidRDefault="004E65E3" w:rsidP="00E31135">
      <w:pPr>
        <w:spacing w:after="0" w:line="240" w:lineRule="auto"/>
        <w:rPr>
          <w:rFonts w:ascii="Tahoma" w:eastAsia="Times New Roman" w:hAnsi="Tahoma" w:cs="Tahoma"/>
          <w:b/>
          <w:bCs/>
          <w:sz w:val="18"/>
          <w:szCs w:val="18"/>
          <w:lang w:eastAsia="el-GR"/>
        </w:rPr>
      </w:pPr>
    </w:p>
    <w:p w:rsidR="004E65E3" w:rsidRPr="004E65E3" w:rsidRDefault="004E65E3" w:rsidP="004E65E3">
      <w:pPr>
        <w:rPr>
          <w:rFonts w:ascii="Times New Roman" w:hAnsi="Times New Roman" w:cs="Times New Roman"/>
          <w:b/>
          <w:sz w:val="20"/>
          <w:szCs w:val="20"/>
          <w:u w:val="single"/>
        </w:rPr>
      </w:pPr>
      <w:r w:rsidRPr="004E65E3">
        <w:rPr>
          <w:rFonts w:ascii="Times New Roman" w:hAnsi="Times New Roman" w:cs="Times New Roman"/>
          <w:b/>
          <w:sz w:val="20"/>
          <w:szCs w:val="20"/>
          <w:u w:val="single"/>
        </w:rPr>
        <w:lastRenderedPageBreak/>
        <w:t>ΚΑΤΑΣΤΑΣΗ  ΧΡΗΜΑΤΟΟΙΚΟΝΟΜΙΚΗΣ ΘΕΣΗΣ</w:t>
      </w:r>
    </w:p>
    <w:p w:rsidR="004E65E3" w:rsidRDefault="00F872D5" w:rsidP="00E31135">
      <w:pPr>
        <w:spacing w:after="0" w:line="240" w:lineRule="auto"/>
        <w:rPr>
          <w:noProof/>
          <w:szCs w:val="18"/>
          <w:lang w:val="en-US" w:eastAsia="el-GR"/>
        </w:rPr>
      </w:pPr>
      <w:r w:rsidRPr="00F872D5">
        <w:rPr>
          <w:noProof/>
          <w:szCs w:val="18"/>
          <w:lang w:eastAsia="el-GR"/>
        </w:rPr>
        <w:drawing>
          <wp:inline distT="0" distB="0" distL="0" distR="0">
            <wp:extent cx="5788025" cy="2280767"/>
            <wp:effectExtent l="19050" t="0" r="317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88025" cy="2280767"/>
                    </a:xfrm>
                    <a:prstGeom prst="rect">
                      <a:avLst/>
                    </a:prstGeom>
                    <a:noFill/>
                    <a:ln w="9525">
                      <a:noFill/>
                      <a:miter lim="800000"/>
                      <a:headEnd/>
                      <a:tailEnd/>
                    </a:ln>
                  </pic:spPr>
                </pic:pic>
              </a:graphicData>
            </a:graphic>
          </wp:inline>
        </w:drawing>
      </w:r>
    </w:p>
    <w:p w:rsidR="00F872D5" w:rsidRDefault="00F872D5" w:rsidP="00E31135">
      <w:pPr>
        <w:spacing w:after="0" w:line="240" w:lineRule="auto"/>
        <w:rPr>
          <w:noProof/>
          <w:szCs w:val="18"/>
          <w:lang w:val="en-US" w:eastAsia="el-GR"/>
        </w:rPr>
      </w:pPr>
    </w:p>
    <w:p w:rsidR="00F872D5" w:rsidRPr="00F872D5" w:rsidRDefault="00F872D5" w:rsidP="00E31135">
      <w:pPr>
        <w:spacing w:after="0" w:line="240" w:lineRule="auto"/>
        <w:rPr>
          <w:rFonts w:ascii="Tahoma" w:eastAsia="Times New Roman" w:hAnsi="Tahoma" w:cs="Tahoma"/>
          <w:b/>
          <w:bCs/>
          <w:sz w:val="18"/>
          <w:szCs w:val="18"/>
          <w:lang w:val="en-US" w:eastAsia="el-GR"/>
        </w:rPr>
      </w:pPr>
    </w:p>
    <w:p w:rsidR="004E65E3" w:rsidRDefault="004E65E3" w:rsidP="00E31135">
      <w:pPr>
        <w:spacing w:after="0" w:line="240" w:lineRule="auto"/>
        <w:rPr>
          <w:rFonts w:ascii="Tahoma" w:eastAsia="Times New Roman" w:hAnsi="Tahoma" w:cs="Tahoma"/>
          <w:b/>
          <w:bCs/>
          <w:sz w:val="18"/>
          <w:szCs w:val="18"/>
          <w:lang w:eastAsia="el-GR"/>
        </w:rPr>
      </w:pPr>
    </w:p>
    <w:p w:rsidR="007A0436" w:rsidRPr="008D30AC" w:rsidRDefault="007A0436" w:rsidP="00E31135">
      <w:pPr>
        <w:spacing w:after="0" w:line="240" w:lineRule="auto"/>
        <w:rPr>
          <w:noProof/>
          <w:szCs w:val="18"/>
          <w:lang w:eastAsia="el-GR"/>
        </w:rPr>
      </w:pPr>
    </w:p>
    <w:p w:rsidR="007A0436" w:rsidRPr="00D45528" w:rsidRDefault="00D45528" w:rsidP="00E31135">
      <w:pPr>
        <w:spacing w:after="0" w:line="240" w:lineRule="auto"/>
        <w:rPr>
          <w:rFonts w:ascii="Tahoma" w:hAnsi="Tahoma" w:cs="Tahoma"/>
          <w:color w:val="000000"/>
          <w:sz w:val="20"/>
          <w:szCs w:val="20"/>
        </w:rPr>
      </w:pPr>
      <w:r w:rsidRPr="00D45528">
        <w:rPr>
          <w:rFonts w:ascii="Tahoma" w:hAnsi="Tahoma" w:cs="Tahoma"/>
          <w:color w:val="000000"/>
          <w:sz w:val="20"/>
          <w:szCs w:val="20"/>
        </w:rPr>
        <w:t>Το σημαντικά αυξημένο κόστος που παρατηρείται στις</w:t>
      </w:r>
      <w:r w:rsidR="005509A3">
        <w:rPr>
          <w:rFonts w:ascii="Tahoma" w:hAnsi="Tahoma" w:cs="Tahoma"/>
          <w:color w:val="000000"/>
          <w:sz w:val="20"/>
          <w:szCs w:val="20"/>
        </w:rPr>
        <w:t xml:space="preserve"> </w:t>
      </w:r>
      <w:r w:rsidRPr="00D45528">
        <w:rPr>
          <w:rFonts w:ascii="Tahoma" w:hAnsi="Tahoma" w:cs="Tahoma"/>
          <w:color w:val="000000"/>
          <w:sz w:val="20"/>
          <w:szCs w:val="20"/>
        </w:rPr>
        <w:t xml:space="preserve"> διεθνείς</w:t>
      </w:r>
      <w:r w:rsidR="005509A3">
        <w:rPr>
          <w:rFonts w:ascii="Tahoma" w:hAnsi="Tahoma" w:cs="Tahoma"/>
          <w:color w:val="000000"/>
          <w:sz w:val="20"/>
          <w:szCs w:val="20"/>
        </w:rPr>
        <w:t xml:space="preserve"> </w:t>
      </w:r>
      <w:r w:rsidRPr="00D45528">
        <w:rPr>
          <w:rFonts w:ascii="Tahoma" w:hAnsi="Tahoma" w:cs="Tahoma"/>
          <w:color w:val="000000"/>
          <w:sz w:val="20"/>
          <w:szCs w:val="20"/>
        </w:rPr>
        <w:t xml:space="preserve"> αγορές , λόγω της </w:t>
      </w:r>
      <w:r w:rsidR="005509A3">
        <w:rPr>
          <w:rFonts w:ascii="Tahoma" w:hAnsi="Tahoma" w:cs="Tahoma"/>
          <w:color w:val="000000"/>
          <w:sz w:val="20"/>
          <w:szCs w:val="20"/>
        </w:rPr>
        <w:t xml:space="preserve"> </w:t>
      </w:r>
      <w:r w:rsidRPr="00D45528">
        <w:rPr>
          <w:rFonts w:ascii="Tahoma" w:hAnsi="Tahoma" w:cs="Tahoma"/>
          <w:color w:val="000000"/>
          <w:sz w:val="20"/>
          <w:szCs w:val="20"/>
        </w:rPr>
        <w:t>ενεργειακής</w:t>
      </w:r>
      <w:r w:rsidR="005509A3">
        <w:rPr>
          <w:rFonts w:ascii="Tahoma" w:hAnsi="Tahoma" w:cs="Tahoma"/>
          <w:color w:val="000000"/>
          <w:sz w:val="20"/>
          <w:szCs w:val="20"/>
        </w:rPr>
        <w:t xml:space="preserve"> </w:t>
      </w:r>
      <w:r w:rsidRPr="00D45528">
        <w:rPr>
          <w:rFonts w:ascii="Tahoma" w:hAnsi="Tahoma" w:cs="Tahoma"/>
          <w:color w:val="000000"/>
          <w:sz w:val="20"/>
          <w:szCs w:val="20"/>
        </w:rPr>
        <w:t xml:space="preserve"> κρίσης ,επιβάρυνε τα λειτουργικά έξοδα της Εταιρείας και έχει επειρεάσει επίσης και τον κύκλο εργασιών.</w:t>
      </w:r>
    </w:p>
    <w:p w:rsidR="004E65E3" w:rsidRDefault="004E65E3" w:rsidP="00E31135">
      <w:pPr>
        <w:spacing w:after="0" w:line="240" w:lineRule="auto"/>
        <w:rPr>
          <w:rFonts w:ascii="Tahoma" w:eastAsia="Times New Roman" w:hAnsi="Tahoma" w:cs="Tahoma"/>
          <w:b/>
          <w:bCs/>
          <w:sz w:val="18"/>
          <w:szCs w:val="18"/>
          <w:lang w:eastAsia="el-GR"/>
        </w:rPr>
      </w:pPr>
    </w:p>
    <w:p w:rsidR="0034765B" w:rsidRPr="00F055CA" w:rsidRDefault="0034765B" w:rsidP="0034765B">
      <w:pPr>
        <w:pStyle w:val="Default"/>
        <w:jc w:val="both"/>
        <w:rPr>
          <w:sz w:val="20"/>
          <w:szCs w:val="20"/>
        </w:rPr>
      </w:pPr>
      <w:r w:rsidRPr="00F055CA">
        <w:rPr>
          <w:sz w:val="20"/>
          <w:szCs w:val="20"/>
        </w:rPr>
        <w:t xml:space="preserve">Η Διοίκηση του Ομίλου με υψηλό αίσθημα ευθύνης απέναντι στους εργαζομένους, τους πελάτες, τους προμηθευτές, τους συνεργάτες και τους επενδυτές, παρακολουθεί στενά όλες τις εξελίξεις που σχετίζονται με </w:t>
      </w:r>
      <w:r w:rsidR="00F055CA" w:rsidRPr="00F055CA">
        <w:rPr>
          <w:sz w:val="20"/>
          <w:szCs w:val="20"/>
        </w:rPr>
        <w:t>τις επιπτώσεις της ενεργειακής κρίσης και προσπαθεί με κάθε τρόπο να ανταπεξέλθει με όσο το δυνατόν λιγότερες απώλειες.</w:t>
      </w:r>
      <w:r w:rsidR="00D45528">
        <w:rPr>
          <w:sz w:val="20"/>
          <w:szCs w:val="20"/>
        </w:rPr>
        <w:t xml:space="preserve"> Παρακολουθεί στενά και αξιολογεί την κατάσταση προκειμένου να λάβει τα απαραίτητα μέτρα και να  αναπροσαρμόσει </w:t>
      </w:r>
      <w:r w:rsidR="0067545F">
        <w:rPr>
          <w:sz w:val="20"/>
          <w:szCs w:val="20"/>
        </w:rPr>
        <w:t>τα επιχειρηματικά της σχέδια ( αν αυτό απαιτηθεί ) με στόχο την διασφάλιση της επιχειρηματικής συνέχειας και τον περιορισμό τυχόν αρνητικών επιπτώσεων.</w:t>
      </w:r>
    </w:p>
    <w:p w:rsidR="00260C82" w:rsidRPr="00495E80" w:rsidRDefault="00260C82" w:rsidP="0034765B">
      <w:pPr>
        <w:pStyle w:val="Default"/>
        <w:jc w:val="both"/>
        <w:rPr>
          <w:sz w:val="20"/>
          <w:szCs w:val="20"/>
          <w:highlight w:val="yellow"/>
        </w:rPr>
      </w:pPr>
    </w:p>
    <w:p w:rsidR="0034765B" w:rsidRPr="00F055CA" w:rsidRDefault="0034765B" w:rsidP="0034765B">
      <w:pPr>
        <w:pStyle w:val="Default"/>
        <w:jc w:val="both"/>
        <w:rPr>
          <w:sz w:val="20"/>
          <w:szCs w:val="20"/>
        </w:rPr>
      </w:pPr>
      <w:r w:rsidRPr="00F055CA">
        <w:rPr>
          <w:sz w:val="20"/>
          <w:szCs w:val="20"/>
        </w:rPr>
        <w:t xml:space="preserve">Επιπρόσθετα μελετά σε συστηματική βάση όλους τους πιθανούς παράγοντες κινδύνου, οι οποίοι ενδέχεται να επηρεάσουν τη χρηματοοικονομική θέση, τις δραστηριότητες και τα αποτελέσματα του Ομίλου και έχει λάβει όλα τα ενδεδειγμένα μέτρα για την εξασφάλιση της ακώλυτης λειτουργίας και απρόσκοπτης επιχειρησιακής συνέχειας του Ομίλου. </w:t>
      </w:r>
    </w:p>
    <w:sectPr w:rsidR="0034765B" w:rsidRPr="00F055CA" w:rsidSect="005F7B66">
      <w:pgSz w:w="11906" w:h="16838"/>
      <w:pgMar w:top="1440" w:right="991"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rsids>
    <w:rsidRoot w:val="0034765B"/>
    <w:rsid w:val="00001425"/>
    <w:rsid w:val="000B22B6"/>
    <w:rsid w:val="000F7FD5"/>
    <w:rsid w:val="00123BC0"/>
    <w:rsid w:val="0015797E"/>
    <w:rsid w:val="00175E8B"/>
    <w:rsid w:val="00184E99"/>
    <w:rsid w:val="001A7FDC"/>
    <w:rsid w:val="002302FD"/>
    <w:rsid w:val="00254DCA"/>
    <w:rsid w:val="00260C82"/>
    <w:rsid w:val="002E572A"/>
    <w:rsid w:val="002F124C"/>
    <w:rsid w:val="0034765B"/>
    <w:rsid w:val="00370A93"/>
    <w:rsid w:val="003B4ECE"/>
    <w:rsid w:val="003B543D"/>
    <w:rsid w:val="00415AA8"/>
    <w:rsid w:val="00424E0C"/>
    <w:rsid w:val="00467485"/>
    <w:rsid w:val="00495E80"/>
    <w:rsid w:val="004A0EA2"/>
    <w:rsid w:val="004C4A4C"/>
    <w:rsid w:val="004E65E3"/>
    <w:rsid w:val="005367B9"/>
    <w:rsid w:val="005509A3"/>
    <w:rsid w:val="005F7B66"/>
    <w:rsid w:val="00671F2E"/>
    <w:rsid w:val="0067545F"/>
    <w:rsid w:val="006F00DE"/>
    <w:rsid w:val="0070744F"/>
    <w:rsid w:val="007911ED"/>
    <w:rsid w:val="007A0436"/>
    <w:rsid w:val="008217CC"/>
    <w:rsid w:val="0083557A"/>
    <w:rsid w:val="008D30AC"/>
    <w:rsid w:val="008F2127"/>
    <w:rsid w:val="009A08E9"/>
    <w:rsid w:val="009A7B80"/>
    <w:rsid w:val="009B05E8"/>
    <w:rsid w:val="00A25F53"/>
    <w:rsid w:val="00AB15C8"/>
    <w:rsid w:val="00AB4943"/>
    <w:rsid w:val="00B35EB5"/>
    <w:rsid w:val="00BC723E"/>
    <w:rsid w:val="00BE37C4"/>
    <w:rsid w:val="00BF4A97"/>
    <w:rsid w:val="00C542FF"/>
    <w:rsid w:val="00CC233C"/>
    <w:rsid w:val="00CD5E1F"/>
    <w:rsid w:val="00CE6040"/>
    <w:rsid w:val="00CF2CE6"/>
    <w:rsid w:val="00D3094B"/>
    <w:rsid w:val="00D45528"/>
    <w:rsid w:val="00D72C3C"/>
    <w:rsid w:val="00DD32DC"/>
    <w:rsid w:val="00E07442"/>
    <w:rsid w:val="00E21939"/>
    <w:rsid w:val="00E31135"/>
    <w:rsid w:val="00EC0319"/>
    <w:rsid w:val="00F055CA"/>
    <w:rsid w:val="00F276E2"/>
    <w:rsid w:val="00F413BF"/>
    <w:rsid w:val="00F872D5"/>
    <w:rsid w:val="00FB7D54"/>
    <w:rsid w:val="00FC2E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765B"/>
    <w:pPr>
      <w:autoSpaceDE w:val="0"/>
      <w:autoSpaceDN w:val="0"/>
      <w:adjustRightInd w:val="0"/>
      <w:spacing w:after="0" w:line="240" w:lineRule="auto"/>
    </w:pPr>
    <w:rPr>
      <w:rFonts w:ascii="Tahoma" w:hAnsi="Tahoma" w:cs="Tahoma"/>
      <w:color w:val="000000"/>
      <w:sz w:val="24"/>
      <w:szCs w:val="24"/>
    </w:rPr>
  </w:style>
  <w:style w:type="paragraph" w:styleId="a3">
    <w:name w:val="Balloon Text"/>
    <w:basedOn w:val="a"/>
    <w:link w:val="Char"/>
    <w:uiPriority w:val="99"/>
    <w:semiHidden/>
    <w:unhideWhenUsed/>
    <w:rsid w:val="00FB7D5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B7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663444">
      <w:bodyDiv w:val="1"/>
      <w:marLeft w:val="0"/>
      <w:marRight w:val="0"/>
      <w:marTop w:val="0"/>
      <w:marBottom w:val="0"/>
      <w:divBdr>
        <w:top w:val="none" w:sz="0" w:space="0" w:color="auto"/>
        <w:left w:val="none" w:sz="0" w:space="0" w:color="auto"/>
        <w:bottom w:val="none" w:sz="0" w:space="0" w:color="auto"/>
        <w:right w:val="none" w:sz="0" w:space="0" w:color="auto"/>
      </w:divBdr>
    </w:div>
    <w:div w:id="642201993">
      <w:bodyDiv w:val="1"/>
      <w:marLeft w:val="0"/>
      <w:marRight w:val="0"/>
      <w:marTop w:val="0"/>
      <w:marBottom w:val="0"/>
      <w:divBdr>
        <w:top w:val="none" w:sz="0" w:space="0" w:color="auto"/>
        <w:left w:val="none" w:sz="0" w:space="0" w:color="auto"/>
        <w:bottom w:val="none" w:sz="0" w:space="0" w:color="auto"/>
        <w:right w:val="none" w:sz="0" w:space="0" w:color="auto"/>
      </w:divBdr>
    </w:div>
    <w:div w:id="920407577">
      <w:bodyDiv w:val="1"/>
      <w:marLeft w:val="0"/>
      <w:marRight w:val="0"/>
      <w:marTop w:val="0"/>
      <w:marBottom w:val="0"/>
      <w:divBdr>
        <w:top w:val="none" w:sz="0" w:space="0" w:color="auto"/>
        <w:left w:val="none" w:sz="0" w:space="0" w:color="auto"/>
        <w:bottom w:val="none" w:sz="0" w:space="0" w:color="auto"/>
        <w:right w:val="none" w:sz="0" w:space="0" w:color="auto"/>
      </w:divBdr>
    </w:div>
    <w:div w:id="1050226809">
      <w:bodyDiv w:val="1"/>
      <w:marLeft w:val="0"/>
      <w:marRight w:val="0"/>
      <w:marTop w:val="0"/>
      <w:marBottom w:val="0"/>
      <w:divBdr>
        <w:top w:val="none" w:sz="0" w:space="0" w:color="auto"/>
        <w:left w:val="none" w:sz="0" w:space="0" w:color="auto"/>
        <w:bottom w:val="none" w:sz="0" w:space="0" w:color="auto"/>
        <w:right w:val="none" w:sz="0" w:space="0" w:color="auto"/>
      </w:divBdr>
    </w:div>
    <w:div w:id="1060059289">
      <w:bodyDiv w:val="1"/>
      <w:marLeft w:val="0"/>
      <w:marRight w:val="0"/>
      <w:marTop w:val="0"/>
      <w:marBottom w:val="0"/>
      <w:divBdr>
        <w:top w:val="none" w:sz="0" w:space="0" w:color="auto"/>
        <w:left w:val="none" w:sz="0" w:space="0" w:color="auto"/>
        <w:bottom w:val="none" w:sz="0" w:space="0" w:color="auto"/>
        <w:right w:val="none" w:sz="0" w:space="0" w:color="auto"/>
      </w:divBdr>
    </w:div>
    <w:div w:id="1309167643">
      <w:bodyDiv w:val="1"/>
      <w:marLeft w:val="0"/>
      <w:marRight w:val="0"/>
      <w:marTop w:val="0"/>
      <w:marBottom w:val="0"/>
      <w:divBdr>
        <w:top w:val="none" w:sz="0" w:space="0" w:color="auto"/>
        <w:left w:val="none" w:sz="0" w:space="0" w:color="auto"/>
        <w:bottom w:val="none" w:sz="0" w:space="0" w:color="auto"/>
        <w:right w:val="none" w:sz="0" w:space="0" w:color="auto"/>
      </w:divBdr>
    </w:div>
    <w:div w:id="1475878960">
      <w:bodyDiv w:val="1"/>
      <w:marLeft w:val="0"/>
      <w:marRight w:val="0"/>
      <w:marTop w:val="0"/>
      <w:marBottom w:val="0"/>
      <w:divBdr>
        <w:top w:val="none" w:sz="0" w:space="0" w:color="auto"/>
        <w:left w:val="none" w:sz="0" w:space="0" w:color="auto"/>
        <w:bottom w:val="none" w:sz="0" w:space="0" w:color="auto"/>
        <w:right w:val="none" w:sz="0" w:space="0" w:color="auto"/>
      </w:divBdr>
    </w:div>
    <w:div w:id="1539588329">
      <w:bodyDiv w:val="1"/>
      <w:marLeft w:val="0"/>
      <w:marRight w:val="0"/>
      <w:marTop w:val="0"/>
      <w:marBottom w:val="0"/>
      <w:divBdr>
        <w:top w:val="none" w:sz="0" w:space="0" w:color="auto"/>
        <w:left w:val="none" w:sz="0" w:space="0" w:color="auto"/>
        <w:bottom w:val="none" w:sz="0" w:space="0" w:color="auto"/>
        <w:right w:val="none" w:sz="0" w:space="0" w:color="auto"/>
      </w:divBdr>
    </w:div>
    <w:div w:id="1557860113">
      <w:bodyDiv w:val="1"/>
      <w:marLeft w:val="0"/>
      <w:marRight w:val="0"/>
      <w:marTop w:val="0"/>
      <w:marBottom w:val="0"/>
      <w:divBdr>
        <w:top w:val="none" w:sz="0" w:space="0" w:color="auto"/>
        <w:left w:val="none" w:sz="0" w:space="0" w:color="auto"/>
        <w:bottom w:val="none" w:sz="0" w:space="0" w:color="auto"/>
        <w:right w:val="none" w:sz="0" w:space="0" w:color="auto"/>
      </w:divBdr>
    </w:div>
    <w:div w:id="17986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560</Words>
  <Characters>3024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NikMak</dc:creator>
  <cp:lastModifiedBy>Account-02</cp:lastModifiedBy>
  <cp:revision>21</cp:revision>
  <cp:lastPrinted>2022-12-02T07:14:00Z</cp:lastPrinted>
  <dcterms:created xsi:type="dcterms:W3CDTF">2022-12-01T12:05:00Z</dcterms:created>
  <dcterms:modified xsi:type="dcterms:W3CDTF">2022-12-02T12:53:00Z</dcterms:modified>
</cp:coreProperties>
</file>