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79967" w14:textId="2136F3EF" w:rsidR="00CC5C53" w:rsidRDefault="00CC5C53" w:rsidP="00CC5C53">
      <w:pPr>
        <w:contextualSpacing/>
        <w:jc w:val="both"/>
        <w:rPr>
          <w:rFonts w:asciiTheme="minorHAnsi" w:hAnsiTheme="minorHAnsi" w:cstheme="minorHAnsi"/>
          <w:sz w:val="20"/>
          <w:szCs w:val="20"/>
        </w:rPr>
      </w:pPr>
    </w:p>
    <w:p w14:paraId="5438CA66" w14:textId="21B99C33" w:rsidR="003118F3" w:rsidRDefault="003118F3" w:rsidP="00CC5C53">
      <w:pPr>
        <w:contextualSpacing/>
        <w:jc w:val="both"/>
        <w:rPr>
          <w:rFonts w:asciiTheme="minorHAnsi" w:hAnsiTheme="minorHAnsi" w:cstheme="minorHAnsi"/>
          <w:sz w:val="20"/>
          <w:szCs w:val="20"/>
        </w:rPr>
      </w:pPr>
    </w:p>
    <w:p w14:paraId="68AA0EA4" w14:textId="5F0099AB" w:rsidR="003118F3" w:rsidRDefault="003118F3" w:rsidP="00CC5C53">
      <w:pPr>
        <w:contextualSpacing/>
        <w:jc w:val="both"/>
        <w:rPr>
          <w:rFonts w:asciiTheme="minorHAnsi" w:hAnsiTheme="minorHAnsi" w:cstheme="minorHAnsi"/>
          <w:sz w:val="20"/>
          <w:szCs w:val="20"/>
        </w:rPr>
      </w:pPr>
      <w:bookmarkStart w:id="0" w:name="_GoBack"/>
    </w:p>
    <w:p w14:paraId="35142B22" w14:textId="39894F87" w:rsidR="003118F3" w:rsidRPr="00B214C6" w:rsidRDefault="003118F3" w:rsidP="003118F3">
      <w:pPr>
        <w:contextualSpacing/>
        <w:jc w:val="center"/>
        <w:rPr>
          <w:rFonts w:asciiTheme="minorHAnsi" w:hAnsiTheme="minorHAnsi" w:cstheme="minorHAnsi"/>
          <w:b/>
          <w:bCs/>
          <w:sz w:val="28"/>
          <w:szCs w:val="28"/>
        </w:rPr>
      </w:pPr>
      <w:r w:rsidRPr="00B214C6">
        <w:rPr>
          <w:rFonts w:asciiTheme="minorHAnsi" w:hAnsiTheme="minorHAnsi" w:cstheme="minorHAnsi"/>
          <w:b/>
          <w:bCs/>
          <w:sz w:val="28"/>
          <w:szCs w:val="28"/>
        </w:rPr>
        <w:t>ΔΕΛΤΙΟ ΤΥΠΟΥ</w:t>
      </w:r>
    </w:p>
    <w:p w14:paraId="0C0B2CDA" w14:textId="77777777" w:rsidR="003118F3" w:rsidRDefault="003118F3" w:rsidP="003118F3">
      <w:pPr>
        <w:contextualSpacing/>
        <w:jc w:val="center"/>
        <w:rPr>
          <w:rFonts w:asciiTheme="minorHAnsi" w:hAnsiTheme="minorHAnsi" w:cstheme="minorHAnsi"/>
          <w:sz w:val="20"/>
          <w:szCs w:val="20"/>
        </w:rPr>
      </w:pPr>
    </w:p>
    <w:p w14:paraId="4007FC73" w14:textId="467966C7" w:rsidR="003118F3" w:rsidRDefault="003118F3" w:rsidP="003118F3">
      <w:pPr>
        <w:spacing w:line="360" w:lineRule="auto"/>
        <w:contextualSpacing/>
        <w:jc w:val="center"/>
        <w:rPr>
          <w:rFonts w:asciiTheme="minorHAnsi" w:hAnsiTheme="minorHAnsi" w:cstheme="minorHAnsi"/>
        </w:rPr>
      </w:pPr>
      <w:r>
        <w:rPr>
          <w:rFonts w:asciiTheme="minorHAnsi" w:hAnsiTheme="minorHAnsi" w:cstheme="minorHAnsi"/>
        </w:rPr>
        <w:t>ΟΙΚΟΝΟΜΙΚΑ ΑΠΟΤΕΛΕΣΜΑΤΑ Α΄ ΕΞΑΜΗΝΟΥ 2022</w:t>
      </w:r>
    </w:p>
    <w:p w14:paraId="73F9EA52" w14:textId="77777777" w:rsidR="003118F3" w:rsidRDefault="003118F3" w:rsidP="003118F3">
      <w:pPr>
        <w:contextualSpacing/>
        <w:jc w:val="center"/>
        <w:rPr>
          <w:rFonts w:asciiTheme="minorHAnsi" w:hAnsiTheme="minorHAnsi" w:cstheme="minorHAnsi"/>
          <w:sz w:val="20"/>
          <w:szCs w:val="20"/>
        </w:rPr>
      </w:pPr>
    </w:p>
    <w:p w14:paraId="218F6087" w14:textId="52205D56" w:rsidR="00B214C6" w:rsidRDefault="001001B9" w:rsidP="00CC5C53">
      <w:pPr>
        <w:contextualSpacing/>
        <w:jc w:val="both"/>
        <w:rPr>
          <w:rStyle w:val="jlqj4b"/>
          <w:rFonts w:asciiTheme="minorHAnsi" w:hAnsiTheme="minorHAnsi" w:cstheme="minorHAnsi"/>
          <w:sz w:val="20"/>
          <w:szCs w:val="20"/>
        </w:rPr>
      </w:pPr>
      <w:r>
        <w:rPr>
          <w:rStyle w:val="jlqj4b"/>
          <w:rFonts w:asciiTheme="minorHAnsi" w:hAnsiTheme="minorHAnsi" w:cstheme="minorHAnsi"/>
          <w:b/>
          <w:bCs/>
          <w:sz w:val="20"/>
          <w:szCs w:val="20"/>
        </w:rPr>
        <w:t>Αύξηση του κύκλου εργασιών</w:t>
      </w:r>
      <w:r w:rsidR="00B214C6" w:rsidRPr="00F645AF">
        <w:rPr>
          <w:rStyle w:val="jlqj4b"/>
          <w:rFonts w:asciiTheme="minorHAnsi" w:hAnsiTheme="minorHAnsi" w:cstheme="minorHAnsi"/>
          <w:b/>
          <w:bCs/>
          <w:sz w:val="20"/>
          <w:szCs w:val="20"/>
        </w:rPr>
        <w:t xml:space="preserve"> και σημαντική κερδοφορία</w:t>
      </w:r>
      <w:r w:rsidR="00B214C6" w:rsidRPr="003A1517">
        <w:rPr>
          <w:rStyle w:val="jlqj4b"/>
          <w:rFonts w:asciiTheme="minorHAnsi" w:hAnsiTheme="minorHAnsi" w:cstheme="minorHAnsi"/>
          <w:sz w:val="20"/>
          <w:szCs w:val="20"/>
        </w:rPr>
        <w:t xml:space="preserve"> </w:t>
      </w:r>
      <w:r w:rsidR="00840E64" w:rsidRPr="003A1517">
        <w:rPr>
          <w:rStyle w:val="jlqj4b"/>
          <w:rFonts w:asciiTheme="minorHAnsi" w:hAnsiTheme="minorHAnsi" w:cstheme="minorHAnsi"/>
          <w:sz w:val="20"/>
          <w:szCs w:val="20"/>
        </w:rPr>
        <w:t xml:space="preserve">κατέγραψε κατά το πρώτο εξάμηνο του τρέχοντος έτους η </w:t>
      </w:r>
      <w:r w:rsidR="00840E64" w:rsidRPr="00F645AF">
        <w:rPr>
          <w:rStyle w:val="jlqj4b"/>
          <w:rFonts w:asciiTheme="minorHAnsi" w:hAnsiTheme="minorHAnsi" w:cstheme="minorHAnsi"/>
          <w:sz w:val="20"/>
          <w:szCs w:val="20"/>
        </w:rPr>
        <w:t xml:space="preserve">ΣΙΔΜΑ ΜΕΤΑΛΛΟΥΡΓΙΚΗ </w:t>
      </w:r>
      <w:r w:rsidR="00F645AF" w:rsidRPr="00F645AF">
        <w:rPr>
          <w:rStyle w:val="jlqj4b"/>
          <w:rFonts w:asciiTheme="minorHAnsi" w:hAnsiTheme="minorHAnsi" w:cstheme="minorHAnsi"/>
          <w:sz w:val="20"/>
          <w:szCs w:val="20"/>
        </w:rPr>
        <w:t>Α.Ε.,</w:t>
      </w:r>
      <w:r w:rsidR="00F645AF">
        <w:rPr>
          <w:rStyle w:val="jlqj4b"/>
          <w:rFonts w:asciiTheme="minorHAnsi" w:hAnsiTheme="minorHAnsi" w:cstheme="minorHAnsi"/>
          <w:sz w:val="20"/>
          <w:szCs w:val="20"/>
        </w:rPr>
        <w:t xml:space="preserve"> </w:t>
      </w:r>
      <w:r w:rsidR="00840E64" w:rsidRPr="003A1517">
        <w:rPr>
          <w:rStyle w:val="jlqj4b"/>
          <w:rFonts w:asciiTheme="minorHAnsi" w:hAnsiTheme="minorHAnsi" w:cstheme="minorHAnsi"/>
          <w:sz w:val="20"/>
          <w:szCs w:val="20"/>
        </w:rPr>
        <w:t>σε επίπεδο τόσο Ομίλου όσο και Εταιρείας.</w:t>
      </w:r>
    </w:p>
    <w:p w14:paraId="1D82D3F3" w14:textId="3F09D337" w:rsidR="0046017B" w:rsidRDefault="0046017B" w:rsidP="00CC5C53">
      <w:pPr>
        <w:contextualSpacing/>
        <w:jc w:val="both"/>
        <w:rPr>
          <w:rStyle w:val="jlqj4b"/>
          <w:rFonts w:asciiTheme="minorHAnsi" w:hAnsiTheme="minorHAnsi" w:cstheme="minorHAnsi"/>
          <w:sz w:val="20"/>
          <w:szCs w:val="20"/>
        </w:rPr>
      </w:pPr>
    </w:p>
    <w:p w14:paraId="61C3BCFD" w14:textId="48FEB749" w:rsidR="00F645AF" w:rsidRPr="003A1517" w:rsidRDefault="00F645AF" w:rsidP="00F645AF">
      <w:pPr>
        <w:contextualSpacing/>
        <w:jc w:val="both"/>
        <w:rPr>
          <w:rFonts w:asciiTheme="minorHAnsi" w:hAnsiTheme="minorHAnsi" w:cstheme="minorHAnsi"/>
          <w:sz w:val="20"/>
          <w:szCs w:val="20"/>
        </w:rPr>
      </w:pPr>
      <w:r w:rsidRPr="003A1517">
        <w:rPr>
          <w:rStyle w:val="jlqj4b"/>
          <w:rFonts w:asciiTheme="minorHAnsi" w:hAnsiTheme="minorHAnsi" w:cstheme="minorHAnsi"/>
          <w:sz w:val="20"/>
          <w:szCs w:val="20"/>
        </w:rPr>
        <w:t xml:space="preserve">Αναλυτικότερα, </w:t>
      </w:r>
      <w:r w:rsidRPr="003A1517">
        <w:rPr>
          <w:rFonts w:asciiTheme="minorHAnsi" w:hAnsiTheme="minorHAnsi" w:cstheme="minorHAnsi"/>
          <w:sz w:val="20"/>
          <w:szCs w:val="20"/>
        </w:rPr>
        <w:t xml:space="preserve">ο ενοποιημένος κύκλος εργασιών του </w:t>
      </w:r>
      <w:r w:rsidRPr="003A1517">
        <w:rPr>
          <w:rFonts w:asciiTheme="minorHAnsi" w:hAnsiTheme="minorHAnsi" w:cstheme="minorHAnsi"/>
          <w:b/>
          <w:sz w:val="20"/>
          <w:szCs w:val="20"/>
        </w:rPr>
        <w:t xml:space="preserve">Ομίλου ΣΙΔΜΑ </w:t>
      </w:r>
      <w:r w:rsidRPr="003A1517">
        <w:rPr>
          <w:rStyle w:val="jlqj4b"/>
          <w:rFonts w:asciiTheme="minorHAnsi" w:hAnsiTheme="minorHAnsi" w:cstheme="minorHAnsi"/>
          <w:b/>
          <w:bCs/>
          <w:sz w:val="20"/>
          <w:szCs w:val="20"/>
        </w:rPr>
        <w:t>ΜΕΤΑΛΛΟΥΡΓΙΚΗ</w:t>
      </w:r>
      <w:r w:rsidRPr="003A1517">
        <w:rPr>
          <w:rFonts w:asciiTheme="minorHAnsi" w:hAnsiTheme="minorHAnsi" w:cstheme="minorHAnsi"/>
          <w:b/>
          <w:sz w:val="20"/>
          <w:szCs w:val="20"/>
        </w:rPr>
        <w:t>,</w:t>
      </w:r>
      <w:r w:rsidRPr="003A1517">
        <w:rPr>
          <w:rFonts w:asciiTheme="minorHAnsi" w:hAnsiTheme="minorHAnsi" w:cstheme="minorHAnsi"/>
          <w:sz w:val="20"/>
          <w:szCs w:val="20"/>
        </w:rPr>
        <w:t xml:space="preserve"> το πρώτο εξάμηνο του έτους, διαμορφώθηκε στα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145,7 εκ. ή 36,9% υψηλότερα σε σχέση με την αντίστοιχη περίοδο του 2021, ενώ μαζί με τις πωλήσεις αντιπροσωπείας διαμορφώθηκε στα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173,0 εκ. από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1</w:t>
      </w:r>
      <w:r w:rsidR="001001B9">
        <w:rPr>
          <w:rFonts w:asciiTheme="minorHAnsi" w:hAnsiTheme="minorHAnsi" w:cstheme="minorHAnsi"/>
          <w:sz w:val="20"/>
          <w:szCs w:val="20"/>
        </w:rPr>
        <w:t>30</w:t>
      </w:r>
      <w:r w:rsidRPr="003A1517">
        <w:rPr>
          <w:rFonts w:asciiTheme="minorHAnsi" w:hAnsiTheme="minorHAnsi" w:cstheme="minorHAnsi"/>
          <w:sz w:val="20"/>
          <w:szCs w:val="20"/>
        </w:rPr>
        <w:t>,</w:t>
      </w:r>
      <w:r w:rsidR="001001B9">
        <w:rPr>
          <w:rFonts w:asciiTheme="minorHAnsi" w:hAnsiTheme="minorHAnsi" w:cstheme="minorHAnsi"/>
          <w:sz w:val="20"/>
          <w:szCs w:val="20"/>
        </w:rPr>
        <w:t>3</w:t>
      </w:r>
      <w:r w:rsidRPr="003A1517">
        <w:rPr>
          <w:rFonts w:asciiTheme="minorHAnsi" w:hAnsiTheme="minorHAnsi" w:cstheme="minorHAnsi"/>
          <w:sz w:val="20"/>
          <w:szCs w:val="20"/>
        </w:rPr>
        <w:t xml:space="preserve"> εκ., αυξημένος κατά 32,8% σε σχέση με πέρυσι.  Οι παραπάνω αυξήσεις οφείλονται κυρίως στη μέση τιμή πώλησης, καθώς αυτή παρουσίασε αύξηση σε σχέση με το περυσινό εξάμηνο κατά 32,7%, αυξάνοντας αντίστοιχα και τον κύκλο εργασιών. Τα κέρδη προ φόρων, τόκων και</w:t>
      </w:r>
      <w:r w:rsidR="00673FCB">
        <w:rPr>
          <w:rFonts w:asciiTheme="minorHAnsi" w:hAnsiTheme="minorHAnsi" w:cstheme="minorHAnsi"/>
          <w:sz w:val="20"/>
          <w:szCs w:val="20"/>
        </w:rPr>
        <w:t xml:space="preserve"> αποσβέσεων (EBITDA) ανήλθαν σε</w:t>
      </w:r>
      <w:r w:rsidRPr="003A1517">
        <w:rPr>
          <w:rFonts w:asciiTheme="minorHAnsi" w:hAnsiTheme="minorHAnsi" w:cstheme="minorHAnsi"/>
          <w:sz w:val="20"/>
          <w:szCs w:val="20"/>
        </w:rPr>
        <w:t xml:space="preserve"> </w:t>
      </w:r>
      <w:r w:rsidR="00673FCB">
        <w:rPr>
          <w:rFonts w:asciiTheme="minorHAnsi" w:hAnsiTheme="minorHAnsi" w:cstheme="minorHAnsi"/>
          <w:sz w:val="20"/>
          <w:szCs w:val="20"/>
        </w:rPr>
        <w:t>ευρώ</w:t>
      </w:r>
      <w:r w:rsidR="005B3DC0" w:rsidRPr="00AA7FD2">
        <w:rPr>
          <w:rFonts w:asciiTheme="minorHAnsi" w:hAnsiTheme="minorHAnsi" w:cstheme="minorHAnsi"/>
          <w:sz w:val="20"/>
          <w:szCs w:val="20"/>
        </w:rPr>
        <w:t xml:space="preserve"> 16.</w:t>
      </w:r>
      <w:r w:rsidR="005B3DC0" w:rsidRPr="00787003">
        <w:rPr>
          <w:rFonts w:asciiTheme="minorHAnsi" w:hAnsiTheme="minorHAnsi" w:cstheme="minorHAnsi"/>
          <w:sz w:val="20"/>
          <w:szCs w:val="20"/>
        </w:rPr>
        <w:t>475</w:t>
      </w:r>
      <w:r w:rsidR="005B3DC0" w:rsidRPr="00AA7FD2">
        <w:rPr>
          <w:rFonts w:asciiTheme="minorHAnsi" w:hAnsiTheme="minorHAnsi" w:cstheme="minorHAnsi"/>
          <w:sz w:val="20"/>
          <w:szCs w:val="20"/>
        </w:rPr>
        <w:t xml:space="preserve"> χιλ. από </w:t>
      </w:r>
      <w:r w:rsidR="00673FCB">
        <w:rPr>
          <w:rFonts w:asciiTheme="minorHAnsi" w:hAnsiTheme="minorHAnsi" w:cstheme="minorHAnsi"/>
          <w:sz w:val="20"/>
          <w:szCs w:val="20"/>
        </w:rPr>
        <w:t>ευρώ</w:t>
      </w:r>
      <w:r w:rsidR="005B3DC0" w:rsidRPr="00AA7FD2">
        <w:rPr>
          <w:rFonts w:asciiTheme="minorHAnsi" w:hAnsiTheme="minorHAnsi" w:cstheme="minorHAnsi"/>
          <w:sz w:val="20"/>
          <w:szCs w:val="20"/>
        </w:rPr>
        <w:t xml:space="preserve"> 19.</w:t>
      </w:r>
      <w:r w:rsidR="005B3DC0" w:rsidRPr="00787003">
        <w:rPr>
          <w:rFonts w:asciiTheme="minorHAnsi" w:hAnsiTheme="minorHAnsi" w:cstheme="minorHAnsi"/>
          <w:sz w:val="20"/>
          <w:szCs w:val="20"/>
        </w:rPr>
        <w:t>127</w:t>
      </w:r>
      <w:r w:rsidR="005B3DC0" w:rsidRPr="00AA7FD2">
        <w:rPr>
          <w:rFonts w:asciiTheme="minorHAnsi" w:hAnsiTheme="minorHAnsi" w:cstheme="minorHAnsi"/>
          <w:sz w:val="20"/>
          <w:szCs w:val="20"/>
        </w:rPr>
        <w:t xml:space="preserve"> χιλ. </w:t>
      </w:r>
      <w:r w:rsidRPr="003A1517">
        <w:rPr>
          <w:rFonts w:asciiTheme="minorHAnsi" w:hAnsiTheme="minorHAnsi" w:cstheme="minorHAnsi"/>
          <w:sz w:val="20"/>
          <w:szCs w:val="20"/>
        </w:rPr>
        <w:t xml:space="preserve">πέρυσι, ενώ τα κέρδη προ φόρων ανήλθαν σε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13.986 χιλ. από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28.290 χιλ. την αντίστοιχη περυσινή περίοδο. Η διαφορά στα αποτελέσματα προ φόρων οφείλεται κατά κύριο λόγο στη λογιστική αντιμετώπιση της  </w:t>
      </w:r>
      <w:proofErr w:type="spellStart"/>
      <w:r w:rsidRPr="003A1517">
        <w:rPr>
          <w:rFonts w:asciiTheme="minorHAnsi" w:hAnsiTheme="minorHAnsi" w:cstheme="minorHAnsi"/>
          <w:sz w:val="20"/>
          <w:szCs w:val="20"/>
        </w:rPr>
        <w:t>αναχρηματοδότησης</w:t>
      </w:r>
      <w:proofErr w:type="spellEnd"/>
      <w:r w:rsidRPr="003A1517">
        <w:rPr>
          <w:rFonts w:asciiTheme="minorHAnsi" w:hAnsiTheme="minorHAnsi" w:cstheme="minorHAnsi"/>
          <w:sz w:val="20"/>
          <w:szCs w:val="20"/>
        </w:rPr>
        <w:t xml:space="preserve"> των δανειακών υποχρεώσεων της Εταιρείας την αντίστοιχη περυσινή περίοδο, που συνίστατο στην απεικόνιση των  </w:t>
      </w:r>
      <w:r w:rsidRPr="003A1517">
        <w:rPr>
          <w:rFonts w:asciiTheme="minorHAnsi" w:hAnsiTheme="minorHAnsi" w:cstheme="minorHAnsi"/>
          <w:color w:val="000000" w:themeColor="text1"/>
          <w:sz w:val="20"/>
          <w:szCs w:val="20"/>
        </w:rPr>
        <w:t xml:space="preserve">δανειακών υποχρεώσεων της εταιρείας στην εύλογη αξία τους, με αποτέλεσμα την αύξηση των αποτελεσμάτων κατά </w:t>
      </w:r>
      <w:r w:rsidR="00673FCB">
        <w:rPr>
          <w:rFonts w:asciiTheme="minorHAnsi" w:hAnsiTheme="minorHAnsi" w:cstheme="minorHAnsi"/>
          <w:color w:val="000000" w:themeColor="text1"/>
          <w:sz w:val="20"/>
          <w:szCs w:val="20"/>
        </w:rPr>
        <w:t>ευρώ</w:t>
      </w:r>
      <w:r w:rsidRPr="003A1517">
        <w:rPr>
          <w:rFonts w:asciiTheme="minorHAnsi" w:hAnsiTheme="minorHAnsi" w:cstheme="minorHAnsi"/>
          <w:color w:val="000000" w:themeColor="text1"/>
          <w:sz w:val="20"/>
          <w:szCs w:val="20"/>
        </w:rPr>
        <w:t xml:space="preserve"> 1</w:t>
      </w:r>
      <w:r w:rsidR="008B6C58" w:rsidRPr="008B6C58">
        <w:rPr>
          <w:rFonts w:asciiTheme="minorHAnsi" w:hAnsiTheme="minorHAnsi" w:cstheme="minorHAnsi"/>
          <w:color w:val="000000" w:themeColor="text1"/>
          <w:sz w:val="20"/>
          <w:szCs w:val="20"/>
        </w:rPr>
        <w:t>3</w:t>
      </w:r>
      <w:r w:rsidRPr="003A1517">
        <w:rPr>
          <w:rFonts w:asciiTheme="minorHAnsi" w:hAnsiTheme="minorHAnsi" w:cstheme="minorHAnsi"/>
          <w:color w:val="000000" w:themeColor="text1"/>
          <w:sz w:val="20"/>
          <w:szCs w:val="20"/>
        </w:rPr>
        <w:t>,</w:t>
      </w:r>
      <w:r w:rsidR="008B6C58" w:rsidRPr="001F6781">
        <w:rPr>
          <w:rFonts w:asciiTheme="minorHAnsi" w:hAnsiTheme="minorHAnsi" w:cstheme="minorHAnsi"/>
          <w:color w:val="000000" w:themeColor="text1"/>
          <w:sz w:val="20"/>
          <w:szCs w:val="20"/>
        </w:rPr>
        <w:t>4</w:t>
      </w:r>
      <w:r w:rsidRPr="003A1517">
        <w:rPr>
          <w:rFonts w:asciiTheme="minorHAnsi" w:hAnsiTheme="minorHAnsi" w:cstheme="minorHAnsi"/>
          <w:color w:val="000000" w:themeColor="text1"/>
          <w:sz w:val="20"/>
          <w:szCs w:val="20"/>
        </w:rPr>
        <w:t xml:space="preserve"> εκατ.</w:t>
      </w:r>
      <w:r w:rsidR="001001B9">
        <w:rPr>
          <w:rFonts w:asciiTheme="minorHAnsi" w:hAnsiTheme="minorHAnsi" w:cstheme="minorHAnsi"/>
          <w:color w:val="000000" w:themeColor="text1"/>
          <w:sz w:val="20"/>
          <w:szCs w:val="20"/>
        </w:rPr>
        <w:t xml:space="preserve"> τον προηγούμενο χρόνο</w:t>
      </w:r>
      <w:r w:rsidRPr="003A1517">
        <w:rPr>
          <w:rFonts w:asciiTheme="minorHAnsi" w:hAnsiTheme="minorHAnsi" w:cstheme="minorHAnsi"/>
          <w:sz w:val="20"/>
          <w:szCs w:val="20"/>
        </w:rPr>
        <w:t xml:space="preserve">. Χωρίς το κονδύλι αυτό, η διαφορά </w:t>
      </w:r>
      <w:r w:rsidR="001001B9">
        <w:rPr>
          <w:rFonts w:asciiTheme="minorHAnsi" w:hAnsiTheme="minorHAnsi" w:cstheme="minorHAnsi"/>
          <w:sz w:val="20"/>
          <w:szCs w:val="20"/>
        </w:rPr>
        <w:t xml:space="preserve">στα κέρδη προ φόρων </w:t>
      </w:r>
      <w:r w:rsidRPr="003A1517">
        <w:rPr>
          <w:rFonts w:asciiTheme="minorHAnsi" w:hAnsiTheme="minorHAnsi" w:cstheme="minorHAnsi"/>
          <w:sz w:val="20"/>
          <w:szCs w:val="20"/>
        </w:rPr>
        <w:t xml:space="preserve">σε σχέση με πέρυσι ανέρχεται σε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900 χιλ. και προκύπτει από την μείωση του μικτού κέρδους κατά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2.</w:t>
      </w:r>
      <w:r w:rsidR="005B3DC0">
        <w:rPr>
          <w:rFonts w:asciiTheme="minorHAnsi" w:hAnsiTheme="minorHAnsi" w:cstheme="minorHAnsi"/>
          <w:sz w:val="20"/>
          <w:szCs w:val="20"/>
        </w:rPr>
        <w:t>735</w:t>
      </w:r>
      <w:r w:rsidRPr="003A1517">
        <w:rPr>
          <w:rFonts w:asciiTheme="minorHAnsi" w:hAnsiTheme="minorHAnsi" w:cstheme="minorHAnsi"/>
          <w:sz w:val="20"/>
          <w:szCs w:val="20"/>
        </w:rPr>
        <w:t xml:space="preserve"> χιλ. ή 12%. </w:t>
      </w:r>
    </w:p>
    <w:p w14:paraId="2D3620AF" w14:textId="77777777" w:rsidR="00F645AF" w:rsidRPr="003A1517" w:rsidRDefault="00F645AF" w:rsidP="00F645AF">
      <w:pPr>
        <w:contextualSpacing/>
        <w:jc w:val="both"/>
        <w:rPr>
          <w:rFonts w:asciiTheme="minorHAnsi" w:hAnsiTheme="minorHAnsi" w:cstheme="minorHAnsi"/>
          <w:sz w:val="20"/>
          <w:szCs w:val="20"/>
        </w:rPr>
      </w:pPr>
    </w:p>
    <w:p w14:paraId="1090AD33" w14:textId="2EEC59D0" w:rsidR="00F645AF" w:rsidRPr="003A1517" w:rsidRDefault="00F645AF" w:rsidP="00F645AF">
      <w:pPr>
        <w:contextualSpacing/>
        <w:jc w:val="both"/>
        <w:rPr>
          <w:rStyle w:val="jlqj4b"/>
          <w:rFonts w:asciiTheme="minorHAnsi" w:hAnsiTheme="minorHAnsi" w:cstheme="minorHAnsi"/>
          <w:sz w:val="20"/>
          <w:szCs w:val="20"/>
        </w:rPr>
      </w:pPr>
      <w:r w:rsidRPr="003A1517">
        <w:rPr>
          <w:rStyle w:val="jlqj4b"/>
          <w:rFonts w:asciiTheme="minorHAnsi" w:hAnsiTheme="minorHAnsi" w:cstheme="minorHAnsi"/>
          <w:b/>
          <w:bCs/>
          <w:sz w:val="20"/>
          <w:szCs w:val="20"/>
        </w:rPr>
        <w:t>Σε επίπεδο Εταιρείας</w:t>
      </w:r>
      <w:r w:rsidRPr="003A1517">
        <w:rPr>
          <w:rStyle w:val="jlqj4b"/>
          <w:rFonts w:asciiTheme="minorHAnsi" w:hAnsiTheme="minorHAnsi" w:cstheme="minorHAnsi"/>
          <w:sz w:val="20"/>
          <w:szCs w:val="20"/>
        </w:rPr>
        <w:t xml:space="preserve">, ο κύκλος εργασιών το πρώτο εξάμηνο του έτους διαμορφώθηκε σε </w:t>
      </w:r>
      <w:r w:rsidR="00673FCB">
        <w:rPr>
          <w:rStyle w:val="jlqj4b"/>
          <w:rFonts w:asciiTheme="minorHAnsi" w:hAnsiTheme="minorHAnsi" w:cstheme="minorHAnsi"/>
          <w:sz w:val="20"/>
          <w:szCs w:val="20"/>
        </w:rPr>
        <w:t>ευρώ</w:t>
      </w:r>
      <w:r w:rsidRPr="003A1517">
        <w:rPr>
          <w:rStyle w:val="jlqj4b"/>
          <w:rFonts w:asciiTheme="minorHAnsi" w:hAnsiTheme="minorHAnsi" w:cstheme="minorHAnsi"/>
          <w:sz w:val="20"/>
          <w:szCs w:val="20"/>
        </w:rPr>
        <w:t xml:space="preserve"> 94,2 εκ. από </w:t>
      </w:r>
      <w:r w:rsidR="00673FCB">
        <w:rPr>
          <w:rStyle w:val="jlqj4b"/>
          <w:rFonts w:asciiTheme="minorHAnsi" w:hAnsiTheme="minorHAnsi" w:cstheme="minorHAnsi"/>
          <w:sz w:val="20"/>
          <w:szCs w:val="20"/>
        </w:rPr>
        <w:t>ευρώ</w:t>
      </w:r>
      <w:r w:rsidRPr="003A1517">
        <w:rPr>
          <w:rStyle w:val="jlqj4b"/>
          <w:rFonts w:asciiTheme="minorHAnsi" w:hAnsiTheme="minorHAnsi" w:cstheme="minorHAnsi"/>
          <w:sz w:val="20"/>
          <w:szCs w:val="20"/>
        </w:rPr>
        <w:t xml:space="preserve"> 70,6 εκ., παρουσιάζοντας αύξηση 33,6%, ενώ μαζί με τις πωλήσεις αντιπροσωπείας διαμορφώθηκε σε </w:t>
      </w:r>
      <w:r w:rsidR="00673FCB">
        <w:rPr>
          <w:rStyle w:val="jlqj4b"/>
          <w:rFonts w:asciiTheme="minorHAnsi" w:hAnsiTheme="minorHAnsi" w:cstheme="minorHAnsi"/>
          <w:sz w:val="20"/>
          <w:szCs w:val="20"/>
        </w:rPr>
        <w:t>ευρώ</w:t>
      </w:r>
      <w:r w:rsidRPr="003A1517">
        <w:rPr>
          <w:rStyle w:val="jlqj4b"/>
          <w:rFonts w:asciiTheme="minorHAnsi" w:hAnsiTheme="minorHAnsi" w:cstheme="minorHAnsi"/>
          <w:sz w:val="20"/>
          <w:szCs w:val="20"/>
        </w:rPr>
        <w:t xml:space="preserve"> 121,6 εκ. από </w:t>
      </w:r>
      <w:r w:rsidR="00673FCB">
        <w:rPr>
          <w:rStyle w:val="jlqj4b"/>
          <w:rFonts w:asciiTheme="minorHAnsi" w:hAnsiTheme="minorHAnsi" w:cstheme="minorHAnsi"/>
          <w:sz w:val="20"/>
          <w:szCs w:val="20"/>
        </w:rPr>
        <w:t>ευρώ</w:t>
      </w:r>
      <w:r w:rsidRPr="003A1517">
        <w:rPr>
          <w:rStyle w:val="jlqj4b"/>
          <w:rFonts w:asciiTheme="minorHAnsi" w:hAnsiTheme="minorHAnsi" w:cstheme="minorHAnsi"/>
          <w:sz w:val="20"/>
          <w:szCs w:val="20"/>
        </w:rPr>
        <w:t xml:space="preserve"> 94,4 εκ. την αντίστοιχη περίοδο του 2021, αυξημένος κατά 28,8%. Όπως και σε επίπεδο Ομίλου, το μεγαλύτερο ποσοστό αύξησης οφείλεται στην αύξηση των τιμών πώλησης, όπως αναφέραμε και παραπάνω. Τα αποτελέσματα προ φόρων, τόκων και αποσβέσεων (EBITDA) ανήλθαν σε </w:t>
      </w:r>
      <w:r w:rsidR="00673FCB">
        <w:rPr>
          <w:rStyle w:val="jlqj4b"/>
          <w:rFonts w:asciiTheme="minorHAnsi" w:hAnsiTheme="minorHAnsi" w:cstheme="minorHAnsi"/>
          <w:sz w:val="20"/>
          <w:szCs w:val="20"/>
        </w:rPr>
        <w:t>ευρώ</w:t>
      </w:r>
      <w:r w:rsidRPr="003A1517">
        <w:rPr>
          <w:rStyle w:val="jlqj4b"/>
          <w:rFonts w:asciiTheme="minorHAnsi" w:hAnsiTheme="minorHAnsi" w:cstheme="minorHAnsi"/>
          <w:sz w:val="20"/>
          <w:szCs w:val="20"/>
        </w:rPr>
        <w:t xml:space="preserve"> 11,8 εκ., από </w:t>
      </w:r>
      <w:r w:rsidR="00673FCB">
        <w:rPr>
          <w:rStyle w:val="jlqj4b"/>
          <w:rFonts w:asciiTheme="minorHAnsi" w:hAnsiTheme="minorHAnsi" w:cstheme="minorHAnsi"/>
          <w:sz w:val="20"/>
          <w:szCs w:val="20"/>
        </w:rPr>
        <w:t>ευρώ</w:t>
      </w:r>
      <w:r w:rsidRPr="003A1517">
        <w:rPr>
          <w:rStyle w:val="jlqj4b"/>
          <w:rFonts w:asciiTheme="minorHAnsi" w:hAnsiTheme="minorHAnsi" w:cstheme="minorHAnsi"/>
          <w:sz w:val="20"/>
          <w:szCs w:val="20"/>
        </w:rPr>
        <w:t xml:space="preserve"> 14,3 εκ. την αντίστοιχη περυσινή περίοδο, ενώ τα κέρδη προ φόρων ανήλθαν σε </w:t>
      </w:r>
      <w:r w:rsidR="00673FCB">
        <w:rPr>
          <w:rStyle w:val="jlqj4b"/>
          <w:rFonts w:asciiTheme="minorHAnsi" w:hAnsiTheme="minorHAnsi" w:cstheme="minorHAnsi"/>
          <w:sz w:val="20"/>
          <w:szCs w:val="20"/>
        </w:rPr>
        <w:t>ευρώ</w:t>
      </w:r>
      <w:r w:rsidRPr="003A1517">
        <w:rPr>
          <w:rStyle w:val="jlqj4b"/>
          <w:rFonts w:asciiTheme="minorHAnsi" w:hAnsiTheme="minorHAnsi" w:cstheme="minorHAnsi"/>
          <w:sz w:val="20"/>
          <w:szCs w:val="20"/>
        </w:rPr>
        <w:t xml:space="preserve"> 9,8 εκ.  από </w:t>
      </w:r>
      <w:r w:rsidR="00673FCB">
        <w:rPr>
          <w:rStyle w:val="jlqj4b"/>
          <w:rFonts w:asciiTheme="minorHAnsi" w:hAnsiTheme="minorHAnsi" w:cstheme="minorHAnsi"/>
          <w:sz w:val="20"/>
          <w:szCs w:val="20"/>
        </w:rPr>
        <w:t>ευρώ</w:t>
      </w:r>
      <w:r w:rsidRPr="003A1517">
        <w:rPr>
          <w:rStyle w:val="jlqj4b"/>
          <w:rFonts w:asciiTheme="minorHAnsi" w:hAnsiTheme="minorHAnsi" w:cstheme="minorHAnsi"/>
          <w:sz w:val="20"/>
          <w:szCs w:val="20"/>
        </w:rPr>
        <w:t xml:space="preserve"> 24,2 εκ. την αντίστοιχη περυσινή περίοδο για τους λόγους που προαναφέρθηκαν. Από τη διαφορά των </w:t>
      </w:r>
      <w:r w:rsidR="00673FCB">
        <w:rPr>
          <w:rStyle w:val="jlqj4b"/>
          <w:rFonts w:asciiTheme="minorHAnsi" w:hAnsiTheme="minorHAnsi" w:cstheme="minorHAnsi"/>
          <w:sz w:val="20"/>
          <w:szCs w:val="20"/>
        </w:rPr>
        <w:t>ευρώ</w:t>
      </w:r>
      <w:r w:rsidRPr="003A1517">
        <w:rPr>
          <w:rStyle w:val="jlqj4b"/>
          <w:rFonts w:asciiTheme="minorHAnsi" w:hAnsiTheme="minorHAnsi" w:cstheme="minorHAnsi"/>
          <w:sz w:val="20"/>
          <w:szCs w:val="20"/>
        </w:rPr>
        <w:t xml:space="preserve"> 14,5 εκ., τα </w:t>
      </w:r>
      <w:r w:rsidR="00673FCB">
        <w:rPr>
          <w:rFonts w:asciiTheme="minorHAnsi" w:hAnsiTheme="minorHAnsi" w:cstheme="minorHAnsi"/>
          <w:color w:val="000000" w:themeColor="text1"/>
          <w:sz w:val="20"/>
          <w:szCs w:val="20"/>
        </w:rPr>
        <w:t>ευρώ</w:t>
      </w:r>
      <w:r w:rsidRPr="003A1517">
        <w:rPr>
          <w:rFonts w:asciiTheme="minorHAnsi" w:hAnsiTheme="minorHAnsi" w:cstheme="minorHAnsi"/>
          <w:color w:val="000000" w:themeColor="text1"/>
          <w:sz w:val="20"/>
          <w:szCs w:val="20"/>
        </w:rPr>
        <w:t xml:space="preserve"> 13,4 εκατ. </w:t>
      </w:r>
      <w:r w:rsidRPr="003A1517">
        <w:rPr>
          <w:rStyle w:val="jlqj4b"/>
          <w:rFonts w:asciiTheme="minorHAnsi" w:hAnsiTheme="minorHAnsi" w:cstheme="minorHAnsi"/>
          <w:sz w:val="20"/>
          <w:szCs w:val="20"/>
        </w:rPr>
        <w:t xml:space="preserve">αφορούν στην απεικόνιση σε εύλογη αξία των δανειακών υποχρεώσεών της εταιρείας την </w:t>
      </w:r>
      <w:r w:rsidRPr="003A1517">
        <w:rPr>
          <w:rFonts w:asciiTheme="minorHAnsi" w:hAnsiTheme="minorHAnsi" w:cstheme="minorHAnsi"/>
          <w:sz w:val="20"/>
          <w:szCs w:val="20"/>
        </w:rPr>
        <w:t>αντίστοιχη περυσινή περίοδο</w:t>
      </w:r>
      <w:r w:rsidRPr="003A1517">
        <w:rPr>
          <w:rStyle w:val="jlqj4b"/>
          <w:rFonts w:asciiTheme="minorHAnsi" w:hAnsiTheme="minorHAnsi" w:cstheme="minorHAnsi"/>
          <w:sz w:val="20"/>
          <w:szCs w:val="20"/>
        </w:rPr>
        <w:t xml:space="preserve">. </w:t>
      </w:r>
    </w:p>
    <w:p w14:paraId="38BC0F13" w14:textId="77777777" w:rsidR="00B214C6" w:rsidRDefault="00B214C6" w:rsidP="00CC5C53">
      <w:pPr>
        <w:contextualSpacing/>
        <w:jc w:val="both"/>
        <w:rPr>
          <w:rStyle w:val="jlqj4b"/>
          <w:rFonts w:asciiTheme="minorHAnsi" w:hAnsiTheme="minorHAnsi" w:cstheme="minorHAnsi"/>
          <w:sz w:val="20"/>
          <w:szCs w:val="20"/>
        </w:rPr>
      </w:pPr>
    </w:p>
    <w:p w14:paraId="1C8EF0C5" w14:textId="63D122B2" w:rsidR="00A07EFA" w:rsidRPr="003A1517" w:rsidRDefault="00A07EFA" w:rsidP="00A07EFA">
      <w:pPr>
        <w:contextualSpacing/>
        <w:jc w:val="both"/>
        <w:rPr>
          <w:rFonts w:asciiTheme="minorHAnsi" w:hAnsiTheme="minorHAnsi" w:cstheme="minorHAnsi"/>
          <w:sz w:val="20"/>
          <w:szCs w:val="20"/>
        </w:rPr>
      </w:pPr>
      <w:r w:rsidRPr="003A1517">
        <w:rPr>
          <w:rFonts w:asciiTheme="minorHAnsi" w:hAnsiTheme="minorHAnsi" w:cstheme="minorHAnsi"/>
          <w:sz w:val="20"/>
          <w:szCs w:val="20"/>
        </w:rPr>
        <w:t xml:space="preserve">Ως προς τις θυγατρικές εταιρείες, τόσο η </w:t>
      </w:r>
      <w:r w:rsidRPr="003A1517">
        <w:rPr>
          <w:rFonts w:asciiTheme="minorHAnsi" w:hAnsiTheme="minorHAnsi" w:cstheme="minorHAnsi"/>
          <w:b/>
          <w:sz w:val="20"/>
          <w:szCs w:val="20"/>
        </w:rPr>
        <w:t xml:space="preserve">SIDMA </w:t>
      </w:r>
      <w:proofErr w:type="spellStart"/>
      <w:r w:rsidRPr="003A1517">
        <w:rPr>
          <w:rFonts w:asciiTheme="minorHAnsi" w:hAnsiTheme="minorHAnsi" w:cstheme="minorHAnsi"/>
          <w:b/>
          <w:sz w:val="20"/>
          <w:szCs w:val="20"/>
        </w:rPr>
        <w:t>Bulgaria</w:t>
      </w:r>
      <w:proofErr w:type="spellEnd"/>
      <w:r w:rsidRPr="003A1517">
        <w:rPr>
          <w:rFonts w:asciiTheme="minorHAnsi" w:hAnsiTheme="minorHAnsi" w:cstheme="minorHAnsi"/>
          <w:sz w:val="20"/>
          <w:szCs w:val="20"/>
        </w:rPr>
        <w:t xml:space="preserve"> όσο και η </w:t>
      </w:r>
      <w:r w:rsidRPr="003A1517">
        <w:rPr>
          <w:rFonts w:asciiTheme="minorHAnsi" w:hAnsiTheme="minorHAnsi" w:cstheme="minorHAnsi"/>
          <w:b/>
          <w:sz w:val="20"/>
          <w:szCs w:val="20"/>
        </w:rPr>
        <w:t xml:space="preserve">SIDMA </w:t>
      </w:r>
      <w:proofErr w:type="spellStart"/>
      <w:r w:rsidRPr="003A1517">
        <w:rPr>
          <w:rFonts w:asciiTheme="minorHAnsi" w:hAnsiTheme="minorHAnsi" w:cstheme="minorHAnsi"/>
          <w:b/>
          <w:sz w:val="20"/>
          <w:szCs w:val="20"/>
        </w:rPr>
        <w:t>Romania</w:t>
      </w:r>
      <w:proofErr w:type="spellEnd"/>
      <w:r w:rsidRPr="003A1517">
        <w:rPr>
          <w:rFonts w:asciiTheme="minorHAnsi" w:hAnsiTheme="minorHAnsi" w:cstheme="minorHAnsi"/>
          <w:sz w:val="20"/>
          <w:szCs w:val="20"/>
        </w:rPr>
        <w:t xml:space="preserve"> παρουσίασαν αύξηση του κύκλου εργασιών τους, κατά 38,6 % και  50,1% αντίστοιχα, σε σχέση με το πρώτο εξάμηνο του 2021. Συγκεκριμένα, ο κύκλος εργασιών της SIDMA </w:t>
      </w:r>
      <w:proofErr w:type="spellStart"/>
      <w:r w:rsidRPr="003A1517">
        <w:rPr>
          <w:rFonts w:asciiTheme="minorHAnsi" w:hAnsiTheme="minorHAnsi" w:cstheme="minorHAnsi"/>
          <w:sz w:val="20"/>
          <w:szCs w:val="20"/>
        </w:rPr>
        <w:t>Bulgaria</w:t>
      </w:r>
      <w:proofErr w:type="spellEnd"/>
      <w:r w:rsidRPr="003A1517">
        <w:rPr>
          <w:rFonts w:asciiTheme="minorHAnsi" w:hAnsiTheme="minorHAnsi" w:cstheme="minorHAnsi"/>
          <w:sz w:val="20"/>
          <w:szCs w:val="20"/>
        </w:rPr>
        <w:t xml:space="preserve"> ανήλθε στα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30,4 εκ. έναντι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21,9 εκ. ενώ της SIDMA </w:t>
      </w:r>
      <w:proofErr w:type="spellStart"/>
      <w:r w:rsidRPr="003A1517">
        <w:rPr>
          <w:rFonts w:asciiTheme="minorHAnsi" w:hAnsiTheme="minorHAnsi" w:cstheme="minorHAnsi"/>
          <w:sz w:val="20"/>
          <w:szCs w:val="20"/>
        </w:rPr>
        <w:t>Romania</w:t>
      </w:r>
      <w:proofErr w:type="spellEnd"/>
      <w:r w:rsidRPr="003A1517">
        <w:rPr>
          <w:rFonts w:asciiTheme="minorHAnsi" w:hAnsiTheme="minorHAnsi" w:cstheme="minorHAnsi"/>
          <w:sz w:val="20"/>
          <w:szCs w:val="20"/>
        </w:rPr>
        <w:t xml:space="preserve"> στα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21,7 εκ. έναντι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14,5 εκ. το πρώτο εξάμηνο του 2021.</w:t>
      </w:r>
    </w:p>
    <w:p w14:paraId="32B76F56" w14:textId="77777777" w:rsidR="00A07EFA" w:rsidRPr="003A1517" w:rsidRDefault="00A07EFA" w:rsidP="00A07EFA">
      <w:pPr>
        <w:contextualSpacing/>
        <w:jc w:val="both"/>
        <w:rPr>
          <w:rFonts w:asciiTheme="minorHAnsi" w:hAnsiTheme="minorHAnsi" w:cstheme="minorHAnsi"/>
          <w:sz w:val="20"/>
          <w:szCs w:val="20"/>
        </w:rPr>
      </w:pPr>
    </w:p>
    <w:p w14:paraId="423711CE" w14:textId="096B1486" w:rsidR="00A07EFA" w:rsidRPr="003A1517" w:rsidRDefault="00A07EFA" w:rsidP="00A07EFA">
      <w:pPr>
        <w:contextualSpacing/>
        <w:jc w:val="both"/>
        <w:rPr>
          <w:rFonts w:asciiTheme="minorHAnsi" w:hAnsiTheme="minorHAnsi" w:cstheme="minorHAnsi"/>
          <w:sz w:val="20"/>
          <w:szCs w:val="20"/>
        </w:rPr>
      </w:pPr>
      <w:r w:rsidRPr="003A1517">
        <w:rPr>
          <w:rFonts w:asciiTheme="minorHAnsi" w:hAnsiTheme="minorHAnsi" w:cstheme="minorHAnsi"/>
          <w:sz w:val="20"/>
          <w:szCs w:val="20"/>
        </w:rPr>
        <w:t xml:space="preserve">Όσον αφορά στα υπόλοιπα μεγέθη των θυγατρικών, η </w:t>
      </w:r>
      <w:r w:rsidRPr="003A1517">
        <w:rPr>
          <w:rFonts w:asciiTheme="minorHAnsi" w:hAnsiTheme="minorHAnsi" w:cstheme="minorHAnsi"/>
          <w:b/>
          <w:bCs/>
          <w:sz w:val="20"/>
          <w:szCs w:val="20"/>
        </w:rPr>
        <w:t xml:space="preserve">SIDMA </w:t>
      </w:r>
      <w:proofErr w:type="spellStart"/>
      <w:r w:rsidRPr="003A1517">
        <w:rPr>
          <w:rFonts w:asciiTheme="minorHAnsi" w:hAnsiTheme="minorHAnsi" w:cstheme="minorHAnsi"/>
          <w:b/>
          <w:bCs/>
          <w:sz w:val="20"/>
          <w:szCs w:val="20"/>
        </w:rPr>
        <w:t>Bulgaria</w:t>
      </w:r>
      <w:proofErr w:type="spellEnd"/>
      <w:r w:rsidRPr="003A1517">
        <w:rPr>
          <w:rFonts w:asciiTheme="minorHAnsi" w:hAnsiTheme="minorHAnsi" w:cstheme="minorHAnsi"/>
          <w:sz w:val="20"/>
          <w:szCs w:val="20"/>
        </w:rPr>
        <w:t xml:space="preserve"> παρουσίασε αύξηση τόσο της λειτουργικής κερδοφορίας (EBITDA), από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2.627 χιλ. πέρυσι σε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2.867 χιλ. φέτος, όσο και των κερδών προ φόρων, από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2.375 χιλ. πέρυσι σε κέρδη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2.576 χιλ. φέτος. </w:t>
      </w:r>
    </w:p>
    <w:p w14:paraId="55B2E453" w14:textId="77777777" w:rsidR="00A07EFA" w:rsidRPr="003A1517" w:rsidRDefault="00A07EFA" w:rsidP="00A07EFA">
      <w:pPr>
        <w:contextualSpacing/>
        <w:jc w:val="both"/>
        <w:rPr>
          <w:rFonts w:asciiTheme="minorHAnsi" w:hAnsiTheme="minorHAnsi" w:cstheme="minorHAnsi"/>
          <w:sz w:val="20"/>
          <w:szCs w:val="20"/>
        </w:rPr>
      </w:pPr>
    </w:p>
    <w:p w14:paraId="4AEE31D9" w14:textId="5F4B920D" w:rsidR="00A07EFA" w:rsidRPr="003A1517" w:rsidRDefault="00A07EFA" w:rsidP="00A07EFA">
      <w:pPr>
        <w:contextualSpacing/>
        <w:jc w:val="both"/>
        <w:rPr>
          <w:rFonts w:asciiTheme="minorHAnsi" w:hAnsiTheme="minorHAnsi" w:cstheme="minorHAnsi"/>
          <w:sz w:val="20"/>
          <w:szCs w:val="20"/>
        </w:rPr>
      </w:pPr>
      <w:r w:rsidRPr="003A1517">
        <w:rPr>
          <w:rFonts w:asciiTheme="minorHAnsi" w:hAnsiTheme="minorHAnsi" w:cstheme="minorHAnsi"/>
          <w:sz w:val="20"/>
          <w:szCs w:val="20"/>
        </w:rPr>
        <w:t xml:space="preserve">Η </w:t>
      </w:r>
      <w:r w:rsidRPr="003A1517">
        <w:rPr>
          <w:rFonts w:asciiTheme="minorHAnsi" w:hAnsiTheme="minorHAnsi" w:cstheme="minorHAnsi"/>
          <w:b/>
          <w:bCs/>
          <w:sz w:val="20"/>
          <w:szCs w:val="20"/>
        </w:rPr>
        <w:t xml:space="preserve">SIDMA </w:t>
      </w:r>
      <w:proofErr w:type="spellStart"/>
      <w:r w:rsidRPr="003A1517">
        <w:rPr>
          <w:rFonts w:asciiTheme="minorHAnsi" w:hAnsiTheme="minorHAnsi" w:cstheme="minorHAnsi"/>
          <w:b/>
          <w:bCs/>
          <w:sz w:val="20"/>
          <w:szCs w:val="20"/>
        </w:rPr>
        <w:t>Romania</w:t>
      </w:r>
      <w:proofErr w:type="spellEnd"/>
      <w:r w:rsidRPr="003A1517">
        <w:rPr>
          <w:rFonts w:asciiTheme="minorHAnsi" w:hAnsiTheme="minorHAnsi" w:cstheme="minorHAnsi"/>
          <w:sz w:val="20"/>
          <w:szCs w:val="20"/>
        </w:rPr>
        <w:t xml:space="preserve"> σε επίπεδο EBITDA παρουσίασε κερδοφορία ύψους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1.8</w:t>
      </w:r>
      <w:r w:rsidR="00110A2D" w:rsidRPr="00110A2D">
        <w:rPr>
          <w:rFonts w:asciiTheme="minorHAnsi" w:hAnsiTheme="minorHAnsi" w:cstheme="minorHAnsi"/>
          <w:sz w:val="20"/>
          <w:szCs w:val="20"/>
        </w:rPr>
        <w:t>28</w:t>
      </w:r>
      <w:r w:rsidRPr="003A1517">
        <w:rPr>
          <w:rFonts w:asciiTheme="minorHAnsi" w:hAnsiTheme="minorHAnsi" w:cstheme="minorHAnsi"/>
          <w:sz w:val="20"/>
          <w:szCs w:val="20"/>
        </w:rPr>
        <w:t xml:space="preserve"> χιλ. από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2.235 χιλ. πέρυσι, ενώ τα κέρδη προ φόρων ανήλθαν σε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1.667 χιλ. από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1.682 χιλ. πέρυσι, παραμένοντας έτσι στα ίδια επίπεδα. Η διαφορά στη λειτουργική κερδοφορία σε σχέση με πέρυσι, οφείλεται στην ισόποση μείωση του μικτού κέρδους ενώ η διατήρηση της κερδοφορίας σε επίπεδο προ φόρων οφείλεται στη μείωση του χρηματοοικονομικού κόστους, απόρροια της αναδιάρθρωσης των δανείων της θυγατρικής.  </w:t>
      </w:r>
    </w:p>
    <w:p w14:paraId="2EFB28AD" w14:textId="77777777" w:rsidR="00A07EFA" w:rsidRPr="003A1517" w:rsidRDefault="00A07EFA" w:rsidP="00A07EFA">
      <w:pPr>
        <w:contextualSpacing/>
        <w:jc w:val="both"/>
        <w:rPr>
          <w:rFonts w:asciiTheme="minorHAnsi" w:hAnsiTheme="minorHAnsi" w:cstheme="minorHAnsi"/>
          <w:sz w:val="20"/>
          <w:szCs w:val="20"/>
        </w:rPr>
      </w:pPr>
    </w:p>
    <w:p w14:paraId="74543C54" w14:textId="2C65E9EF" w:rsidR="00A07EFA" w:rsidRPr="003A1517" w:rsidRDefault="00A07EFA" w:rsidP="00A07EFA">
      <w:pPr>
        <w:contextualSpacing/>
        <w:jc w:val="both"/>
        <w:rPr>
          <w:rFonts w:asciiTheme="minorHAnsi" w:hAnsiTheme="minorHAnsi" w:cstheme="minorHAnsi"/>
          <w:sz w:val="20"/>
          <w:szCs w:val="20"/>
        </w:rPr>
      </w:pPr>
      <w:r w:rsidRPr="003A1517">
        <w:rPr>
          <w:rFonts w:asciiTheme="minorHAnsi" w:hAnsiTheme="minorHAnsi" w:cstheme="minorHAnsi"/>
          <w:sz w:val="20"/>
          <w:szCs w:val="20"/>
        </w:rPr>
        <w:t xml:space="preserve">Η ρευστότητα του Ομίλου ανήλθε στα </w:t>
      </w:r>
      <w:r w:rsidR="00673FCB">
        <w:rPr>
          <w:rFonts w:asciiTheme="minorHAnsi" w:hAnsiTheme="minorHAnsi" w:cstheme="minorHAnsi"/>
          <w:sz w:val="20"/>
          <w:szCs w:val="20"/>
        </w:rPr>
        <w:t>ευρώ</w:t>
      </w:r>
      <w:r w:rsidRPr="003A1517">
        <w:rPr>
          <w:rFonts w:asciiTheme="minorHAnsi" w:hAnsiTheme="minorHAnsi" w:cstheme="minorHAnsi"/>
          <w:sz w:val="20"/>
          <w:szCs w:val="20"/>
        </w:rPr>
        <w:t xml:space="preserve"> 8,7 εκ.. </w:t>
      </w:r>
    </w:p>
    <w:p w14:paraId="5E9B474B" w14:textId="77777777" w:rsidR="00A07EFA" w:rsidRPr="003A1517" w:rsidRDefault="00A07EFA" w:rsidP="00A07EFA">
      <w:pPr>
        <w:contextualSpacing/>
        <w:jc w:val="both"/>
        <w:rPr>
          <w:rFonts w:asciiTheme="minorHAnsi" w:hAnsiTheme="minorHAnsi" w:cstheme="minorHAnsi"/>
          <w:sz w:val="20"/>
          <w:szCs w:val="20"/>
        </w:rPr>
      </w:pPr>
    </w:p>
    <w:p w14:paraId="060AEDED" w14:textId="77777777" w:rsidR="00A07EFA" w:rsidRPr="003A1517" w:rsidRDefault="00A07EFA" w:rsidP="00A07EFA">
      <w:pPr>
        <w:contextualSpacing/>
        <w:jc w:val="both"/>
        <w:rPr>
          <w:rFonts w:asciiTheme="minorHAnsi" w:hAnsiTheme="minorHAnsi" w:cstheme="minorHAnsi"/>
          <w:sz w:val="20"/>
          <w:szCs w:val="20"/>
        </w:rPr>
      </w:pPr>
      <w:r w:rsidRPr="003A1517">
        <w:rPr>
          <w:rFonts w:asciiTheme="minorHAnsi" w:hAnsiTheme="minorHAnsi" w:cstheme="minorHAnsi"/>
          <w:sz w:val="20"/>
          <w:szCs w:val="20"/>
        </w:rPr>
        <w:t>Σημειώνεται, τέλος, ότι οι χρηματοοικονομικοί δείκτες κεφαλαιακής διάρθρωσης και δυνατότητας εξυπηρέτησης του δανεισμού της Εταιρείας, διαμορφώθηκαν την 30/06/2022 ως εξής:</w:t>
      </w:r>
    </w:p>
    <w:p w14:paraId="6C56633A" w14:textId="77777777" w:rsidR="00A07EFA" w:rsidRPr="003A1517" w:rsidRDefault="00A07EFA" w:rsidP="00A07EFA">
      <w:pPr>
        <w:contextualSpacing/>
        <w:jc w:val="both"/>
        <w:rPr>
          <w:rFonts w:asciiTheme="minorHAnsi" w:hAnsiTheme="minorHAnsi" w:cstheme="minorHAnsi"/>
          <w:sz w:val="20"/>
          <w:szCs w:val="20"/>
        </w:rPr>
      </w:pPr>
    </w:p>
    <w:p w14:paraId="4929A8DF" w14:textId="77537F70" w:rsidR="00A07EFA" w:rsidRPr="003A1517" w:rsidRDefault="00A07EFA" w:rsidP="00A07EFA">
      <w:pPr>
        <w:pStyle w:val="ListParagraph"/>
        <w:numPr>
          <w:ilvl w:val="0"/>
          <w:numId w:val="21"/>
        </w:numPr>
        <w:contextualSpacing/>
        <w:jc w:val="both"/>
        <w:rPr>
          <w:rFonts w:asciiTheme="minorHAnsi" w:hAnsiTheme="minorHAnsi" w:cstheme="minorHAnsi"/>
          <w:sz w:val="20"/>
          <w:szCs w:val="20"/>
        </w:rPr>
      </w:pPr>
      <w:r w:rsidRPr="003A1517">
        <w:rPr>
          <w:rFonts w:asciiTheme="minorHAnsi" w:hAnsiTheme="minorHAnsi" w:cstheme="minorHAnsi"/>
          <w:sz w:val="20"/>
          <w:szCs w:val="20"/>
        </w:rPr>
        <w:t>Δείκτης Καθαρού Δανεισμού προς Ίδια Κεφάλαια = 1,9</w:t>
      </w:r>
    </w:p>
    <w:p w14:paraId="5E405624" w14:textId="594CF5C7" w:rsidR="00A07EFA" w:rsidRDefault="00A07EFA" w:rsidP="00A07EFA">
      <w:pPr>
        <w:pStyle w:val="ListParagraph"/>
        <w:numPr>
          <w:ilvl w:val="0"/>
          <w:numId w:val="21"/>
        </w:numPr>
        <w:contextualSpacing/>
        <w:jc w:val="both"/>
        <w:rPr>
          <w:rFonts w:asciiTheme="minorHAnsi" w:hAnsiTheme="minorHAnsi" w:cstheme="minorHAnsi"/>
          <w:sz w:val="20"/>
          <w:szCs w:val="20"/>
        </w:rPr>
      </w:pPr>
      <w:r w:rsidRPr="003A1517">
        <w:rPr>
          <w:rFonts w:asciiTheme="minorHAnsi" w:hAnsiTheme="minorHAnsi" w:cstheme="minorHAnsi"/>
          <w:sz w:val="20"/>
          <w:szCs w:val="20"/>
        </w:rPr>
        <w:t>Δείκτης Κάλυψης τόκων (</w:t>
      </w:r>
      <w:r w:rsidRPr="003A1517">
        <w:rPr>
          <w:rFonts w:asciiTheme="minorHAnsi" w:hAnsiTheme="minorHAnsi" w:cstheme="minorHAnsi"/>
          <w:sz w:val="20"/>
          <w:szCs w:val="20"/>
          <w:lang w:val="en-GB"/>
        </w:rPr>
        <w:t>EBITDA</w:t>
      </w:r>
      <w:r w:rsidRPr="003A1517">
        <w:rPr>
          <w:rFonts w:asciiTheme="minorHAnsi" w:hAnsiTheme="minorHAnsi" w:cstheme="minorHAnsi"/>
          <w:sz w:val="20"/>
          <w:szCs w:val="20"/>
        </w:rPr>
        <w:t>/Καθαροί Τόκοι</w:t>
      </w:r>
      <w:r w:rsidRPr="002A2C1C">
        <w:rPr>
          <w:rFonts w:asciiTheme="minorHAnsi" w:hAnsiTheme="minorHAnsi" w:cstheme="minorHAnsi"/>
          <w:sz w:val="20"/>
          <w:szCs w:val="20"/>
        </w:rPr>
        <w:t>) = 7,7</w:t>
      </w:r>
      <w:r w:rsidRPr="003A1517">
        <w:rPr>
          <w:rFonts w:asciiTheme="minorHAnsi" w:hAnsiTheme="minorHAnsi" w:cstheme="minorHAnsi"/>
          <w:sz w:val="20"/>
          <w:szCs w:val="20"/>
        </w:rPr>
        <w:t xml:space="preserve"> </w:t>
      </w:r>
    </w:p>
    <w:p w14:paraId="571DC60A" w14:textId="77777777" w:rsidR="00B214C6" w:rsidRDefault="00B214C6" w:rsidP="00CC5C53">
      <w:pPr>
        <w:contextualSpacing/>
        <w:jc w:val="both"/>
        <w:rPr>
          <w:rStyle w:val="jlqj4b"/>
          <w:rFonts w:asciiTheme="minorHAnsi" w:hAnsiTheme="minorHAnsi" w:cstheme="minorHAnsi"/>
          <w:sz w:val="20"/>
          <w:szCs w:val="20"/>
        </w:rPr>
      </w:pPr>
    </w:p>
    <w:p w14:paraId="3CDBE7D1" w14:textId="77777777" w:rsidR="00506FF4" w:rsidRDefault="00506FF4" w:rsidP="00CC5C53">
      <w:pPr>
        <w:contextualSpacing/>
        <w:jc w:val="both"/>
        <w:rPr>
          <w:rFonts w:asciiTheme="minorHAnsi" w:hAnsiTheme="minorHAnsi" w:cstheme="minorHAnsi"/>
          <w:b/>
          <w:bCs/>
          <w:sz w:val="20"/>
          <w:szCs w:val="20"/>
        </w:rPr>
      </w:pPr>
    </w:p>
    <w:p w14:paraId="015EA94E" w14:textId="09FCA894" w:rsidR="003807C0" w:rsidRPr="00506FF4" w:rsidRDefault="00506FF4" w:rsidP="00CC5C53">
      <w:pPr>
        <w:contextualSpacing/>
        <w:jc w:val="both"/>
        <w:rPr>
          <w:rFonts w:asciiTheme="minorHAnsi" w:hAnsiTheme="minorHAnsi" w:cstheme="minorHAnsi"/>
          <w:b/>
          <w:bCs/>
          <w:sz w:val="20"/>
          <w:szCs w:val="20"/>
        </w:rPr>
      </w:pPr>
      <w:r w:rsidRPr="00506FF4">
        <w:rPr>
          <w:rFonts w:asciiTheme="minorHAnsi" w:hAnsiTheme="minorHAnsi" w:cstheme="minorHAnsi"/>
          <w:b/>
          <w:bCs/>
          <w:sz w:val="20"/>
          <w:szCs w:val="20"/>
        </w:rPr>
        <w:t>Η αγορά το α’ εξάμηνο του 2022</w:t>
      </w:r>
    </w:p>
    <w:p w14:paraId="34F3D9F0" w14:textId="77777777" w:rsidR="00506FF4" w:rsidRDefault="00506FF4" w:rsidP="00CC5C53">
      <w:pPr>
        <w:contextualSpacing/>
        <w:jc w:val="both"/>
        <w:rPr>
          <w:rFonts w:asciiTheme="minorHAnsi" w:hAnsiTheme="minorHAnsi" w:cstheme="minorHAnsi"/>
          <w:sz w:val="20"/>
          <w:szCs w:val="20"/>
        </w:rPr>
      </w:pPr>
    </w:p>
    <w:p w14:paraId="0AF2D40F" w14:textId="0A8F426C" w:rsidR="00CC5C53" w:rsidRPr="003A1517" w:rsidRDefault="00CC5C53" w:rsidP="00CC5C53">
      <w:pPr>
        <w:contextualSpacing/>
        <w:jc w:val="both"/>
        <w:rPr>
          <w:rFonts w:asciiTheme="minorHAnsi" w:hAnsiTheme="minorHAnsi" w:cstheme="minorHAnsi"/>
          <w:sz w:val="20"/>
          <w:szCs w:val="20"/>
        </w:rPr>
      </w:pPr>
      <w:r w:rsidRPr="003A1517">
        <w:rPr>
          <w:rFonts w:asciiTheme="minorHAnsi" w:hAnsiTheme="minorHAnsi" w:cstheme="minorHAnsi"/>
          <w:sz w:val="20"/>
          <w:szCs w:val="20"/>
        </w:rPr>
        <w:t>Τους δύο πρώτους μήνες του χρόνου, η αγορά του χάλυβα διεθνώς συνέχιζε να απολαμβάνει συνθήκες αυξημένης ζήτησης και αυξημένων τιμών λόγω της ανάκαμψης της παγκόσμιας οικονομίας</w:t>
      </w:r>
      <w:r w:rsidR="003807C0" w:rsidRPr="003807C0">
        <w:rPr>
          <w:rFonts w:asciiTheme="minorHAnsi" w:hAnsiTheme="minorHAnsi" w:cstheme="minorHAnsi"/>
          <w:sz w:val="20"/>
          <w:szCs w:val="20"/>
        </w:rPr>
        <w:t xml:space="preserve"> </w:t>
      </w:r>
      <w:r w:rsidR="003807C0" w:rsidRPr="003A1517">
        <w:rPr>
          <w:rFonts w:asciiTheme="minorHAnsi" w:hAnsiTheme="minorHAnsi" w:cstheme="minorHAnsi"/>
          <w:sz w:val="20"/>
          <w:szCs w:val="20"/>
        </w:rPr>
        <w:t>από την ύφεση που προκάλεσε η πανδημία</w:t>
      </w:r>
      <w:r w:rsidR="003807C0">
        <w:rPr>
          <w:rFonts w:asciiTheme="minorHAnsi" w:hAnsiTheme="minorHAnsi" w:cstheme="minorHAnsi"/>
          <w:sz w:val="20"/>
          <w:szCs w:val="20"/>
        </w:rPr>
        <w:t xml:space="preserve"> </w:t>
      </w:r>
      <w:r w:rsidR="003807C0" w:rsidRPr="003A1517">
        <w:rPr>
          <w:rFonts w:asciiTheme="minorHAnsi" w:hAnsiTheme="minorHAnsi" w:cstheme="minorHAnsi"/>
          <w:sz w:val="20"/>
          <w:szCs w:val="20"/>
        </w:rPr>
        <w:t>COVID-19.</w:t>
      </w:r>
      <w:r w:rsidRPr="003A1517">
        <w:rPr>
          <w:rFonts w:asciiTheme="minorHAnsi" w:hAnsiTheme="minorHAnsi" w:cstheme="minorHAnsi"/>
          <w:sz w:val="20"/>
          <w:szCs w:val="20"/>
        </w:rPr>
        <w:t xml:space="preserve"> Η εισβολή της Ρωσίας στην Ουκρανία και οι οικονομικές κυρώσεις που ακολούθησαν, δημιούργησαν αναταραχή στην πλευρά της προσφοράς, δεδομένου ότι οι δύο χώρες είναι αξιόλογοι </w:t>
      </w:r>
      <w:proofErr w:type="spellStart"/>
      <w:r w:rsidRPr="003A1517">
        <w:rPr>
          <w:rFonts w:asciiTheme="minorHAnsi" w:hAnsiTheme="minorHAnsi" w:cstheme="minorHAnsi"/>
          <w:sz w:val="20"/>
          <w:szCs w:val="20"/>
        </w:rPr>
        <w:t>εξαγωγείς</w:t>
      </w:r>
      <w:proofErr w:type="spellEnd"/>
      <w:r w:rsidRPr="003A1517">
        <w:rPr>
          <w:rFonts w:asciiTheme="minorHAnsi" w:hAnsiTheme="minorHAnsi" w:cstheme="minorHAnsi"/>
          <w:sz w:val="20"/>
          <w:szCs w:val="20"/>
        </w:rPr>
        <w:t xml:space="preserve"> τόσο πρώτων υλών για τη χαλυβουργία όσο και ενδιάμεσων και τελικών χαλυβουργικών προϊόντων. Εκ παραλλήλου, η εκτόξευση των τιμών του φυσικού αερίου και της ηλεκτρικής ενέργειας επέφερε σημαντική αύξηση του κόστους παραγωγής των χαλυβουργιών. Το αποτέλεσμα του συνδυασμού των δύο αυτών παραγόντων ήταν η απότομη και σημαντική άνοδος των τιμών, οι οποίες το Μάρτιο έφθασαν στα υψηλότερα ονομαστικά επίπεδα της ιστορίας. Από τα μέσα Απριλίου και μετά, η ανάσχεση της ζήτησης που προκαλεί η αβεβαιότητα και η ανοδική τάση των επιτοκίων έχει υπερκεράσει την επίπτωση των προβλημάτων που υπήρχαν στην πλευρά της προσφοράς, και οι τιμές, αφού επανήλθαν στα προ του Μαρτίου επίπεδα, άρχισαν να μειώνονται παρά το αυξημένο κόστος παραγωγής.</w:t>
      </w:r>
    </w:p>
    <w:p w14:paraId="20BDF13C" w14:textId="77777777" w:rsidR="00CC5C53" w:rsidRPr="003A1517" w:rsidRDefault="00CC5C53" w:rsidP="00CC5C53">
      <w:pPr>
        <w:contextualSpacing/>
        <w:jc w:val="both"/>
        <w:rPr>
          <w:rFonts w:asciiTheme="minorHAnsi" w:hAnsiTheme="minorHAnsi" w:cstheme="minorHAnsi"/>
          <w:sz w:val="20"/>
          <w:szCs w:val="20"/>
        </w:rPr>
      </w:pPr>
    </w:p>
    <w:p w14:paraId="05B998A3" w14:textId="1CB2C225" w:rsidR="00506FF4" w:rsidRPr="00506FF4" w:rsidRDefault="00506FF4" w:rsidP="00CC5C53">
      <w:pPr>
        <w:contextualSpacing/>
        <w:jc w:val="both"/>
        <w:rPr>
          <w:rFonts w:asciiTheme="minorHAnsi" w:hAnsiTheme="minorHAnsi" w:cstheme="minorHAnsi"/>
          <w:b/>
          <w:bCs/>
          <w:sz w:val="20"/>
          <w:szCs w:val="20"/>
        </w:rPr>
      </w:pPr>
      <w:r w:rsidRPr="00506FF4">
        <w:rPr>
          <w:rFonts w:asciiTheme="minorHAnsi" w:hAnsiTheme="minorHAnsi" w:cstheme="minorHAnsi"/>
          <w:b/>
          <w:bCs/>
          <w:sz w:val="20"/>
          <w:szCs w:val="20"/>
        </w:rPr>
        <w:t>Εκτιμήσεις για το υπόλοιπο του έτους</w:t>
      </w:r>
    </w:p>
    <w:p w14:paraId="6385B04D" w14:textId="77777777" w:rsidR="00506FF4" w:rsidRDefault="00506FF4" w:rsidP="00CC5C53">
      <w:pPr>
        <w:contextualSpacing/>
        <w:jc w:val="both"/>
        <w:rPr>
          <w:rFonts w:asciiTheme="minorHAnsi" w:hAnsiTheme="minorHAnsi" w:cstheme="minorHAnsi"/>
          <w:sz w:val="20"/>
          <w:szCs w:val="20"/>
        </w:rPr>
      </w:pPr>
    </w:p>
    <w:p w14:paraId="12F30E79" w14:textId="69E2A9DC" w:rsidR="00CC5C53" w:rsidRPr="003A1517" w:rsidRDefault="00CC5C53" w:rsidP="00CC5C53">
      <w:pPr>
        <w:contextualSpacing/>
        <w:jc w:val="both"/>
        <w:rPr>
          <w:rFonts w:asciiTheme="minorHAnsi" w:hAnsiTheme="minorHAnsi" w:cstheme="minorHAnsi"/>
          <w:sz w:val="20"/>
          <w:szCs w:val="20"/>
        </w:rPr>
      </w:pPr>
      <w:r w:rsidRPr="003A1517">
        <w:rPr>
          <w:rFonts w:asciiTheme="minorHAnsi" w:hAnsiTheme="minorHAnsi" w:cstheme="minorHAnsi"/>
          <w:sz w:val="20"/>
          <w:szCs w:val="20"/>
        </w:rPr>
        <w:t xml:space="preserve">Το </w:t>
      </w:r>
      <w:r w:rsidR="001F5340" w:rsidRPr="001F5340">
        <w:rPr>
          <w:rFonts w:asciiTheme="minorHAnsi" w:hAnsiTheme="minorHAnsi" w:cstheme="minorHAnsi"/>
          <w:b/>
          <w:bCs/>
          <w:sz w:val="20"/>
          <w:szCs w:val="20"/>
        </w:rPr>
        <w:t xml:space="preserve">διεθνές </w:t>
      </w:r>
      <w:r w:rsidRPr="001F5340">
        <w:rPr>
          <w:rFonts w:asciiTheme="minorHAnsi" w:hAnsiTheme="minorHAnsi" w:cstheme="minorHAnsi"/>
          <w:b/>
          <w:bCs/>
          <w:sz w:val="20"/>
          <w:szCs w:val="20"/>
        </w:rPr>
        <w:t>μακροοικονομικό περιβάλλον</w:t>
      </w:r>
      <w:r w:rsidRPr="003A1517">
        <w:rPr>
          <w:rFonts w:asciiTheme="minorHAnsi" w:hAnsiTheme="minorHAnsi" w:cstheme="minorHAnsi"/>
          <w:sz w:val="20"/>
          <w:szCs w:val="20"/>
        </w:rPr>
        <w:t xml:space="preserve"> </w:t>
      </w:r>
      <w:r w:rsidR="00506FF4">
        <w:rPr>
          <w:rFonts w:asciiTheme="minorHAnsi" w:hAnsiTheme="minorHAnsi" w:cstheme="minorHAnsi"/>
          <w:sz w:val="20"/>
          <w:szCs w:val="20"/>
        </w:rPr>
        <w:t xml:space="preserve">εξακολουθεί να </w:t>
      </w:r>
      <w:r w:rsidRPr="003A1517">
        <w:rPr>
          <w:rFonts w:asciiTheme="minorHAnsi" w:hAnsiTheme="minorHAnsi" w:cstheme="minorHAnsi"/>
          <w:sz w:val="20"/>
          <w:szCs w:val="20"/>
        </w:rPr>
        <w:t xml:space="preserve">παρουσιάζει έντονες προκλήσεις κυρίως λόγω του συνεχιζόμενου πολέμου στην Ουκρανία και των σημαντικών πληθωριστικών πιέσεων που συντηρεί και εντείνει η -απότοκη του πολέμου- ενεργειακή κρίση. Η αύξηση των επιτοκίων εκ μέρους των Κεντρικών Τραπεζών με σκοπό την τιθάσευση του πληθωρισμού και η έντονη αβεβαιότητα περιορίζουν την κατανάλωση και τις επενδύσεις. </w:t>
      </w:r>
    </w:p>
    <w:p w14:paraId="5C0BC06B" w14:textId="77777777" w:rsidR="001F5340" w:rsidRDefault="00CC5C53" w:rsidP="00CC5C53">
      <w:pPr>
        <w:contextualSpacing/>
        <w:jc w:val="both"/>
        <w:rPr>
          <w:rFonts w:asciiTheme="minorHAnsi" w:hAnsiTheme="minorHAnsi" w:cstheme="minorHAnsi"/>
          <w:sz w:val="20"/>
          <w:szCs w:val="20"/>
        </w:rPr>
      </w:pPr>
      <w:r w:rsidRPr="003A1517">
        <w:rPr>
          <w:rFonts w:asciiTheme="minorHAnsi" w:hAnsiTheme="minorHAnsi" w:cstheme="minorHAnsi"/>
          <w:sz w:val="20"/>
          <w:szCs w:val="20"/>
        </w:rPr>
        <w:t xml:space="preserve">Αποτέλεσμα των παραπάνω είναι να πληθαίνουν οι εκτιμήσεις για επερχόμενη ύφεση το επόμενο διάστημα και έως ότου αποκλιμακωθεί ο πληθωρισμός και επιταχυνθεί η ιδιωτική κατανάλωση. </w:t>
      </w:r>
    </w:p>
    <w:p w14:paraId="741FC443" w14:textId="77777777" w:rsidR="001F5340" w:rsidRDefault="001F5340" w:rsidP="00CC5C53">
      <w:pPr>
        <w:contextualSpacing/>
        <w:jc w:val="both"/>
        <w:rPr>
          <w:rFonts w:asciiTheme="minorHAnsi" w:hAnsiTheme="minorHAnsi" w:cstheme="minorHAnsi"/>
          <w:sz w:val="20"/>
          <w:szCs w:val="20"/>
        </w:rPr>
      </w:pPr>
    </w:p>
    <w:p w14:paraId="50CF6851" w14:textId="49E1BD16" w:rsidR="00CC5C53" w:rsidRPr="003A1517" w:rsidRDefault="00CC5C53" w:rsidP="00CC5C53">
      <w:pPr>
        <w:contextualSpacing/>
        <w:jc w:val="both"/>
        <w:rPr>
          <w:rFonts w:asciiTheme="minorHAnsi" w:hAnsiTheme="minorHAnsi" w:cstheme="minorHAnsi"/>
          <w:sz w:val="20"/>
          <w:szCs w:val="20"/>
        </w:rPr>
      </w:pPr>
      <w:r w:rsidRPr="003A1517">
        <w:rPr>
          <w:rFonts w:asciiTheme="minorHAnsi" w:hAnsiTheme="minorHAnsi" w:cstheme="minorHAnsi"/>
          <w:sz w:val="20"/>
          <w:szCs w:val="20"/>
        </w:rPr>
        <w:t xml:space="preserve">Παρόλα αυτά, η </w:t>
      </w:r>
      <w:r w:rsidR="00364D3A" w:rsidRPr="001F5340">
        <w:rPr>
          <w:rFonts w:asciiTheme="minorHAnsi" w:hAnsiTheme="minorHAnsi" w:cstheme="minorHAnsi"/>
          <w:b/>
          <w:bCs/>
          <w:sz w:val="20"/>
          <w:szCs w:val="20"/>
        </w:rPr>
        <w:t>εγχώρια οικονομική δραστηριότητα</w:t>
      </w:r>
      <w:r w:rsidR="00364D3A">
        <w:rPr>
          <w:rFonts w:asciiTheme="minorHAnsi" w:hAnsiTheme="minorHAnsi" w:cstheme="minorHAnsi"/>
          <w:sz w:val="20"/>
          <w:szCs w:val="20"/>
        </w:rPr>
        <w:t xml:space="preserve"> </w:t>
      </w:r>
      <w:r w:rsidRPr="003A1517">
        <w:rPr>
          <w:rFonts w:asciiTheme="minorHAnsi" w:hAnsiTheme="minorHAnsi" w:cstheme="minorHAnsi"/>
          <w:sz w:val="20"/>
          <w:szCs w:val="20"/>
        </w:rPr>
        <w:t>βρίσκεται</w:t>
      </w:r>
      <w:r w:rsidR="00364D3A">
        <w:rPr>
          <w:rFonts w:asciiTheme="minorHAnsi" w:hAnsiTheme="minorHAnsi" w:cstheme="minorHAnsi"/>
          <w:sz w:val="20"/>
          <w:szCs w:val="20"/>
        </w:rPr>
        <w:t>, τουλάχιστον προς το παρόν,</w:t>
      </w:r>
      <w:r w:rsidRPr="003A1517">
        <w:rPr>
          <w:rFonts w:asciiTheme="minorHAnsi" w:hAnsiTheme="minorHAnsi" w:cstheme="minorHAnsi"/>
          <w:sz w:val="20"/>
          <w:szCs w:val="20"/>
        </w:rPr>
        <w:t xml:space="preserve"> </w:t>
      </w:r>
      <w:r w:rsidR="00364D3A">
        <w:rPr>
          <w:rFonts w:asciiTheme="minorHAnsi" w:hAnsiTheme="minorHAnsi" w:cstheme="minorHAnsi"/>
          <w:sz w:val="20"/>
          <w:szCs w:val="20"/>
        </w:rPr>
        <w:t xml:space="preserve">υπό την θετική επενέργεια </w:t>
      </w:r>
      <w:r w:rsidRPr="003A1517">
        <w:rPr>
          <w:rFonts w:asciiTheme="minorHAnsi" w:hAnsiTheme="minorHAnsi" w:cstheme="minorHAnsi"/>
          <w:sz w:val="20"/>
          <w:szCs w:val="20"/>
        </w:rPr>
        <w:t>της καλής τουριστικής περιόδου</w:t>
      </w:r>
      <w:r w:rsidR="00364D3A">
        <w:rPr>
          <w:rFonts w:asciiTheme="minorHAnsi" w:hAnsiTheme="minorHAnsi" w:cstheme="minorHAnsi"/>
          <w:sz w:val="20"/>
          <w:szCs w:val="20"/>
        </w:rPr>
        <w:t xml:space="preserve">, </w:t>
      </w:r>
      <w:r w:rsidR="00AC4270">
        <w:rPr>
          <w:rFonts w:asciiTheme="minorHAnsi" w:hAnsiTheme="minorHAnsi" w:cstheme="minorHAnsi"/>
          <w:sz w:val="20"/>
          <w:szCs w:val="20"/>
        </w:rPr>
        <w:t>της ενίσχυσης των εισοδημάτων μέσω της δημοσιονομικής πολιτικής</w:t>
      </w:r>
      <w:r w:rsidRPr="003A1517">
        <w:rPr>
          <w:rFonts w:asciiTheme="minorHAnsi" w:hAnsiTheme="minorHAnsi" w:cstheme="minorHAnsi"/>
          <w:sz w:val="20"/>
          <w:szCs w:val="20"/>
        </w:rPr>
        <w:t xml:space="preserve"> και </w:t>
      </w:r>
      <w:r w:rsidR="00AC4270">
        <w:rPr>
          <w:rFonts w:asciiTheme="minorHAnsi" w:hAnsiTheme="minorHAnsi" w:cstheme="minorHAnsi"/>
          <w:sz w:val="20"/>
          <w:szCs w:val="20"/>
        </w:rPr>
        <w:t xml:space="preserve">της έναρξης </w:t>
      </w:r>
      <w:r w:rsidRPr="003A1517">
        <w:rPr>
          <w:rFonts w:asciiTheme="minorHAnsi" w:hAnsiTheme="minorHAnsi" w:cstheme="minorHAnsi"/>
          <w:sz w:val="20"/>
          <w:szCs w:val="20"/>
        </w:rPr>
        <w:t xml:space="preserve">των </w:t>
      </w:r>
      <w:r w:rsidR="00AC4270">
        <w:rPr>
          <w:rFonts w:asciiTheme="minorHAnsi" w:hAnsiTheme="minorHAnsi" w:cstheme="minorHAnsi"/>
          <w:sz w:val="20"/>
          <w:szCs w:val="20"/>
        </w:rPr>
        <w:t>χρηματοδοτήσεων από τα Ευρωπαϊκά ταμεία.</w:t>
      </w:r>
      <w:r w:rsidRPr="003A1517">
        <w:rPr>
          <w:rFonts w:asciiTheme="minorHAnsi" w:hAnsiTheme="minorHAnsi" w:cstheme="minorHAnsi"/>
          <w:sz w:val="20"/>
          <w:szCs w:val="20"/>
        </w:rPr>
        <w:t xml:space="preserve"> Το ανεκτέλεστο των μεγάλων κατασκευαστικών ομίλων ανέρχεται στα 10 δισ. Ευρώ περίπου και οι προοπτικές ανάπτυξης της Ελληνικής οικονομίας σύμφωνα με τη θερινή εκτίμηση της Ευρωπαϊκής Επιτροπής</w:t>
      </w:r>
      <w:r w:rsidRPr="003A1517">
        <w:rPr>
          <w:rStyle w:val="FootnoteReference"/>
          <w:rFonts w:asciiTheme="minorHAnsi" w:hAnsiTheme="minorHAnsi" w:cstheme="minorHAnsi"/>
          <w:sz w:val="20"/>
          <w:szCs w:val="20"/>
        </w:rPr>
        <w:footnoteReference w:id="1"/>
      </w:r>
      <w:r w:rsidRPr="003A1517">
        <w:rPr>
          <w:rFonts w:asciiTheme="minorHAnsi" w:hAnsiTheme="minorHAnsi" w:cstheme="minorHAnsi"/>
          <w:sz w:val="20"/>
          <w:szCs w:val="20"/>
        </w:rPr>
        <w:t xml:space="preserve"> (17/07/2022), είναι ευοίωνες προβλέποντας αύξηση του ΑΕΠ κατά 4,0% εφέτος. </w:t>
      </w:r>
    </w:p>
    <w:p w14:paraId="3FE1D9F2" w14:textId="77777777" w:rsidR="00CC5C53" w:rsidRPr="003A1517" w:rsidRDefault="00CC5C53" w:rsidP="00CC5C53">
      <w:pPr>
        <w:contextualSpacing/>
        <w:jc w:val="both"/>
        <w:rPr>
          <w:rFonts w:asciiTheme="minorHAnsi" w:hAnsiTheme="minorHAnsi" w:cstheme="minorHAnsi"/>
          <w:sz w:val="20"/>
          <w:szCs w:val="20"/>
        </w:rPr>
      </w:pPr>
    </w:p>
    <w:p w14:paraId="5672EFAE" w14:textId="0FF334FF" w:rsidR="00CC5C53" w:rsidRPr="003A1517" w:rsidRDefault="001F5340" w:rsidP="00CC5C53">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Η</w:t>
      </w:r>
      <w:r w:rsidR="00CC5C53" w:rsidRPr="003A1517">
        <w:rPr>
          <w:rFonts w:asciiTheme="minorHAnsi" w:hAnsiTheme="minorHAnsi" w:cstheme="minorHAnsi"/>
          <w:sz w:val="20"/>
          <w:szCs w:val="20"/>
        </w:rPr>
        <w:t xml:space="preserve"> οικονομία της </w:t>
      </w:r>
      <w:r w:rsidR="00CC5C53" w:rsidRPr="001F5340">
        <w:rPr>
          <w:rFonts w:asciiTheme="minorHAnsi" w:hAnsiTheme="minorHAnsi" w:cstheme="minorHAnsi"/>
          <w:b/>
          <w:bCs/>
          <w:sz w:val="20"/>
          <w:szCs w:val="20"/>
        </w:rPr>
        <w:t>Ρουμανίας</w:t>
      </w:r>
      <w:r w:rsidR="00CC5C53" w:rsidRPr="003A1517">
        <w:rPr>
          <w:rFonts w:asciiTheme="minorHAnsi" w:hAnsiTheme="minorHAnsi" w:cstheme="minorHAnsi"/>
          <w:sz w:val="20"/>
          <w:szCs w:val="20"/>
        </w:rPr>
        <w:t xml:space="preserve"> παρουσίασε ισχυρές επιδόσεις το πρώτο τρίμηνο του τρέχοντος έτους, σύμφωνα με την ίδια έκθεση της Ευρωπαϊκής Επιτροπής</w:t>
      </w:r>
      <w:r w:rsidR="00CC5C53" w:rsidRPr="003A1517">
        <w:rPr>
          <w:rStyle w:val="FootnoteReference"/>
          <w:rFonts w:asciiTheme="minorHAnsi" w:hAnsiTheme="minorHAnsi" w:cstheme="minorHAnsi"/>
          <w:sz w:val="20"/>
          <w:szCs w:val="20"/>
        </w:rPr>
        <w:footnoteReference w:id="2"/>
      </w:r>
      <w:r w:rsidR="00CC5C53" w:rsidRPr="003A1517">
        <w:rPr>
          <w:rFonts w:asciiTheme="minorHAnsi" w:hAnsiTheme="minorHAnsi" w:cstheme="minorHAnsi"/>
          <w:sz w:val="20"/>
          <w:szCs w:val="20"/>
        </w:rPr>
        <w:t xml:space="preserve">. Το πραγματικό ΑΕΠ αυξήθηκε κατά 5,2% σε σχέση με το προηγούμενο τρίμηνο, υποστηριζόμενο κυρίως από ιδιωτική κατανάλωση και επενδύσεις. Ωστόσο, για το σύνολο του έτους η ανάπτυξη </w:t>
      </w:r>
      <w:r w:rsidR="00FA670A">
        <w:rPr>
          <w:rFonts w:asciiTheme="minorHAnsi" w:hAnsiTheme="minorHAnsi" w:cstheme="minorHAnsi"/>
          <w:sz w:val="20"/>
          <w:szCs w:val="20"/>
        </w:rPr>
        <w:t xml:space="preserve">προβλέπεται ότι θα περιοριστεί </w:t>
      </w:r>
      <w:r w:rsidR="00CC5C53" w:rsidRPr="003A1517">
        <w:rPr>
          <w:rFonts w:asciiTheme="minorHAnsi" w:hAnsiTheme="minorHAnsi" w:cstheme="minorHAnsi"/>
          <w:sz w:val="20"/>
          <w:szCs w:val="20"/>
        </w:rPr>
        <w:t xml:space="preserve">στο 3,9% καθώς θετικοί και αρνητικοί παράγοντες αλληλοεπιδρούν. </w:t>
      </w:r>
    </w:p>
    <w:p w14:paraId="1261CD17" w14:textId="77777777" w:rsidR="00CC5C53" w:rsidRPr="003A1517" w:rsidRDefault="00CC5C53" w:rsidP="00CC5C53">
      <w:pPr>
        <w:contextualSpacing/>
        <w:jc w:val="both"/>
        <w:rPr>
          <w:rStyle w:val="jlqj4b"/>
          <w:rFonts w:asciiTheme="minorHAnsi" w:hAnsiTheme="minorHAnsi" w:cstheme="minorHAnsi"/>
          <w:sz w:val="20"/>
          <w:szCs w:val="20"/>
        </w:rPr>
      </w:pPr>
    </w:p>
    <w:p w14:paraId="4D05ADE4" w14:textId="28BB94F6" w:rsidR="00CC5C53" w:rsidRPr="003A1517" w:rsidRDefault="00CC5C53" w:rsidP="00CC5C53">
      <w:pPr>
        <w:contextualSpacing/>
        <w:jc w:val="both"/>
        <w:rPr>
          <w:rStyle w:val="jlqj4b"/>
          <w:rFonts w:asciiTheme="minorHAnsi" w:hAnsiTheme="minorHAnsi" w:cstheme="minorHAnsi"/>
          <w:sz w:val="20"/>
          <w:szCs w:val="20"/>
        </w:rPr>
      </w:pPr>
      <w:r w:rsidRPr="003A1517">
        <w:rPr>
          <w:rFonts w:asciiTheme="minorHAnsi" w:hAnsiTheme="minorHAnsi" w:cstheme="minorHAnsi"/>
          <w:sz w:val="20"/>
          <w:szCs w:val="20"/>
        </w:rPr>
        <w:t>Αντίστοιχα</w:t>
      </w:r>
      <w:r w:rsidR="00FA670A">
        <w:rPr>
          <w:rFonts w:asciiTheme="minorHAnsi" w:hAnsiTheme="minorHAnsi" w:cstheme="minorHAnsi"/>
          <w:sz w:val="20"/>
          <w:szCs w:val="20"/>
        </w:rPr>
        <w:t>,</w:t>
      </w:r>
      <w:r w:rsidRPr="003A1517">
        <w:rPr>
          <w:rFonts w:asciiTheme="minorHAnsi" w:hAnsiTheme="minorHAnsi" w:cstheme="minorHAnsi"/>
          <w:sz w:val="20"/>
          <w:szCs w:val="20"/>
        </w:rPr>
        <w:t xml:space="preserve"> στην </w:t>
      </w:r>
      <w:r w:rsidRPr="00FA670A">
        <w:rPr>
          <w:rFonts w:asciiTheme="minorHAnsi" w:hAnsiTheme="minorHAnsi" w:cstheme="minorHAnsi"/>
          <w:b/>
          <w:bCs/>
          <w:sz w:val="20"/>
          <w:szCs w:val="20"/>
        </w:rPr>
        <w:t>Βουλγαρία</w:t>
      </w:r>
      <w:r w:rsidRPr="003A1517">
        <w:rPr>
          <w:rFonts w:asciiTheme="minorHAnsi" w:hAnsiTheme="minorHAnsi" w:cstheme="minorHAnsi"/>
          <w:sz w:val="20"/>
          <w:szCs w:val="20"/>
        </w:rPr>
        <w:t>, το πρώτο τρίμηνο του 2022 το ΑΕΠ αυξήθηκε κατά 0,8% σε τριμηνιαία βάση, σύμφωνα πάντα με την καλοκαιρινή έκθεση της Ευρωπαϊκής Επιτροπής (</w:t>
      </w:r>
      <w:r w:rsidRPr="003A1517">
        <w:rPr>
          <w:rFonts w:asciiTheme="minorHAnsi" w:hAnsiTheme="minorHAnsi" w:cstheme="minorHAnsi"/>
          <w:sz w:val="20"/>
          <w:szCs w:val="20"/>
          <w:lang w:val="en-US"/>
        </w:rPr>
        <w:t>European</w:t>
      </w:r>
      <w:r w:rsidRPr="003A1517">
        <w:rPr>
          <w:rFonts w:asciiTheme="minorHAnsi" w:hAnsiTheme="minorHAnsi" w:cstheme="minorHAnsi"/>
          <w:sz w:val="20"/>
          <w:szCs w:val="20"/>
        </w:rPr>
        <w:t xml:space="preserve"> </w:t>
      </w:r>
      <w:r w:rsidRPr="003A1517">
        <w:rPr>
          <w:rFonts w:asciiTheme="minorHAnsi" w:hAnsiTheme="minorHAnsi" w:cstheme="minorHAnsi"/>
          <w:sz w:val="20"/>
          <w:szCs w:val="20"/>
          <w:lang w:val="en-US"/>
        </w:rPr>
        <w:t>Commission</w:t>
      </w:r>
      <w:r w:rsidRPr="003A1517">
        <w:rPr>
          <w:rFonts w:asciiTheme="minorHAnsi" w:hAnsiTheme="minorHAnsi" w:cstheme="minorHAnsi"/>
          <w:sz w:val="20"/>
          <w:szCs w:val="20"/>
        </w:rPr>
        <w:t>, Ιούλιος 2022</w:t>
      </w:r>
      <w:r w:rsidRPr="003A1517">
        <w:rPr>
          <w:rStyle w:val="FootnoteReference"/>
          <w:rFonts w:asciiTheme="minorHAnsi" w:hAnsiTheme="minorHAnsi" w:cstheme="minorHAnsi"/>
          <w:sz w:val="20"/>
          <w:szCs w:val="20"/>
        </w:rPr>
        <w:footnoteReference w:id="3"/>
      </w:r>
      <w:r w:rsidRPr="003A1517">
        <w:rPr>
          <w:rFonts w:asciiTheme="minorHAnsi" w:hAnsiTheme="minorHAnsi" w:cstheme="minorHAnsi"/>
          <w:sz w:val="20"/>
          <w:szCs w:val="20"/>
        </w:rPr>
        <w:t>)</w:t>
      </w:r>
      <w:r w:rsidRPr="003A1517">
        <w:rPr>
          <w:rStyle w:val="jlqj4b"/>
          <w:rFonts w:asciiTheme="minorHAnsi" w:hAnsiTheme="minorHAnsi" w:cstheme="minorHAnsi"/>
          <w:sz w:val="20"/>
          <w:szCs w:val="20"/>
        </w:rPr>
        <w:t>. Συνολικά, το πραγματικό ΑΕΠ αναμένεται να αυξηθεί κατά 2,8% το 2022 και 2,3% το 2023</w:t>
      </w:r>
      <w:r w:rsidR="00FA670A">
        <w:rPr>
          <w:rStyle w:val="jlqj4b"/>
          <w:rFonts w:asciiTheme="minorHAnsi" w:hAnsiTheme="minorHAnsi" w:cstheme="minorHAnsi"/>
          <w:sz w:val="20"/>
          <w:szCs w:val="20"/>
        </w:rPr>
        <w:t>.</w:t>
      </w:r>
    </w:p>
    <w:p w14:paraId="6DECE90E" w14:textId="77777777" w:rsidR="00CC5C53" w:rsidRPr="003A1517" w:rsidRDefault="00CC5C53" w:rsidP="00CC5C53">
      <w:pPr>
        <w:contextualSpacing/>
        <w:jc w:val="both"/>
        <w:rPr>
          <w:rStyle w:val="jlqj4b"/>
          <w:rFonts w:asciiTheme="minorHAnsi" w:hAnsiTheme="minorHAnsi" w:cstheme="minorHAnsi"/>
          <w:sz w:val="20"/>
          <w:szCs w:val="20"/>
        </w:rPr>
      </w:pPr>
    </w:p>
    <w:p w14:paraId="34B5A723" w14:textId="6159A5D8" w:rsidR="00CC5C53" w:rsidRPr="003A1517" w:rsidRDefault="004B23E0" w:rsidP="00CC5C53">
      <w:pPr>
        <w:contextualSpacing/>
        <w:jc w:val="both"/>
        <w:rPr>
          <w:rStyle w:val="jlqj4b"/>
          <w:rFonts w:asciiTheme="minorHAnsi" w:hAnsiTheme="minorHAnsi" w:cstheme="minorHAnsi"/>
          <w:sz w:val="20"/>
          <w:szCs w:val="20"/>
        </w:rPr>
      </w:pPr>
      <w:r>
        <w:rPr>
          <w:rStyle w:val="jlqj4b"/>
          <w:rFonts w:asciiTheme="minorHAnsi" w:hAnsiTheme="minorHAnsi" w:cstheme="minorHAnsi"/>
          <w:sz w:val="20"/>
          <w:szCs w:val="20"/>
        </w:rPr>
        <w:t>Σ</w:t>
      </w:r>
      <w:r w:rsidR="00CC5C53" w:rsidRPr="003A1517">
        <w:rPr>
          <w:rStyle w:val="jlqj4b"/>
          <w:rFonts w:asciiTheme="minorHAnsi" w:hAnsiTheme="minorHAnsi" w:cstheme="minorHAnsi"/>
          <w:sz w:val="20"/>
          <w:szCs w:val="20"/>
        </w:rPr>
        <w:t xml:space="preserve">την </w:t>
      </w:r>
      <w:r w:rsidRPr="004B23E0">
        <w:rPr>
          <w:rStyle w:val="jlqj4b"/>
          <w:rFonts w:asciiTheme="minorHAnsi" w:hAnsiTheme="minorHAnsi" w:cstheme="minorHAnsi"/>
          <w:b/>
          <w:bCs/>
          <w:sz w:val="20"/>
          <w:szCs w:val="20"/>
        </w:rPr>
        <w:t xml:space="preserve">ευρωπαϊκή </w:t>
      </w:r>
      <w:r w:rsidR="00CC5C53" w:rsidRPr="004B23E0">
        <w:rPr>
          <w:rStyle w:val="jlqj4b"/>
          <w:rFonts w:asciiTheme="minorHAnsi" w:hAnsiTheme="minorHAnsi" w:cstheme="minorHAnsi"/>
          <w:b/>
          <w:bCs/>
          <w:sz w:val="20"/>
          <w:szCs w:val="20"/>
        </w:rPr>
        <w:t>αγορά χάλυβα</w:t>
      </w:r>
      <w:r w:rsidR="00CC5C53" w:rsidRPr="003A1517">
        <w:rPr>
          <w:rStyle w:val="jlqj4b"/>
          <w:rFonts w:asciiTheme="minorHAnsi" w:hAnsiTheme="minorHAnsi" w:cstheme="minorHAnsi"/>
          <w:sz w:val="20"/>
          <w:szCs w:val="20"/>
        </w:rPr>
        <w:t xml:space="preserve">, </w:t>
      </w:r>
      <w:r>
        <w:rPr>
          <w:rStyle w:val="jlqj4b"/>
          <w:rFonts w:asciiTheme="minorHAnsi" w:hAnsiTheme="minorHAnsi" w:cstheme="minorHAnsi"/>
          <w:sz w:val="20"/>
          <w:szCs w:val="20"/>
        </w:rPr>
        <w:t xml:space="preserve">οι </w:t>
      </w:r>
      <w:r w:rsidR="00CC5C53" w:rsidRPr="003A1517">
        <w:rPr>
          <w:rStyle w:val="jlqj4b"/>
          <w:rFonts w:asciiTheme="minorHAnsi" w:hAnsiTheme="minorHAnsi" w:cstheme="minorHAnsi"/>
          <w:sz w:val="20"/>
          <w:szCs w:val="20"/>
        </w:rPr>
        <w:t xml:space="preserve">συνεχιζόμενες </w:t>
      </w:r>
      <w:r w:rsidR="009E7029">
        <w:rPr>
          <w:rStyle w:val="jlqj4b"/>
          <w:rFonts w:asciiTheme="minorHAnsi" w:hAnsiTheme="minorHAnsi" w:cstheme="minorHAnsi"/>
          <w:sz w:val="20"/>
          <w:szCs w:val="20"/>
        </w:rPr>
        <w:t>διαταραχές</w:t>
      </w:r>
      <w:r w:rsidR="00CC5C53" w:rsidRPr="003A1517">
        <w:rPr>
          <w:rStyle w:val="jlqj4b"/>
          <w:rFonts w:asciiTheme="minorHAnsi" w:hAnsiTheme="minorHAnsi" w:cstheme="minorHAnsi"/>
          <w:sz w:val="20"/>
          <w:szCs w:val="20"/>
        </w:rPr>
        <w:t xml:space="preserve"> της παγκόσμιας εφοδιαστικής αλυσίδας, </w:t>
      </w:r>
      <w:r>
        <w:rPr>
          <w:rStyle w:val="jlqj4b"/>
          <w:rFonts w:asciiTheme="minorHAnsi" w:hAnsiTheme="minorHAnsi" w:cstheme="minorHAnsi"/>
          <w:sz w:val="20"/>
          <w:szCs w:val="20"/>
        </w:rPr>
        <w:t>η</w:t>
      </w:r>
      <w:r w:rsidR="00CC5C53" w:rsidRPr="003A1517">
        <w:rPr>
          <w:rStyle w:val="jlqj4b"/>
          <w:rFonts w:asciiTheme="minorHAnsi" w:hAnsiTheme="minorHAnsi" w:cstheme="minorHAnsi"/>
          <w:sz w:val="20"/>
          <w:szCs w:val="20"/>
        </w:rPr>
        <w:t xml:space="preserve"> αύξηση των τιμών της ενέργειας και του κόστους παραγωγής</w:t>
      </w:r>
      <w:r>
        <w:rPr>
          <w:rStyle w:val="jlqj4b"/>
          <w:rFonts w:asciiTheme="minorHAnsi" w:hAnsiTheme="minorHAnsi" w:cstheme="minorHAnsi"/>
          <w:sz w:val="20"/>
          <w:szCs w:val="20"/>
        </w:rPr>
        <w:t xml:space="preserve">, </w:t>
      </w:r>
      <w:r w:rsidR="00AD1DAE">
        <w:rPr>
          <w:rStyle w:val="jlqj4b"/>
          <w:rFonts w:asciiTheme="minorHAnsi" w:hAnsiTheme="minorHAnsi" w:cstheme="minorHAnsi"/>
          <w:sz w:val="20"/>
          <w:szCs w:val="20"/>
        </w:rPr>
        <w:t xml:space="preserve">η επιβράδυνση των ρυθμών ανάπτυξης </w:t>
      </w:r>
      <w:r>
        <w:rPr>
          <w:rStyle w:val="jlqj4b"/>
          <w:rFonts w:asciiTheme="minorHAnsi" w:hAnsiTheme="minorHAnsi" w:cstheme="minorHAnsi"/>
          <w:sz w:val="20"/>
          <w:szCs w:val="20"/>
        </w:rPr>
        <w:t xml:space="preserve">καθώς και οι γενικότερες </w:t>
      </w:r>
      <w:r w:rsidRPr="003A1517">
        <w:rPr>
          <w:rStyle w:val="jlqj4b"/>
          <w:rFonts w:asciiTheme="minorHAnsi" w:hAnsiTheme="minorHAnsi" w:cstheme="minorHAnsi"/>
          <w:sz w:val="20"/>
          <w:szCs w:val="20"/>
        </w:rPr>
        <w:t>επιπτώσεις του πολέμου στην Ουκρανία</w:t>
      </w:r>
      <w:r>
        <w:rPr>
          <w:rStyle w:val="jlqj4b"/>
          <w:rFonts w:asciiTheme="minorHAnsi" w:hAnsiTheme="minorHAnsi" w:cstheme="minorHAnsi"/>
          <w:sz w:val="20"/>
          <w:szCs w:val="20"/>
        </w:rPr>
        <w:t xml:space="preserve"> </w:t>
      </w:r>
      <w:r w:rsidR="00CC5C53" w:rsidRPr="003A1517">
        <w:rPr>
          <w:rStyle w:val="jlqj4b"/>
          <w:rFonts w:asciiTheme="minorHAnsi" w:hAnsiTheme="minorHAnsi" w:cstheme="minorHAnsi"/>
          <w:sz w:val="20"/>
          <w:szCs w:val="20"/>
        </w:rPr>
        <w:t xml:space="preserve">αναμένεται να επηρεάσουν </w:t>
      </w:r>
      <w:r w:rsidR="00AD1DAE">
        <w:rPr>
          <w:rStyle w:val="jlqj4b"/>
          <w:rFonts w:asciiTheme="minorHAnsi" w:hAnsiTheme="minorHAnsi" w:cstheme="minorHAnsi"/>
          <w:sz w:val="20"/>
          <w:szCs w:val="20"/>
        </w:rPr>
        <w:t xml:space="preserve">αρνητικά </w:t>
      </w:r>
      <w:r w:rsidR="00CC5C53" w:rsidRPr="003A1517">
        <w:rPr>
          <w:rStyle w:val="jlqj4b"/>
          <w:rFonts w:asciiTheme="minorHAnsi" w:hAnsiTheme="minorHAnsi" w:cstheme="minorHAnsi"/>
          <w:sz w:val="20"/>
          <w:szCs w:val="20"/>
        </w:rPr>
        <w:t xml:space="preserve">την φαινομενική κατανάλωση το 2022. </w:t>
      </w:r>
      <w:r w:rsidR="00AD1DAE">
        <w:rPr>
          <w:rStyle w:val="jlqj4b"/>
          <w:rFonts w:asciiTheme="minorHAnsi" w:hAnsiTheme="minorHAnsi" w:cstheme="minorHAnsi"/>
          <w:sz w:val="20"/>
          <w:szCs w:val="20"/>
        </w:rPr>
        <w:t>Ό</w:t>
      </w:r>
      <w:r w:rsidR="00CC5C53" w:rsidRPr="003A1517">
        <w:rPr>
          <w:rStyle w:val="jlqj4b"/>
          <w:rFonts w:asciiTheme="minorHAnsi" w:hAnsiTheme="minorHAnsi" w:cstheme="minorHAnsi"/>
          <w:sz w:val="20"/>
          <w:szCs w:val="20"/>
        </w:rPr>
        <w:t xml:space="preserve">πως αναφέρει η </w:t>
      </w:r>
      <w:proofErr w:type="spellStart"/>
      <w:r w:rsidR="00CC5C53" w:rsidRPr="003A1517">
        <w:rPr>
          <w:rStyle w:val="jlqj4b"/>
          <w:rFonts w:asciiTheme="minorHAnsi" w:hAnsiTheme="minorHAnsi" w:cstheme="minorHAnsi"/>
          <w:sz w:val="20"/>
          <w:szCs w:val="20"/>
          <w:lang w:val="en-GB"/>
        </w:rPr>
        <w:t>Eurofer</w:t>
      </w:r>
      <w:proofErr w:type="spellEnd"/>
      <w:r w:rsidR="00CC5C53" w:rsidRPr="003A1517">
        <w:rPr>
          <w:rStyle w:val="FootnoteReference"/>
          <w:rFonts w:asciiTheme="minorHAnsi" w:hAnsiTheme="minorHAnsi" w:cstheme="minorHAnsi"/>
          <w:sz w:val="20"/>
          <w:szCs w:val="20"/>
          <w:lang w:val="en-GB"/>
        </w:rPr>
        <w:footnoteReference w:id="4"/>
      </w:r>
      <w:r w:rsidR="00CC5C53" w:rsidRPr="003A1517">
        <w:rPr>
          <w:rStyle w:val="jlqj4b"/>
          <w:rFonts w:asciiTheme="minorHAnsi" w:hAnsiTheme="minorHAnsi" w:cstheme="minorHAnsi"/>
          <w:sz w:val="20"/>
          <w:szCs w:val="20"/>
        </w:rPr>
        <w:t xml:space="preserve"> στην τελευταία έκθεσ</w:t>
      </w:r>
      <w:r w:rsidR="009E7029">
        <w:rPr>
          <w:rStyle w:val="jlqj4b"/>
          <w:rFonts w:asciiTheme="minorHAnsi" w:hAnsiTheme="minorHAnsi" w:cstheme="minorHAnsi"/>
          <w:sz w:val="20"/>
          <w:szCs w:val="20"/>
        </w:rPr>
        <w:t>ή</w:t>
      </w:r>
      <w:r w:rsidR="00CC5C53" w:rsidRPr="003A1517">
        <w:rPr>
          <w:rStyle w:val="jlqj4b"/>
          <w:rFonts w:asciiTheme="minorHAnsi" w:hAnsiTheme="minorHAnsi" w:cstheme="minorHAnsi"/>
          <w:sz w:val="20"/>
          <w:szCs w:val="20"/>
        </w:rPr>
        <w:t xml:space="preserve"> της τον Αύγουστο του 2022,  η κατανάλωση χάλυβα </w:t>
      </w:r>
      <w:r w:rsidR="00CD21D9">
        <w:rPr>
          <w:rStyle w:val="jlqj4b"/>
          <w:rFonts w:asciiTheme="minorHAnsi" w:hAnsiTheme="minorHAnsi" w:cstheme="minorHAnsi"/>
          <w:sz w:val="20"/>
          <w:szCs w:val="20"/>
        </w:rPr>
        <w:t xml:space="preserve">στην  Ευρώπη κατά το τρέχον έτος </w:t>
      </w:r>
      <w:r w:rsidR="00CC5C53" w:rsidRPr="003A1517">
        <w:rPr>
          <w:rStyle w:val="jlqj4b"/>
          <w:rFonts w:asciiTheme="minorHAnsi" w:hAnsiTheme="minorHAnsi" w:cstheme="minorHAnsi"/>
          <w:sz w:val="20"/>
          <w:szCs w:val="20"/>
        </w:rPr>
        <w:t xml:space="preserve">αναμένεται να </w:t>
      </w:r>
      <w:r w:rsidR="003728AC">
        <w:rPr>
          <w:rStyle w:val="jlqj4b"/>
          <w:rFonts w:asciiTheme="minorHAnsi" w:hAnsiTheme="minorHAnsi" w:cstheme="minorHAnsi"/>
          <w:sz w:val="20"/>
          <w:szCs w:val="20"/>
        </w:rPr>
        <w:t>σημειώσει</w:t>
      </w:r>
      <w:r w:rsidR="00CC5C53" w:rsidRPr="003A1517">
        <w:rPr>
          <w:rStyle w:val="jlqj4b"/>
          <w:rFonts w:asciiTheme="minorHAnsi" w:hAnsiTheme="minorHAnsi" w:cstheme="minorHAnsi"/>
          <w:sz w:val="20"/>
          <w:szCs w:val="20"/>
        </w:rPr>
        <w:t xml:space="preserve"> </w:t>
      </w:r>
      <w:r w:rsidR="00CD21D9">
        <w:rPr>
          <w:rStyle w:val="jlqj4b"/>
          <w:rFonts w:asciiTheme="minorHAnsi" w:hAnsiTheme="minorHAnsi" w:cstheme="minorHAnsi"/>
          <w:sz w:val="20"/>
          <w:szCs w:val="20"/>
        </w:rPr>
        <w:t>μείωση</w:t>
      </w:r>
      <w:r w:rsidR="00CD21D9" w:rsidRPr="003A1517">
        <w:rPr>
          <w:rStyle w:val="jlqj4b"/>
          <w:rFonts w:asciiTheme="minorHAnsi" w:hAnsiTheme="minorHAnsi" w:cstheme="minorHAnsi"/>
          <w:sz w:val="20"/>
          <w:szCs w:val="20"/>
        </w:rPr>
        <w:t xml:space="preserve"> </w:t>
      </w:r>
      <w:r w:rsidR="00CD21D9">
        <w:rPr>
          <w:rStyle w:val="jlqj4b"/>
          <w:rFonts w:asciiTheme="minorHAnsi" w:hAnsiTheme="minorHAnsi" w:cstheme="minorHAnsi"/>
          <w:sz w:val="20"/>
          <w:szCs w:val="20"/>
        </w:rPr>
        <w:t>-</w:t>
      </w:r>
      <w:r w:rsidR="00CD21D9" w:rsidRPr="003A1517">
        <w:rPr>
          <w:rStyle w:val="jlqj4b"/>
          <w:rFonts w:asciiTheme="minorHAnsi" w:hAnsiTheme="minorHAnsi" w:cstheme="minorHAnsi"/>
          <w:sz w:val="20"/>
          <w:szCs w:val="20"/>
        </w:rPr>
        <w:t>αν και μέτρια (-1,7</w:t>
      </w:r>
      <w:r w:rsidR="00CD21D9">
        <w:rPr>
          <w:rStyle w:val="jlqj4b"/>
          <w:rFonts w:asciiTheme="minorHAnsi" w:hAnsiTheme="minorHAnsi" w:cstheme="minorHAnsi"/>
          <w:sz w:val="20"/>
          <w:szCs w:val="20"/>
        </w:rPr>
        <w:t>%)</w:t>
      </w:r>
      <w:r w:rsidR="00401728">
        <w:rPr>
          <w:rStyle w:val="jlqj4b"/>
          <w:rFonts w:asciiTheme="minorHAnsi" w:hAnsiTheme="minorHAnsi" w:cstheme="minorHAnsi"/>
          <w:sz w:val="20"/>
          <w:szCs w:val="20"/>
        </w:rPr>
        <w:t>.</w:t>
      </w:r>
      <w:r w:rsidR="00E67703" w:rsidRPr="00E67703">
        <w:rPr>
          <w:rStyle w:val="jlqj4b"/>
          <w:rFonts w:asciiTheme="minorHAnsi" w:hAnsiTheme="minorHAnsi" w:cstheme="minorHAnsi"/>
          <w:sz w:val="20"/>
          <w:szCs w:val="20"/>
        </w:rPr>
        <w:t xml:space="preserve"> </w:t>
      </w:r>
      <w:r w:rsidR="00CC5C53" w:rsidRPr="003A1517">
        <w:rPr>
          <w:rStyle w:val="jlqj4b"/>
          <w:rFonts w:asciiTheme="minorHAnsi" w:hAnsiTheme="minorHAnsi" w:cstheme="minorHAnsi"/>
          <w:sz w:val="20"/>
          <w:szCs w:val="20"/>
        </w:rPr>
        <w:t xml:space="preserve">Η φαινομενική κατανάλωση προβλέπεται να ανακάμψει το 2023 (+5,6%), αλλά η συνολική εξέλιξη της ζήτησης υπόκειται σε υψηλή αβεβαιότητα, η οποία αναμένεται να διαρκέσει τουλάχιστον μέχρι το πρώτο τρίμηνο του 2023, δεδομένων των απρόβλεπτων εξελίξεων στον πόλεμο Ρωσίας-Ουκρανίας και του αντικτύπου του </w:t>
      </w:r>
      <w:r w:rsidR="00EB5C8A">
        <w:rPr>
          <w:rStyle w:val="jlqj4b"/>
          <w:rFonts w:asciiTheme="minorHAnsi" w:hAnsiTheme="minorHAnsi" w:cstheme="minorHAnsi"/>
          <w:sz w:val="20"/>
          <w:szCs w:val="20"/>
        </w:rPr>
        <w:t>στην παγκόσμια οικονομία.</w:t>
      </w:r>
    </w:p>
    <w:p w14:paraId="37D9B6AB" w14:textId="77777777" w:rsidR="00CC5C53" w:rsidRPr="003A1517" w:rsidRDefault="00CC5C53" w:rsidP="00CC5C53">
      <w:pPr>
        <w:contextualSpacing/>
        <w:jc w:val="both"/>
        <w:rPr>
          <w:rStyle w:val="jlqj4b"/>
          <w:rFonts w:asciiTheme="minorHAnsi" w:hAnsiTheme="minorHAnsi" w:cstheme="minorHAnsi"/>
          <w:sz w:val="20"/>
          <w:szCs w:val="20"/>
        </w:rPr>
      </w:pPr>
    </w:p>
    <w:p w14:paraId="72846635" w14:textId="54657DF2" w:rsidR="00CB01B6" w:rsidRDefault="00077AC5" w:rsidP="00CC5C53">
      <w:pPr>
        <w:contextualSpacing/>
        <w:jc w:val="both"/>
        <w:rPr>
          <w:rFonts w:asciiTheme="minorHAnsi" w:hAnsiTheme="minorHAnsi" w:cstheme="minorHAnsi"/>
          <w:sz w:val="20"/>
          <w:szCs w:val="20"/>
        </w:rPr>
      </w:pPr>
      <w:r w:rsidRPr="00077AC5">
        <w:rPr>
          <w:rFonts w:asciiTheme="minorHAnsi" w:hAnsiTheme="minorHAnsi" w:cstheme="minorHAnsi"/>
          <w:b/>
          <w:bCs/>
          <w:sz w:val="20"/>
          <w:szCs w:val="20"/>
        </w:rPr>
        <w:lastRenderedPageBreak/>
        <w:t>Η εταιρεία</w:t>
      </w:r>
      <w:r>
        <w:rPr>
          <w:rFonts w:asciiTheme="minorHAnsi" w:hAnsiTheme="minorHAnsi" w:cstheme="minorHAnsi"/>
          <w:sz w:val="20"/>
          <w:szCs w:val="20"/>
        </w:rPr>
        <w:t xml:space="preserve"> δεν παραβλέπει τους ισχυρούς παράγοντες αβεβαιότητας, </w:t>
      </w:r>
      <w:r w:rsidR="00E67703">
        <w:rPr>
          <w:rFonts w:asciiTheme="minorHAnsi" w:hAnsiTheme="minorHAnsi" w:cstheme="minorHAnsi"/>
          <w:sz w:val="20"/>
          <w:szCs w:val="20"/>
        </w:rPr>
        <w:t>που καθιστούν δυσχερείς τις προβλέψεις. Σ</w:t>
      </w:r>
      <w:r>
        <w:rPr>
          <w:rFonts w:asciiTheme="minorHAnsi" w:hAnsiTheme="minorHAnsi" w:cstheme="minorHAnsi"/>
          <w:sz w:val="20"/>
          <w:szCs w:val="20"/>
        </w:rPr>
        <w:t xml:space="preserve">το βασικό σενάριο των εξελίξεων, </w:t>
      </w:r>
      <w:r w:rsidR="00E67703">
        <w:rPr>
          <w:rFonts w:asciiTheme="minorHAnsi" w:hAnsiTheme="minorHAnsi" w:cstheme="minorHAnsi"/>
          <w:sz w:val="20"/>
          <w:szCs w:val="20"/>
        </w:rPr>
        <w:t>πάντως,</w:t>
      </w:r>
      <w:r>
        <w:rPr>
          <w:rFonts w:asciiTheme="minorHAnsi" w:hAnsiTheme="minorHAnsi" w:cstheme="minorHAnsi"/>
          <w:sz w:val="20"/>
          <w:szCs w:val="20"/>
        </w:rPr>
        <w:t xml:space="preserve"> </w:t>
      </w:r>
      <w:r w:rsidR="00506FF4" w:rsidRPr="00EF640F">
        <w:rPr>
          <w:rFonts w:asciiTheme="minorHAnsi" w:hAnsiTheme="minorHAnsi" w:cstheme="minorHAnsi"/>
          <w:sz w:val="20"/>
          <w:szCs w:val="20"/>
        </w:rPr>
        <w:t>αξιολογ</w:t>
      </w:r>
      <w:r>
        <w:rPr>
          <w:rFonts w:asciiTheme="minorHAnsi" w:hAnsiTheme="minorHAnsi" w:cstheme="minorHAnsi"/>
          <w:sz w:val="20"/>
          <w:szCs w:val="20"/>
        </w:rPr>
        <w:t>ώντας</w:t>
      </w:r>
      <w:r w:rsidR="00506FF4" w:rsidRPr="00EF640F">
        <w:rPr>
          <w:rFonts w:asciiTheme="minorHAnsi" w:hAnsiTheme="minorHAnsi" w:cstheme="minorHAnsi"/>
          <w:sz w:val="20"/>
          <w:szCs w:val="20"/>
        </w:rPr>
        <w:t xml:space="preserve"> τις επιπτώσεις και τους κινδύνους</w:t>
      </w:r>
      <w:r>
        <w:rPr>
          <w:rFonts w:asciiTheme="minorHAnsi" w:hAnsiTheme="minorHAnsi" w:cstheme="minorHAnsi"/>
          <w:sz w:val="20"/>
          <w:szCs w:val="20"/>
        </w:rPr>
        <w:t>,</w:t>
      </w:r>
      <w:r w:rsidR="00506FF4" w:rsidRPr="00EF640F">
        <w:rPr>
          <w:rFonts w:asciiTheme="minorHAnsi" w:hAnsiTheme="minorHAnsi" w:cstheme="minorHAnsi"/>
          <w:sz w:val="20"/>
          <w:szCs w:val="20"/>
        </w:rPr>
        <w:t xml:space="preserve"> εκτιμά ότι </w:t>
      </w:r>
      <w:r>
        <w:rPr>
          <w:rFonts w:asciiTheme="minorHAnsi" w:hAnsiTheme="minorHAnsi" w:cstheme="minorHAnsi"/>
          <w:sz w:val="20"/>
          <w:szCs w:val="20"/>
        </w:rPr>
        <w:t xml:space="preserve">η λειτουργία και τα αποτελέσματά της </w:t>
      </w:r>
      <w:r w:rsidR="00506FF4" w:rsidRPr="00EF640F">
        <w:rPr>
          <w:rFonts w:asciiTheme="minorHAnsi" w:hAnsiTheme="minorHAnsi" w:cstheme="minorHAnsi"/>
          <w:sz w:val="20"/>
          <w:szCs w:val="20"/>
        </w:rPr>
        <w:t>δεν πρόκειται να επηρεαστ</w:t>
      </w:r>
      <w:r>
        <w:rPr>
          <w:rFonts w:asciiTheme="minorHAnsi" w:hAnsiTheme="minorHAnsi" w:cstheme="minorHAnsi"/>
          <w:sz w:val="20"/>
          <w:szCs w:val="20"/>
        </w:rPr>
        <w:t>ούν</w:t>
      </w:r>
      <w:r w:rsidR="00506FF4" w:rsidRPr="00EF640F">
        <w:rPr>
          <w:rFonts w:asciiTheme="minorHAnsi" w:hAnsiTheme="minorHAnsi" w:cstheme="minorHAnsi"/>
          <w:sz w:val="20"/>
          <w:szCs w:val="20"/>
        </w:rPr>
        <w:t xml:space="preserve"> ουσιωδώς. </w:t>
      </w:r>
      <w:r w:rsidR="00ED1089">
        <w:rPr>
          <w:rFonts w:asciiTheme="minorHAnsi" w:hAnsiTheme="minorHAnsi" w:cstheme="minorHAnsi"/>
          <w:sz w:val="20"/>
          <w:szCs w:val="20"/>
        </w:rPr>
        <w:t>Η ζήτηση δείχνει ανθεκτικότητα ενώ η εξέλιξη των τιμών δεν φαίνεται να μπορεί να επηρεάσει περαιτέρω τη διαμόρφωση των περιθωρίων κέρδους. Η</w:t>
      </w:r>
      <w:r w:rsidR="00506FF4" w:rsidRPr="00EF640F">
        <w:rPr>
          <w:rFonts w:asciiTheme="minorHAnsi" w:hAnsiTheme="minorHAnsi" w:cstheme="minorHAnsi"/>
          <w:sz w:val="20"/>
          <w:szCs w:val="20"/>
        </w:rPr>
        <w:t xml:space="preserve"> αύξηση των επιτοκίων</w:t>
      </w:r>
      <w:r w:rsidR="00ED1089">
        <w:rPr>
          <w:rFonts w:asciiTheme="minorHAnsi" w:hAnsiTheme="minorHAnsi" w:cstheme="minorHAnsi"/>
          <w:sz w:val="20"/>
          <w:szCs w:val="20"/>
        </w:rPr>
        <w:t>, βεβαίως,</w:t>
      </w:r>
      <w:r w:rsidR="00506FF4" w:rsidRPr="00EF640F">
        <w:rPr>
          <w:rFonts w:asciiTheme="minorHAnsi" w:hAnsiTheme="minorHAnsi" w:cstheme="minorHAnsi"/>
          <w:sz w:val="20"/>
          <w:szCs w:val="20"/>
        </w:rPr>
        <w:t xml:space="preserve"> θα επιβαρύνει ταμειακά τόσο την εταιρεία όσο και τον Όμιλο καθώς θα αυξήσει τις καταβολές τόκων</w:t>
      </w:r>
      <w:r w:rsidR="00506FF4">
        <w:rPr>
          <w:rFonts w:asciiTheme="minorHAnsi" w:hAnsiTheme="minorHAnsi" w:cstheme="minorHAnsi"/>
          <w:sz w:val="20"/>
          <w:szCs w:val="20"/>
        </w:rPr>
        <w:t>.</w:t>
      </w:r>
      <w:r w:rsidR="00ED1089">
        <w:rPr>
          <w:rFonts w:asciiTheme="minorHAnsi" w:hAnsiTheme="minorHAnsi" w:cstheme="minorHAnsi"/>
          <w:sz w:val="20"/>
          <w:szCs w:val="20"/>
        </w:rPr>
        <w:t xml:space="preserve"> </w:t>
      </w:r>
    </w:p>
    <w:p w14:paraId="09E655FD" w14:textId="77777777" w:rsidR="006E5205" w:rsidRDefault="006E5205" w:rsidP="00CB01B6">
      <w:pPr>
        <w:contextualSpacing/>
        <w:jc w:val="both"/>
        <w:rPr>
          <w:rStyle w:val="jlqj4b"/>
          <w:rFonts w:asciiTheme="minorHAnsi" w:hAnsiTheme="minorHAnsi" w:cstheme="minorHAnsi"/>
          <w:sz w:val="20"/>
          <w:szCs w:val="20"/>
        </w:rPr>
      </w:pPr>
    </w:p>
    <w:p w14:paraId="1DCF66B3" w14:textId="3EE37E19" w:rsidR="00CC5C53" w:rsidRPr="003A1517" w:rsidRDefault="00CC5C53" w:rsidP="00CB01B6">
      <w:pPr>
        <w:contextualSpacing/>
        <w:jc w:val="both"/>
        <w:rPr>
          <w:rStyle w:val="jlqj4b"/>
          <w:rFonts w:asciiTheme="minorHAnsi" w:hAnsiTheme="minorHAnsi" w:cstheme="minorHAnsi"/>
          <w:sz w:val="20"/>
          <w:szCs w:val="20"/>
        </w:rPr>
      </w:pPr>
      <w:r w:rsidRPr="003A1517">
        <w:rPr>
          <w:rStyle w:val="jlqj4b"/>
          <w:rFonts w:asciiTheme="minorHAnsi" w:hAnsiTheme="minorHAnsi" w:cstheme="minorHAnsi"/>
          <w:sz w:val="20"/>
          <w:szCs w:val="20"/>
        </w:rPr>
        <w:t>Σε αυτό το ρευστό περιβάλλον</w:t>
      </w:r>
      <w:r w:rsidR="006E5205">
        <w:rPr>
          <w:rStyle w:val="jlqj4b"/>
          <w:rFonts w:asciiTheme="minorHAnsi" w:hAnsiTheme="minorHAnsi" w:cstheme="minorHAnsi"/>
          <w:sz w:val="20"/>
          <w:szCs w:val="20"/>
        </w:rPr>
        <w:t>,</w:t>
      </w:r>
      <w:r w:rsidRPr="003A1517">
        <w:rPr>
          <w:rStyle w:val="jlqj4b"/>
          <w:rFonts w:asciiTheme="minorHAnsi" w:hAnsiTheme="minorHAnsi" w:cstheme="minorHAnsi"/>
          <w:sz w:val="20"/>
          <w:szCs w:val="20"/>
        </w:rPr>
        <w:t xml:space="preserve"> </w:t>
      </w:r>
      <w:r w:rsidR="006E5205">
        <w:rPr>
          <w:rStyle w:val="jlqj4b"/>
          <w:rFonts w:asciiTheme="minorHAnsi" w:hAnsiTheme="minorHAnsi" w:cstheme="minorHAnsi"/>
          <w:sz w:val="20"/>
          <w:szCs w:val="20"/>
        </w:rPr>
        <w:t xml:space="preserve">η </w:t>
      </w:r>
      <w:r w:rsidR="006E5205" w:rsidRPr="006E5205">
        <w:rPr>
          <w:rStyle w:val="jlqj4b"/>
          <w:rFonts w:asciiTheme="minorHAnsi" w:hAnsiTheme="minorHAnsi" w:cstheme="minorHAnsi"/>
          <w:b/>
          <w:bCs/>
          <w:sz w:val="20"/>
          <w:szCs w:val="20"/>
        </w:rPr>
        <w:t>ΣΙΔΜΑ ΜΕΤΑΛΛΟΥΡΓΙΚΗ</w:t>
      </w:r>
      <w:r w:rsidRPr="003A1517">
        <w:rPr>
          <w:rStyle w:val="jlqj4b"/>
          <w:rFonts w:asciiTheme="minorHAnsi" w:hAnsiTheme="minorHAnsi" w:cstheme="minorHAnsi"/>
          <w:sz w:val="20"/>
          <w:szCs w:val="20"/>
        </w:rPr>
        <w:t xml:space="preserve"> παραμένει εστιασμέν</w:t>
      </w:r>
      <w:r w:rsidR="006E5205">
        <w:rPr>
          <w:rStyle w:val="jlqj4b"/>
          <w:rFonts w:asciiTheme="minorHAnsi" w:hAnsiTheme="minorHAnsi" w:cstheme="minorHAnsi"/>
          <w:sz w:val="20"/>
          <w:szCs w:val="20"/>
        </w:rPr>
        <w:t>η</w:t>
      </w:r>
      <w:r w:rsidRPr="003A1517">
        <w:rPr>
          <w:rStyle w:val="jlqj4b"/>
          <w:rFonts w:asciiTheme="minorHAnsi" w:hAnsiTheme="minorHAnsi" w:cstheme="minorHAnsi"/>
          <w:sz w:val="20"/>
          <w:szCs w:val="20"/>
        </w:rPr>
        <w:t xml:space="preserve"> στο στόχο τ</w:t>
      </w:r>
      <w:r w:rsidR="006E5205">
        <w:rPr>
          <w:rStyle w:val="jlqj4b"/>
          <w:rFonts w:asciiTheme="minorHAnsi" w:hAnsiTheme="minorHAnsi" w:cstheme="minorHAnsi"/>
          <w:sz w:val="20"/>
          <w:szCs w:val="20"/>
        </w:rPr>
        <w:t>ης</w:t>
      </w:r>
      <w:r w:rsidRPr="003A1517">
        <w:rPr>
          <w:rStyle w:val="jlqj4b"/>
          <w:rFonts w:asciiTheme="minorHAnsi" w:hAnsiTheme="minorHAnsi" w:cstheme="minorHAnsi"/>
          <w:sz w:val="20"/>
          <w:szCs w:val="20"/>
        </w:rPr>
        <w:t xml:space="preserve"> για βιώσιμη ανάπτυξη και συνεχή ενίσχυση του κύκλου εργασιών τ</w:t>
      </w:r>
      <w:r w:rsidR="006E5205">
        <w:rPr>
          <w:rStyle w:val="jlqj4b"/>
          <w:rFonts w:asciiTheme="minorHAnsi" w:hAnsiTheme="minorHAnsi" w:cstheme="minorHAnsi"/>
          <w:sz w:val="20"/>
          <w:szCs w:val="20"/>
        </w:rPr>
        <w:t>ης</w:t>
      </w:r>
      <w:r w:rsidRPr="003A1517">
        <w:rPr>
          <w:rStyle w:val="jlqj4b"/>
          <w:rFonts w:asciiTheme="minorHAnsi" w:hAnsiTheme="minorHAnsi" w:cstheme="minorHAnsi"/>
          <w:sz w:val="20"/>
          <w:szCs w:val="20"/>
        </w:rPr>
        <w:t xml:space="preserve"> με παράλληλη διατήρηση της κερδοφορίας τ</w:t>
      </w:r>
      <w:r w:rsidR="006E5205">
        <w:rPr>
          <w:rStyle w:val="jlqj4b"/>
          <w:rFonts w:asciiTheme="minorHAnsi" w:hAnsiTheme="minorHAnsi" w:cstheme="minorHAnsi"/>
          <w:sz w:val="20"/>
          <w:szCs w:val="20"/>
        </w:rPr>
        <w:t>ης</w:t>
      </w:r>
      <w:r w:rsidRPr="003A1517">
        <w:rPr>
          <w:rStyle w:val="jlqj4b"/>
          <w:rFonts w:asciiTheme="minorHAnsi" w:hAnsiTheme="minorHAnsi" w:cstheme="minorHAnsi"/>
          <w:sz w:val="20"/>
          <w:szCs w:val="20"/>
        </w:rPr>
        <w:t xml:space="preserve">. </w:t>
      </w:r>
    </w:p>
    <w:bookmarkEnd w:id="0"/>
    <w:p w14:paraId="1D964359" w14:textId="77777777" w:rsidR="00CC5C53" w:rsidRPr="00CC5C53" w:rsidRDefault="00CC5C53" w:rsidP="00CC5C53">
      <w:pPr>
        <w:contextualSpacing/>
        <w:jc w:val="both"/>
        <w:rPr>
          <w:rFonts w:asciiTheme="minorHAnsi" w:hAnsiTheme="minorHAnsi" w:cstheme="minorHAnsi"/>
          <w:sz w:val="20"/>
          <w:szCs w:val="20"/>
        </w:rPr>
      </w:pPr>
    </w:p>
    <w:p w14:paraId="5A8102DA" w14:textId="77777777" w:rsidR="00A922A0" w:rsidRDefault="00A922A0" w:rsidP="00A922A0">
      <w:pPr>
        <w:jc w:val="right"/>
        <w:rPr>
          <w:rFonts w:asciiTheme="minorHAnsi" w:hAnsiTheme="minorHAnsi" w:cstheme="minorHAnsi"/>
          <w:sz w:val="20"/>
          <w:szCs w:val="20"/>
        </w:rPr>
      </w:pPr>
    </w:p>
    <w:p w14:paraId="015D3E49" w14:textId="55A9B144" w:rsidR="00695CAC" w:rsidRPr="00E161B4" w:rsidRDefault="00A922A0" w:rsidP="00A922A0">
      <w:pPr>
        <w:jc w:val="right"/>
      </w:pPr>
      <w:r>
        <w:rPr>
          <w:rFonts w:asciiTheme="minorHAnsi" w:hAnsiTheme="minorHAnsi" w:cstheme="minorHAnsi"/>
          <w:sz w:val="20"/>
          <w:szCs w:val="20"/>
        </w:rPr>
        <w:t>Ασπρόπυργος, 2</w:t>
      </w:r>
      <w:r w:rsidR="008D75DA">
        <w:rPr>
          <w:rFonts w:asciiTheme="minorHAnsi" w:hAnsiTheme="minorHAnsi" w:cstheme="minorHAnsi"/>
          <w:sz w:val="20"/>
          <w:szCs w:val="20"/>
          <w:lang w:val="en-GB"/>
        </w:rPr>
        <w:t>3</w:t>
      </w:r>
      <w:r>
        <w:rPr>
          <w:rFonts w:asciiTheme="minorHAnsi" w:hAnsiTheme="minorHAnsi" w:cstheme="minorHAnsi"/>
          <w:sz w:val="20"/>
          <w:szCs w:val="20"/>
        </w:rPr>
        <w:t xml:space="preserve"> Σεπτεμβρίου 2022</w:t>
      </w:r>
    </w:p>
    <w:sectPr w:rsidR="00695CAC" w:rsidRPr="00E161B4" w:rsidSect="00F85917">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A42A6" w14:textId="77777777" w:rsidR="00AE7D17" w:rsidRDefault="00AE7D17" w:rsidP="00034FAA">
      <w:r>
        <w:separator/>
      </w:r>
    </w:p>
  </w:endnote>
  <w:endnote w:type="continuationSeparator" w:id="0">
    <w:p w14:paraId="2B3D0FCD" w14:textId="77777777" w:rsidR="00AE7D17" w:rsidRDefault="00AE7D17" w:rsidP="0003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E2210" w14:textId="77777777" w:rsidR="001F6781" w:rsidRDefault="001F6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1FA2" w14:textId="77777777" w:rsidR="001F6781" w:rsidRDefault="001F67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38CB1" w14:textId="77777777" w:rsidR="001F6781" w:rsidRDefault="001F6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54FB8" w14:textId="77777777" w:rsidR="00AE7D17" w:rsidRDefault="00AE7D17" w:rsidP="00034FAA">
      <w:r>
        <w:separator/>
      </w:r>
    </w:p>
  </w:footnote>
  <w:footnote w:type="continuationSeparator" w:id="0">
    <w:p w14:paraId="6EEBAC81" w14:textId="77777777" w:rsidR="00AE7D17" w:rsidRDefault="00AE7D17" w:rsidP="00034FAA">
      <w:r>
        <w:continuationSeparator/>
      </w:r>
    </w:p>
  </w:footnote>
  <w:footnote w:id="1">
    <w:p w14:paraId="38A39B06" w14:textId="77777777" w:rsidR="00CC5C53" w:rsidRPr="00C7546A" w:rsidRDefault="00CC5C53" w:rsidP="00CC5C53">
      <w:pPr>
        <w:pStyle w:val="FootnoteText"/>
        <w:rPr>
          <w:rFonts w:ascii="Tahoma" w:hAnsi="Tahoma" w:cs="Tahoma"/>
          <w:sz w:val="16"/>
          <w:szCs w:val="16"/>
        </w:rPr>
      </w:pPr>
      <w:r w:rsidRPr="00C7546A">
        <w:rPr>
          <w:rStyle w:val="FootnoteReference"/>
          <w:rFonts w:ascii="Tahoma" w:hAnsi="Tahoma" w:cs="Tahoma"/>
          <w:sz w:val="16"/>
          <w:szCs w:val="16"/>
        </w:rPr>
        <w:footnoteRef/>
      </w:r>
      <w:r w:rsidRPr="00C7546A">
        <w:rPr>
          <w:rFonts w:ascii="Tahoma" w:hAnsi="Tahoma" w:cs="Tahoma"/>
          <w:sz w:val="16"/>
          <w:szCs w:val="16"/>
        </w:rPr>
        <w:t xml:space="preserve"> </w:t>
      </w:r>
      <w:r w:rsidRPr="00C7546A">
        <w:rPr>
          <w:rFonts w:ascii="Tahoma" w:hAnsi="Tahoma" w:cs="Tahoma"/>
          <w:sz w:val="16"/>
          <w:szCs w:val="16"/>
          <w:lang w:val="en-GB"/>
        </w:rPr>
        <w:t>https://economy-finance.ec.europa.eu/economic-surveillance-eu-economies/greece/economic-forecast-greece_en</w:t>
      </w:r>
    </w:p>
  </w:footnote>
  <w:footnote w:id="2">
    <w:p w14:paraId="777EFF48" w14:textId="77777777" w:rsidR="00CC5C53" w:rsidRPr="00C7546A" w:rsidRDefault="00CC5C53" w:rsidP="00CC5C53">
      <w:pPr>
        <w:pStyle w:val="FootnoteText"/>
        <w:rPr>
          <w:rFonts w:ascii="Tahoma" w:hAnsi="Tahoma" w:cs="Tahoma"/>
          <w:sz w:val="16"/>
          <w:szCs w:val="16"/>
        </w:rPr>
      </w:pPr>
      <w:r w:rsidRPr="00C7546A">
        <w:rPr>
          <w:rStyle w:val="FootnoteReference"/>
          <w:rFonts w:ascii="Tahoma" w:hAnsi="Tahoma" w:cs="Tahoma"/>
          <w:sz w:val="16"/>
          <w:szCs w:val="16"/>
        </w:rPr>
        <w:footnoteRef/>
      </w:r>
      <w:r w:rsidRPr="00C7546A">
        <w:rPr>
          <w:rFonts w:ascii="Tahoma" w:hAnsi="Tahoma" w:cs="Tahoma"/>
          <w:sz w:val="16"/>
          <w:szCs w:val="16"/>
        </w:rPr>
        <w:t xml:space="preserve"> https://economy-finance.ec.europa.eu/economic-surveillance-eu-economies/romania/economic-forecast-romania_en</w:t>
      </w:r>
    </w:p>
  </w:footnote>
  <w:footnote w:id="3">
    <w:p w14:paraId="5E145FA5" w14:textId="77777777" w:rsidR="00CC5C53" w:rsidRPr="00E014BC" w:rsidRDefault="00CC5C53" w:rsidP="00CC5C53">
      <w:pPr>
        <w:pStyle w:val="FootnoteText"/>
        <w:rPr>
          <w:rFonts w:asciiTheme="minorHAnsi" w:hAnsiTheme="minorHAnsi" w:cstheme="minorHAnsi"/>
          <w:sz w:val="18"/>
          <w:szCs w:val="18"/>
        </w:rPr>
      </w:pPr>
      <w:r w:rsidRPr="00C7546A">
        <w:rPr>
          <w:rStyle w:val="FootnoteReference"/>
          <w:rFonts w:ascii="Tahoma" w:hAnsi="Tahoma" w:cs="Tahoma"/>
          <w:sz w:val="16"/>
          <w:szCs w:val="16"/>
        </w:rPr>
        <w:footnoteRef/>
      </w:r>
      <w:r w:rsidRPr="00C7546A">
        <w:rPr>
          <w:rFonts w:ascii="Tahoma" w:hAnsi="Tahoma" w:cs="Tahoma"/>
          <w:sz w:val="16"/>
          <w:szCs w:val="16"/>
        </w:rPr>
        <w:t xml:space="preserve"> </w:t>
      </w:r>
      <w:r w:rsidRPr="00F97DB5">
        <w:rPr>
          <w:rFonts w:ascii="Tahoma" w:hAnsi="Tahoma" w:cs="Tahoma"/>
          <w:sz w:val="16"/>
          <w:szCs w:val="16"/>
          <w:lang w:val="en-GB"/>
        </w:rPr>
        <w:t>https</w:t>
      </w:r>
      <w:r w:rsidRPr="00F97DB5">
        <w:rPr>
          <w:rFonts w:ascii="Tahoma" w:hAnsi="Tahoma" w:cs="Tahoma"/>
          <w:sz w:val="16"/>
          <w:szCs w:val="16"/>
        </w:rPr>
        <w:t>://</w:t>
      </w:r>
      <w:r w:rsidRPr="00F97DB5">
        <w:rPr>
          <w:rFonts w:ascii="Tahoma" w:hAnsi="Tahoma" w:cs="Tahoma"/>
          <w:sz w:val="16"/>
          <w:szCs w:val="16"/>
          <w:lang w:val="en-GB"/>
        </w:rPr>
        <w:t>economy</w:t>
      </w:r>
      <w:r w:rsidRPr="00F97DB5">
        <w:rPr>
          <w:rFonts w:ascii="Tahoma" w:hAnsi="Tahoma" w:cs="Tahoma"/>
          <w:sz w:val="16"/>
          <w:szCs w:val="16"/>
        </w:rPr>
        <w:t>-</w:t>
      </w:r>
      <w:r w:rsidRPr="00F97DB5">
        <w:rPr>
          <w:rFonts w:ascii="Tahoma" w:hAnsi="Tahoma" w:cs="Tahoma"/>
          <w:sz w:val="16"/>
          <w:szCs w:val="16"/>
          <w:lang w:val="en-GB"/>
        </w:rPr>
        <w:t>finance</w:t>
      </w:r>
      <w:r w:rsidRPr="00F97DB5">
        <w:rPr>
          <w:rFonts w:ascii="Tahoma" w:hAnsi="Tahoma" w:cs="Tahoma"/>
          <w:sz w:val="16"/>
          <w:szCs w:val="16"/>
        </w:rPr>
        <w:t>.</w:t>
      </w:r>
      <w:proofErr w:type="spellStart"/>
      <w:r w:rsidRPr="00F97DB5">
        <w:rPr>
          <w:rFonts w:ascii="Tahoma" w:hAnsi="Tahoma" w:cs="Tahoma"/>
          <w:sz w:val="16"/>
          <w:szCs w:val="16"/>
          <w:lang w:val="en-GB"/>
        </w:rPr>
        <w:t>ec</w:t>
      </w:r>
      <w:proofErr w:type="spellEnd"/>
      <w:r w:rsidRPr="00F97DB5">
        <w:rPr>
          <w:rFonts w:ascii="Tahoma" w:hAnsi="Tahoma" w:cs="Tahoma"/>
          <w:sz w:val="16"/>
          <w:szCs w:val="16"/>
        </w:rPr>
        <w:t>.</w:t>
      </w:r>
      <w:proofErr w:type="spellStart"/>
      <w:r w:rsidRPr="00F97DB5">
        <w:rPr>
          <w:rFonts w:ascii="Tahoma" w:hAnsi="Tahoma" w:cs="Tahoma"/>
          <w:sz w:val="16"/>
          <w:szCs w:val="16"/>
          <w:lang w:val="en-GB"/>
        </w:rPr>
        <w:t>europa</w:t>
      </w:r>
      <w:proofErr w:type="spellEnd"/>
      <w:r w:rsidRPr="00F97DB5">
        <w:rPr>
          <w:rFonts w:ascii="Tahoma" w:hAnsi="Tahoma" w:cs="Tahoma"/>
          <w:sz w:val="16"/>
          <w:szCs w:val="16"/>
        </w:rPr>
        <w:t>.</w:t>
      </w:r>
      <w:proofErr w:type="spellStart"/>
      <w:r w:rsidRPr="00F97DB5">
        <w:rPr>
          <w:rFonts w:ascii="Tahoma" w:hAnsi="Tahoma" w:cs="Tahoma"/>
          <w:sz w:val="16"/>
          <w:szCs w:val="16"/>
          <w:lang w:val="en-GB"/>
        </w:rPr>
        <w:t>eu</w:t>
      </w:r>
      <w:proofErr w:type="spellEnd"/>
      <w:r w:rsidRPr="00F97DB5">
        <w:rPr>
          <w:rFonts w:ascii="Tahoma" w:hAnsi="Tahoma" w:cs="Tahoma"/>
          <w:sz w:val="16"/>
          <w:szCs w:val="16"/>
        </w:rPr>
        <w:t>/</w:t>
      </w:r>
      <w:r w:rsidRPr="00F97DB5">
        <w:rPr>
          <w:rFonts w:ascii="Tahoma" w:hAnsi="Tahoma" w:cs="Tahoma"/>
          <w:sz w:val="16"/>
          <w:szCs w:val="16"/>
          <w:lang w:val="en-GB"/>
        </w:rPr>
        <w:t>economic</w:t>
      </w:r>
      <w:r w:rsidRPr="00F97DB5">
        <w:rPr>
          <w:rFonts w:ascii="Tahoma" w:hAnsi="Tahoma" w:cs="Tahoma"/>
          <w:sz w:val="16"/>
          <w:szCs w:val="16"/>
        </w:rPr>
        <w:t>-</w:t>
      </w:r>
      <w:r w:rsidRPr="00F97DB5">
        <w:rPr>
          <w:rFonts w:ascii="Tahoma" w:hAnsi="Tahoma" w:cs="Tahoma"/>
          <w:sz w:val="16"/>
          <w:szCs w:val="16"/>
          <w:lang w:val="en-GB"/>
        </w:rPr>
        <w:t>surveillance</w:t>
      </w:r>
      <w:r w:rsidRPr="00F97DB5">
        <w:rPr>
          <w:rFonts w:ascii="Tahoma" w:hAnsi="Tahoma" w:cs="Tahoma"/>
          <w:sz w:val="16"/>
          <w:szCs w:val="16"/>
        </w:rPr>
        <w:t>-</w:t>
      </w:r>
      <w:proofErr w:type="spellStart"/>
      <w:r w:rsidRPr="00F97DB5">
        <w:rPr>
          <w:rFonts w:ascii="Tahoma" w:hAnsi="Tahoma" w:cs="Tahoma"/>
          <w:sz w:val="16"/>
          <w:szCs w:val="16"/>
          <w:lang w:val="en-GB"/>
        </w:rPr>
        <w:t>eu</w:t>
      </w:r>
      <w:proofErr w:type="spellEnd"/>
      <w:r w:rsidRPr="00F97DB5">
        <w:rPr>
          <w:rFonts w:ascii="Tahoma" w:hAnsi="Tahoma" w:cs="Tahoma"/>
          <w:sz w:val="16"/>
          <w:szCs w:val="16"/>
        </w:rPr>
        <w:t>-</w:t>
      </w:r>
      <w:r w:rsidRPr="00F97DB5">
        <w:rPr>
          <w:rFonts w:ascii="Tahoma" w:hAnsi="Tahoma" w:cs="Tahoma"/>
          <w:sz w:val="16"/>
          <w:szCs w:val="16"/>
          <w:lang w:val="en-GB"/>
        </w:rPr>
        <w:t>economies</w:t>
      </w:r>
      <w:r w:rsidRPr="00F97DB5">
        <w:rPr>
          <w:rFonts w:ascii="Tahoma" w:hAnsi="Tahoma" w:cs="Tahoma"/>
          <w:sz w:val="16"/>
          <w:szCs w:val="16"/>
        </w:rPr>
        <w:t>/</w:t>
      </w:r>
      <w:proofErr w:type="spellStart"/>
      <w:r w:rsidRPr="00F97DB5">
        <w:rPr>
          <w:rFonts w:ascii="Tahoma" w:hAnsi="Tahoma" w:cs="Tahoma"/>
          <w:sz w:val="16"/>
          <w:szCs w:val="16"/>
          <w:lang w:val="en-GB"/>
        </w:rPr>
        <w:t>bulgaria</w:t>
      </w:r>
      <w:proofErr w:type="spellEnd"/>
      <w:r w:rsidRPr="00F97DB5">
        <w:rPr>
          <w:rFonts w:ascii="Tahoma" w:hAnsi="Tahoma" w:cs="Tahoma"/>
          <w:sz w:val="16"/>
          <w:szCs w:val="16"/>
        </w:rPr>
        <w:t>/</w:t>
      </w:r>
      <w:r w:rsidRPr="00F97DB5">
        <w:rPr>
          <w:rFonts w:ascii="Tahoma" w:hAnsi="Tahoma" w:cs="Tahoma"/>
          <w:sz w:val="16"/>
          <w:szCs w:val="16"/>
          <w:lang w:val="en-GB"/>
        </w:rPr>
        <w:t>economic</w:t>
      </w:r>
      <w:r w:rsidRPr="00F97DB5">
        <w:rPr>
          <w:rFonts w:ascii="Tahoma" w:hAnsi="Tahoma" w:cs="Tahoma"/>
          <w:sz w:val="16"/>
          <w:szCs w:val="16"/>
        </w:rPr>
        <w:t>-</w:t>
      </w:r>
      <w:r w:rsidRPr="00F97DB5">
        <w:rPr>
          <w:rFonts w:ascii="Tahoma" w:hAnsi="Tahoma" w:cs="Tahoma"/>
          <w:sz w:val="16"/>
          <w:szCs w:val="16"/>
          <w:lang w:val="en-GB"/>
        </w:rPr>
        <w:t>forecast</w:t>
      </w:r>
      <w:r w:rsidRPr="00F97DB5">
        <w:rPr>
          <w:rFonts w:ascii="Tahoma" w:hAnsi="Tahoma" w:cs="Tahoma"/>
          <w:sz w:val="16"/>
          <w:szCs w:val="16"/>
        </w:rPr>
        <w:t>-</w:t>
      </w:r>
      <w:proofErr w:type="spellStart"/>
      <w:r w:rsidRPr="00F97DB5">
        <w:rPr>
          <w:rFonts w:ascii="Tahoma" w:hAnsi="Tahoma" w:cs="Tahoma"/>
          <w:sz w:val="16"/>
          <w:szCs w:val="16"/>
          <w:lang w:val="en-GB"/>
        </w:rPr>
        <w:t>bulgaria</w:t>
      </w:r>
      <w:proofErr w:type="spellEnd"/>
      <w:r w:rsidRPr="00F97DB5">
        <w:rPr>
          <w:rFonts w:ascii="Tahoma" w:hAnsi="Tahoma" w:cs="Tahoma"/>
          <w:sz w:val="16"/>
          <w:szCs w:val="16"/>
        </w:rPr>
        <w:t>_</w:t>
      </w:r>
      <w:proofErr w:type="spellStart"/>
      <w:r w:rsidRPr="00F97DB5">
        <w:rPr>
          <w:rFonts w:ascii="Tahoma" w:hAnsi="Tahoma" w:cs="Tahoma"/>
          <w:sz w:val="16"/>
          <w:szCs w:val="16"/>
          <w:lang w:val="en-GB"/>
        </w:rPr>
        <w:t>en</w:t>
      </w:r>
      <w:proofErr w:type="spellEnd"/>
    </w:p>
  </w:footnote>
  <w:footnote w:id="4">
    <w:p w14:paraId="4EA62BC3" w14:textId="77777777" w:rsidR="00CC5C53" w:rsidRPr="006375A7" w:rsidRDefault="00CC5C53" w:rsidP="00CC5C53">
      <w:pPr>
        <w:pStyle w:val="FootnoteText"/>
      </w:pPr>
      <w:r w:rsidRPr="005A2AE9">
        <w:rPr>
          <w:rStyle w:val="FootnoteReference"/>
          <w:rFonts w:asciiTheme="minorHAnsi" w:hAnsiTheme="minorHAnsi" w:cstheme="minorHAnsi"/>
          <w:sz w:val="18"/>
          <w:szCs w:val="18"/>
        </w:rPr>
        <w:footnoteRef/>
      </w:r>
      <w:r w:rsidRPr="006375A7">
        <w:rPr>
          <w:rFonts w:asciiTheme="minorHAnsi" w:hAnsiTheme="minorHAnsi" w:cstheme="minorHAnsi"/>
          <w:sz w:val="18"/>
          <w:szCs w:val="18"/>
        </w:rPr>
        <w:t xml:space="preserve"> </w:t>
      </w:r>
      <w:r w:rsidRPr="00E014BC">
        <w:rPr>
          <w:rFonts w:ascii="Tahoma" w:hAnsi="Tahoma" w:cs="Tahoma"/>
          <w:sz w:val="14"/>
          <w:szCs w:val="14"/>
          <w:lang w:val="en-US"/>
        </w:rPr>
        <w:t>https</w:t>
      </w:r>
      <w:r w:rsidRPr="006375A7">
        <w:rPr>
          <w:rFonts w:ascii="Tahoma" w:hAnsi="Tahoma" w:cs="Tahoma"/>
          <w:sz w:val="14"/>
          <w:szCs w:val="14"/>
        </w:rPr>
        <w:t>://</w:t>
      </w:r>
      <w:r w:rsidRPr="00E014BC">
        <w:rPr>
          <w:rFonts w:ascii="Tahoma" w:hAnsi="Tahoma" w:cs="Tahoma"/>
          <w:sz w:val="14"/>
          <w:szCs w:val="14"/>
          <w:lang w:val="en-US"/>
        </w:rPr>
        <w:t>www</w:t>
      </w:r>
      <w:r w:rsidRPr="006375A7">
        <w:rPr>
          <w:rFonts w:ascii="Tahoma" w:hAnsi="Tahoma" w:cs="Tahoma"/>
          <w:sz w:val="14"/>
          <w:szCs w:val="14"/>
        </w:rPr>
        <w:t>.</w:t>
      </w:r>
      <w:proofErr w:type="spellStart"/>
      <w:r w:rsidRPr="00E014BC">
        <w:rPr>
          <w:rFonts w:ascii="Tahoma" w:hAnsi="Tahoma" w:cs="Tahoma"/>
          <w:sz w:val="14"/>
          <w:szCs w:val="14"/>
          <w:lang w:val="en-US"/>
        </w:rPr>
        <w:t>eurofer</w:t>
      </w:r>
      <w:proofErr w:type="spellEnd"/>
      <w:r w:rsidRPr="006375A7">
        <w:rPr>
          <w:rFonts w:ascii="Tahoma" w:hAnsi="Tahoma" w:cs="Tahoma"/>
          <w:sz w:val="14"/>
          <w:szCs w:val="14"/>
        </w:rPr>
        <w:t>.</w:t>
      </w:r>
      <w:proofErr w:type="spellStart"/>
      <w:r w:rsidRPr="00E014BC">
        <w:rPr>
          <w:rFonts w:ascii="Tahoma" w:hAnsi="Tahoma" w:cs="Tahoma"/>
          <w:sz w:val="14"/>
          <w:szCs w:val="14"/>
          <w:lang w:val="en-US"/>
        </w:rPr>
        <w:t>eu</w:t>
      </w:r>
      <w:proofErr w:type="spellEnd"/>
      <w:r w:rsidRPr="006375A7">
        <w:rPr>
          <w:rFonts w:ascii="Tahoma" w:hAnsi="Tahoma" w:cs="Tahoma"/>
          <w:sz w:val="14"/>
          <w:szCs w:val="14"/>
        </w:rPr>
        <w:t>/</w:t>
      </w:r>
      <w:r w:rsidRPr="00E014BC">
        <w:rPr>
          <w:rFonts w:ascii="Tahoma" w:hAnsi="Tahoma" w:cs="Tahoma"/>
          <w:sz w:val="14"/>
          <w:szCs w:val="14"/>
          <w:lang w:val="en-US"/>
        </w:rPr>
        <w:t>assets</w:t>
      </w:r>
      <w:r w:rsidRPr="006375A7">
        <w:rPr>
          <w:rFonts w:ascii="Tahoma" w:hAnsi="Tahoma" w:cs="Tahoma"/>
          <w:sz w:val="14"/>
          <w:szCs w:val="14"/>
        </w:rPr>
        <w:t>/</w:t>
      </w:r>
      <w:r w:rsidRPr="00E014BC">
        <w:rPr>
          <w:rFonts w:ascii="Tahoma" w:hAnsi="Tahoma" w:cs="Tahoma"/>
          <w:sz w:val="14"/>
          <w:szCs w:val="14"/>
          <w:lang w:val="en-US"/>
        </w:rPr>
        <w:t>publications</w:t>
      </w:r>
      <w:r w:rsidRPr="006375A7">
        <w:rPr>
          <w:rFonts w:ascii="Tahoma" w:hAnsi="Tahoma" w:cs="Tahoma"/>
          <w:sz w:val="14"/>
          <w:szCs w:val="14"/>
        </w:rPr>
        <w:t>/</w:t>
      </w:r>
      <w:r w:rsidRPr="00E014BC">
        <w:rPr>
          <w:rFonts w:ascii="Tahoma" w:hAnsi="Tahoma" w:cs="Tahoma"/>
          <w:sz w:val="14"/>
          <w:szCs w:val="14"/>
          <w:lang w:val="en-US"/>
        </w:rPr>
        <w:t>economic</w:t>
      </w:r>
      <w:r w:rsidRPr="006375A7">
        <w:rPr>
          <w:rFonts w:ascii="Tahoma" w:hAnsi="Tahoma" w:cs="Tahoma"/>
          <w:sz w:val="14"/>
          <w:szCs w:val="14"/>
        </w:rPr>
        <w:t>-</w:t>
      </w:r>
      <w:r w:rsidRPr="00E014BC">
        <w:rPr>
          <w:rFonts w:ascii="Tahoma" w:hAnsi="Tahoma" w:cs="Tahoma"/>
          <w:sz w:val="14"/>
          <w:szCs w:val="14"/>
          <w:lang w:val="en-US"/>
        </w:rPr>
        <w:t>market</w:t>
      </w:r>
      <w:r w:rsidRPr="006375A7">
        <w:rPr>
          <w:rFonts w:ascii="Tahoma" w:hAnsi="Tahoma" w:cs="Tahoma"/>
          <w:sz w:val="14"/>
          <w:szCs w:val="14"/>
        </w:rPr>
        <w:t>-</w:t>
      </w:r>
      <w:r w:rsidRPr="00E014BC">
        <w:rPr>
          <w:rFonts w:ascii="Tahoma" w:hAnsi="Tahoma" w:cs="Tahoma"/>
          <w:sz w:val="14"/>
          <w:szCs w:val="14"/>
          <w:lang w:val="en-US"/>
        </w:rPr>
        <w:t>outlook</w:t>
      </w:r>
      <w:r w:rsidRPr="006375A7">
        <w:rPr>
          <w:rFonts w:ascii="Tahoma" w:hAnsi="Tahoma" w:cs="Tahoma"/>
          <w:sz w:val="14"/>
          <w:szCs w:val="14"/>
        </w:rPr>
        <w:t>/</w:t>
      </w:r>
      <w:r w:rsidRPr="00E014BC">
        <w:rPr>
          <w:rFonts w:ascii="Tahoma" w:hAnsi="Tahoma" w:cs="Tahoma"/>
          <w:sz w:val="14"/>
          <w:szCs w:val="14"/>
          <w:lang w:val="en-US"/>
        </w:rPr>
        <w:t>economic</w:t>
      </w:r>
      <w:r w:rsidRPr="006375A7">
        <w:rPr>
          <w:rFonts w:ascii="Tahoma" w:hAnsi="Tahoma" w:cs="Tahoma"/>
          <w:sz w:val="14"/>
          <w:szCs w:val="14"/>
        </w:rPr>
        <w:t>-</w:t>
      </w:r>
      <w:r w:rsidRPr="00E014BC">
        <w:rPr>
          <w:rFonts w:ascii="Tahoma" w:hAnsi="Tahoma" w:cs="Tahoma"/>
          <w:sz w:val="14"/>
          <w:szCs w:val="14"/>
          <w:lang w:val="en-US"/>
        </w:rPr>
        <w:t>and</w:t>
      </w:r>
      <w:r w:rsidRPr="006375A7">
        <w:rPr>
          <w:rFonts w:ascii="Tahoma" w:hAnsi="Tahoma" w:cs="Tahoma"/>
          <w:sz w:val="14"/>
          <w:szCs w:val="14"/>
        </w:rPr>
        <w:t>-</w:t>
      </w:r>
      <w:r w:rsidRPr="00E014BC">
        <w:rPr>
          <w:rFonts w:ascii="Tahoma" w:hAnsi="Tahoma" w:cs="Tahoma"/>
          <w:sz w:val="14"/>
          <w:szCs w:val="14"/>
          <w:lang w:val="en-US"/>
        </w:rPr>
        <w:t>steel</w:t>
      </w:r>
      <w:r w:rsidRPr="006375A7">
        <w:rPr>
          <w:rFonts w:ascii="Tahoma" w:hAnsi="Tahoma" w:cs="Tahoma"/>
          <w:sz w:val="14"/>
          <w:szCs w:val="14"/>
        </w:rPr>
        <w:t>-</w:t>
      </w:r>
      <w:r w:rsidRPr="00E014BC">
        <w:rPr>
          <w:rFonts w:ascii="Tahoma" w:hAnsi="Tahoma" w:cs="Tahoma"/>
          <w:sz w:val="14"/>
          <w:szCs w:val="14"/>
          <w:lang w:val="en-US"/>
        </w:rPr>
        <w:t>market</w:t>
      </w:r>
      <w:r w:rsidRPr="006375A7">
        <w:rPr>
          <w:rFonts w:ascii="Tahoma" w:hAnsi="Tahoma" w:cs="Tahoma"/>
          <w:sz w:val="14"/>
          <w:szCs w:val="14"/>
        </w:rPr>
        <w:t>-</w:t>
      </w:r>
      <w:r w:rsidRPr="00E014BC">
        <w:rPr>
          <w:rFonts w:ascii="Tahoma" w:hAnsi="Tahoma" w:cs="Tahoma"/>
          <w:sz w:val="14"/>
          <w:szCs w:val="14"/>
          <w:lang w:val="en-US"/>
        </w:rPr>
        <w:t>outlook</w:t>
      </w:r>
      <w:r w:rsidRPr="006375A7">
        <w:rPr>
          <w:rFonts w:ascii="Tahoma" w:hAnsi="Tahoma" w:cs="Tahoma"/>
          <w:sz w:val="14"/>
          <w:szCs w:val="14"/>
        </w:rPr>
        <w:t>-2022-2023-</w:t>
      </w:r>
      <w:r w:rsidRPr="00E014BC">
        <w:rPr>
          <w:rFonts w:ascii="Tahoma" w:hAnsi="Tahoma" w:cs="Tahoma"/>
          <w:sz w:val="14"/>
          <w:szCs w:val="14"/>
          <w:lang w:val="en-US"/>
        </w:rPr>
        <w:t>third</w:t>
      </w:r>
      <w:r w:rsidRPr="006375A7">
        <w:rPr>
          <w:rFonts w:ascii="Tahoma" w:hAnsi="Tahoma" w:cs="Tahoma"/>
          <w:sz w:val="14"/>
          <w:szCs w:val="14"/>
        </w:rPr>
        <w:t>-</w:t>
      </w:r>
      <w:r w:rsidRPr="00E014BC">
        <w:rPr>
          <w:rFonts w:ascii="Tahoma" w:hAnsi="Tahoma" w:cs="Tahoma"/>
          <w:sz w:val="14"/>
          <w:szCs w:val="14"/>
          <w:lang w:val="en-US"/>
        </w:rPr>
        <w:t>quarter</w:t>
      </w:r>
      <w:r w:rsidRPr="006375A7">
        <w:rPr>
          <w:rFonts w:ascii="Tahoma" w:hAnsi="Tahoma" w:cs="Tahoma"/>
          <w:sz w:val="14"/>
          <w:szCs w:val="14"/>
        </w:rPr>
        <w:t>/</w:t>
      </w:r>
      <w:r w:rsidRPr="00E014BC">
        <w:rPr>
          <w:rFonts w:ascii="Tahoma" w:hAnsi="Tahoma" w:cs="Tahoma"/>
          <w:sz w:val="14"/>
          <w:szCs w:val="14"/>
          <w:lang w:val="en-US"/>
        </w:rPr>
        <w:t>EUROFER</w:t>
      </w:r>
      <w:r w:rsidRPr="006375A7">
        <w:rPr>
          <w:rFonts w:ascii="Tahoma" w:hAnsi="Tahoma" w:cs="Tahoma"/>
          <w:sz w:val="14"/>
          <w:szCs w:val="14"/>
        </w:rPr>
        <w:t>_</w:t>
      </w:r>
      <w:r w:rsidRPr="00E014BC">
        <w:rPr>
          <w:rFonts w:ascii="Tahoma" w:hAnsi="Tahoma" w:cs="Tahoma"/>
          <w:sz w:val="14"/>
          <w:szCs w:val="14"/>
          <w:lang w:val="en-US"/>
        </w:rPr>
        <w:t>ECONOMIC</w:t>
      </w:r>
      <w:r w:rsidRPr="006375A7">
        <w:rPr>
          <w:rFonts w:ascii="Tahoma" w:hAnsi="Tahoma" w:cs="Tahoma"/>
          <w:sz w:val="14"/>
          <w:szCs w:val="14"/>
        </w:rPr>
        <w:t>_</w:t>
      </w:r>
      <w:r w:rsidRPr="00E014BC">
        <w:rPr>
          <w:rFonts w:ascii="Tahoma" w:hAnsi="Tahoma" w:cs="Tahoma"/>
          <w:sz w:val="14"/>
          <w:szCs w:val="14"/>
          <w:lang w:val="en-US"/>
        </w:rPr>
        <w:t>REPORT</w:t>
      </w:r>
      <w:r w:rsidRPr="006375A7">
        <w:rPr>
          <w:rFonts w:ascii="Tahoma" w:hAnsi="Tahoma" w:cs="Tahoma"/>
          <w:sz w:val="14"/>
          <w:szCs w:val="14"/>
        </w:rPr>
        <w:t>_</w:t>
      </w:r>
      <w:r w:rsidRPr="00E014BC">
        <w:rPr>
          <w:rFonts w:ascii="Tahoma" w:hAnsi="Tahoma" w:cs="Tahoma"/>
          <w:sz w:val="14"/>
          <w:szCs w:val="14"/>
          <w:lang w:val="en-US"/>
        </w:rPr>
        <w:t>Q</w:t>
      </w:r>
      <w:r w:rsidRPr="006375A7">
        <w:rPr>
          <w:rFonts w:ascii="Tahoma" w:hAnsi="Tahoma" w:cs="Tahoma"/>
          <w:sz w:val="14"/>
          <w:szCs w:val="14"/>
        </w:rPr>
        <w:t>3_2022-23_</w:t>
      </w:r>
      <w:r w:rsidRPr="00E014BC">
        <w:rPr>
          <w:rFonts w:ascii="Tahoma" w:hAnsi="Tahoma" w:cs="Tahoma"/>
          <w:sz w:val="14"/>
          <w:szCs w:val="14"/>
          <w:lang w:val="en-US"/>
        </w:rPr>
        <w:t>HR</w:t>
      </w:r>
      <w:r w:rsidRPr="006375A7">
        <w:rPr>
          <w:rFonts w:ascii="Tahoma" w:hAnsi="Tahoma" w:cs="Tahoma"/>
          <w:sz w:val="14"/>
          <w:szCs w:val="14"/>
        </w:rPr>
        <w:t>.</w:t>
      </w:r>
      <w:r w:rsidRPr="00E014BC">
        <w:rPr>
          <w:rFonts w:ascii="Tahoma" w:hAnsi="Tahoma" w:cs="Tahoma"/>
          <w:sz w:val="14"/>
          <w:szCs w:val="14"/>
          <w:lang w:val="en-US"/>
        </w:rPr>
        <w: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EFD3C" w14:textId="77777777" w:rsidR="001F6781" w:rsidRDefault="001F67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2ED5A" w14:textId="77777777" w:rsidR="001F6781" w:rsidRDefault="001F6781" w:rsidP="001F6781">
    <w:pPr>
      <w:pStyle w:val="Header"/>
      <w:tabs>
        <w:tab w:val="left" w:pos="1829"/>
      </w:tabs>
    </w:pPr>
    <w:r>
      <w:rPr>
        <w:noProof/>
      </w:rPr>
      <w:drawing>
        <wp:anchor distT="0" distB="0" distL="114300" distR="114300" simplePos="0" relativeHeight="251659264" behindDoc="1" locked="0" layoutInCell="1" allowOverlap="1" wp14:anchorId="2D7883C4" wp14:editId="0363C987">
          <wp:simplePos x="0" y="0"/>
          <wp:positionH relativeFrom="column">
            <wp:posOffset>-977901</wp:posOffset>
          </wp:positionH>
          <wp:positionV relativeFrom="paragraph">
            <wp:posOffset>-1007745</wp:posOffset>
          </wp:positionV>
          <wp:extent cx="7689423" cy="14884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gre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2795" cy="1489093"/>
                  </a:xfrm>
                  <a:prstGeom prst="rect">
                    <a:avLst/>
                  </a:prstGeom>
                </pic:spPr>
              </pic:pic>
            </a:graphicData>
          </a:graphic>
          <wp14:sizeRelH relativeFrom="page">
            <wp14:pctWidth>0</wp14:pctWidth>
          </wp14:sizeRelH>
          <wp14:sizeRelV relativeFrom="page">
            <wp14:pctHeight>0</wp14:pctHeight>
          </wp14:sizeRelV>
        </wp:anchor>
      </w:drawing>
    </w:r>
    <w:r>
      <w:tab/>
    </w:r>
  </w:p>
  <w:p w14:paraId="5DD19780" w14:textId="5DB3752B" w:rsidR="001A7A7A" w:rsidRPr="00387063" w:rsidRDefault="001A7A7A" w:rsidP="00034FAA">
    <w:pPr>
      <w:pStyle w:val="Header"/>
      <w:jc w:val="both"/>
    </w:pPr>
  </w:p>
  <w:p w14:paraId="600A7E4E" w14:textId="77777777" w:rsidR="00917028" w:rsidRDefault="00917028" w:rsidP="00034FAA">
    <w:pPr>
      <w:pStyle w:val="Header"/>
      <w:jc w:val="both"/>
      <w:rPr>
        <w:lang w:val="en-US"/>
      </w:rPr>
    </w:pPr>
  </w:p>
  <w:p w14:paraId="0D9C4E4E" w14:textId="77777777" w:rsidR="00917028" w:rsidRDefault="009170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9E95B" w14:textId="77777777" w:rsidR="001F6781" w:rsidRDefault="001F67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306C"/>
    <w:multiLevelType w:val="multilevel"/>
    <w:tmpl w:val="0408001F"/>
    <w:lvl w:ilvl="0">
      <w:start w:val="1"/>
      <w:numFmt w:val="decimal"/>
      <w:lvlText w:val="%1."/>
      <w:lvlJc w:val="left"/>
      <w:pPr>
        <w:ind w:left="360" w:hanging="360"/>
      </w:pPr>
    </w:lvl>
    <w:lvl w:ilvl="1">
      <w:start w:val="1"/>
      <w:numFmt w:val="decimal"/>
      <w:lvlText w:val="%1.%2."/>
      <w:lvlJc w:val="left"/>
      <w:pPr>
        <w:ind w:left="3693" w:hanging="432"/>
      </w:pPr>
    </w:lvl>
    <w:lvl w:ilvl="2">
      <w:start w:val="1"/>
      <w:numFmt w:val="decimal"/>
      <w:lvlText w:val="%1.%2.%3."/>
      <w:lvlJc w:val="left"/>
      <w:pPr>
        <w:ind w:left="77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95D5B"/>
    <w:multiLevelType w:val="hybridMultilevel"/>
    <w:tmpl w:val="6662495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15:restartNumberingAfterBreak="0">
    <w:nsid w:val="0B432F06"/>
    <w:multiLevelType w:val="hybridMultilevel"/>
    <w:tmpl w:val="51406378"/>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cs="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cs="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cs="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3" w15:restartNumberingAfterBreak="0">
    <w:nsid w:val="15CE3D81"/>
    <w:multiLevelType w:val="hybridMultilevel"/>
    <w:tmpl w:val="8AF67F48"/>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6C62EC"/>
    <w:multiLevelType w:val="hybridMultilevel"/>
    <w:tmpl w:val="AA80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71059"/>
    <w:multiLevelType w:val="hybridMultilevel"/>
    <w:tmpl w:val="39EC89A6"/>
    <w:lvl w:ilvl="0" w:tplc="0408001B">
      <w:start w:val="1"/>
      <w:numFmt w:val="lowerRoman"/>
      <w:lvlText w:val="%1."/>
      <w:lvlJc w:val="righ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9ECA1914">
      <w:start w:val="1"/>
      <w:numFmt w:val="bullet"/>
      <w:lvlText w:val=""/>
      <w:lvlJc w:val="left"/>
      <w:pPr>
        <w:tabs>
          <w:tab w:val="num" w:pos="1977"/>
        </w:tabs>
        <w:ind w:left="1620" w:firstLine="360"/>
      </w:pPr>
      <w:rPr>
        <w:rFonts w:ascii="Symbol" w:hAnsi="Symbo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E67000D"/>
    <w:multiLevelType w:val="hybridMultilevel"/>
    <w:tmpl w:val="3A9E3F6A"/>
    <w:lvl w:ilvl="0" w:tplc="0408000F">
      <w:start w:val="1"/>
      <w:numFmt w:val="decimal"/>
      <w:lvlText w:val="%1."/>
      <w:lvlJc w:val="left"/>
      <w:pPr>
        <w:ind w:left="126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236C2E07"/>
    <w:multiLevelType w:val="hybridMultilevel"/>
    <w:tmpl w:val="FC0AA99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69B06A5"/>
    <w:multiLevelType w:val="multilevel"/>
    <w:tmpl w:val="051E8DE2"/>
    <w:lvl w:ilvl="0">
      <w:start w:val="1"/>
      <w:numFmt w:val="bullet"/>
      <w:lvlText w:val="−"/>
      <w:lvlJc w:val="left"/>
      <w:pPr>
        <w:tabs>
          <w:tab w:val="num" w:pos="1080"/>
        </w:tabs>
        <w:ind w:left="1080" w:hanging="360"/>
      </w:pPr>
      <w:rPr>
        <w:rFonts w:ascii="Tahoma" w:hAnsi="Tahom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B461EA9"/>
    <w:multiLevelType w:val="hybridMultilevel"/>
    <w:tmpl w:val="A860D8C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61255E9"/>
    <w:multiLevelType w:val="hybridMultilevel"/>
    <w:tmpl w:val="051E8DE2"/>
    <w:lvl w:ilvl="0" w:tplc="E822202C">
      <w:start w:val="1"/>
      <w:numFmt w:val="bullet"/>
      <w:lvlText w:val="−"/>
      <w:lvlJc w:val="left"/>
      <w:pPr>
        <w:tabs>
          <w:tab w:val="num" w:pos="1080"/>
        </w:tabs>
        <w:ind w:left="1080" w:hanging="360"/>
      </w:pPr>
      <w:rPr>
        <w:rFonts w:ascii="Tahoma" w:hAnsi="Tahoma"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CA816BD"/>
    <w:multiLevelType w:val="hybridMultilevel"/>
    <w:tmpl w:val="3B6E7D80"/>
    <w:lvl w:ilvl="0" w:tplc="9D5670A0">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81087C"/>
    <w:multiLevelType w:val="hybridMultilevel"/>
    <w:tmpl w:val="5E1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47395"/>
    <w:multiLevelType w:val="hybridMultilevel"/>
    <w:tmpl w:val="1A1E488C"/>
    <w:lvl w:ilvl="0" w:tplc="0408001B">
      <w:start w:val="1"/>
      <w:numFmt w:val="lowerRoman"/>
      <w:lvlText w:val="%1."/>
      <w:lvlJc w:val="right"/>
      <w:pPr>
        <w:ind w:left="1440" w:hanging="360"/>
      </w:pPr>
    </w:lvl>
    <w:lvl w:ilvl="1" w:tplc="04080001">
      <w:start w:val="1"/>
      <w:numFmt w:val="bullet"/>
      <w:lvlText w:val=""/>
      <w:lvlJc w:val="left"/>
      <w:pPr>
        <w:ind w:left="2160" w:hanging="360"/>
      </w:pPr>
      <w:rPr>
        <w:rFonts w:ascii="Symbol" w:hAnsi="Symbol" w:hint="default"/>
      </w:r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5F1A2479"/>
    <w:multiLevelType w:val="hybridMultilevel"/>
    <w:tmpl w:val="68FACF46"/>
    <w:lvl w:ilvl="0" w:tplc="9A6EF9B4">
      <w:start w:val="1"/>
      <w:numFmt w:val="decimal"/>
      <w:lvlText w:val="3.%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61C76742"/>
    <w:multiLevelType w:val="hybridMultilevel"/>
    <w:tmpl w:val="443881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3F50ACD"/>
    <w:multiLevelType w:val="multilevel"/>
    <w:tmpl w:val="ECD2D8AC"/>
    <w:lvl w:ilvl="0">
      <w:start w:val="1"/>
      <w:numFmt w:val="decimal"/>
      <w:lvlText w:val="%1"/>
      <w:lvlJc w:val="left"/>
      <w:pPr>
        <w:tabs>
          <w:tab w:val="num" w:pos="432"/>
        </w:tabs>
        <w:ind w:left="432" w:hanging="432"/>
      </w:pPr>
    </w:lvl>
    <w:lvl w:ilvl="1">
      <w:start w:val="1"/>
      <w:numFmt w:val="decimal"/>
      <w:pStyle w:val="Styl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402001A"/>
    <w:multiLevelType w:val="hybridMultilevel"/>
    <w:tmpl w:val="C1EABAA2"/>
    <w:lvl w:ilvl="0" w:tplc="0408001B">
      <w:start w:val="1"/>
      <w:numFmt w:val="lowerRoman"/>
      <w:lvlText w:val="%1."/>
      <w:lvlJc w:val="right"/>
      <w:pPr>
        <w:ind w:left="644" w:hanging="360"/>
      </w:pPr>
      <w:rPr>
        <w:rFonts w:hint="default"/>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18" w15:restartNumberingAfterBreak="0">
    <w:nsid w:val="6B1835F9"/>
    <w:multiLevelType w:val="hybridMultilevel"/>
    <w:tmpl w:val="C19E67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738E62ED"/>
    <w:multiLevelType w:val="hybridMultilevel"/>
    <w:tmpl w:val="AB4857DC"/>
    <w:lvl w:ilvl="0" w:tplc="E822202C">
      <w:start w:val="1"/>
      <w:numFmt w:val="bullet"/>
      <w:lvlText w:val="−"/>
      <w:lvlJc w:val="left"/>
      <w:pPr>
        <w:tabs>
          <w:tab w:val="num" w:pos="720"/>
        </w:tabs>
        <w:ind w:left="720" w:hanging="360"/>
      </w:pPr>
      <w:rPr>
        <w:rFonts w:ascii="Tahoma" w:hAnsi="Tahoma"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DB3D98"/>
    <w:multiLevelType w:val="hybridMultilevel"/>
    <w:tmpl w:val="457AEDC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2"/>
  </w:num>
  <w:num w:numId="4">
    <w:abstractNumId w:val="20"/>
  </w:num>
  <w:num w:numId="5">
    <w:abstractNumId w:val="1"/>
  </w:num>
  <w:num w:numId="6">
    <w:abstractNumId w:val="9"/>
  </w:num>
  <w:num w:numId="7">
    <w:abstractNumId w:val="11"/>
  </w:num>
  <w:num w:numId="8">
    <w:abstractNumId w:val="10"/>
  </w:num>
  <w:num w:numId="9">
    <w:abstractNumId w:val="8"/>
  </w:num>
  <w:num w:numId="10">
    <w:abstractNumId w:val="3"/>
  </w:num>
  <w:num w:numId="11">
    <w:abstractNumId w:val="13"/>
  </w:num>
  <w:num w:numId="12">
    <w:abstractNumId w:val="6"/>
  </w:num>
  <w:num w:numId="13">
    <w:abstractNumId w:val="5"/>
  </w:num>
  <w:num w:numId="14">
    <w:abstractNumId w:val="1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5"/>
  </w:num>
  <w:num w:numId="18">
    <w:abstractNumId w:val="15"/>
  </w:num>
  <w:num w:numId="19">
    <w:abstractNumId w:val="17"/>
  </w:num>
  <w:num w:numId="20">
    <w:abstractNumId w:val="7"/>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26"/>
    <w:rsid w:val="0000119D"/>
    <w:rsid w:val="00003CF9"/>
    <w:rsid w:val="00007759"/>
    <w:rsid w:val="000106CA"/>
    <w:rsid w:val="00014665"/>
    <w:rsid w:val="0001544A"/>
    <w:rsid w:val="00016A4A"/>
    <w:rsid w:val="00020E6A"/>
    <w:rsid w:val="0003299B"/>
    <w:rsid w:val="00033692"/>
    <w:rsid w:val="000346CC"/>
    <w:rsid w:val="00034FAA"/>
    <w:rsid w:val="00036301"/>
    <w:rsid w:val="00036B4C"/>
    <w:rsid w:val="0003762E"/>
    <w:rsid w:val="00037C0B"/>
    <w:rsid w:val="00047059"/>
    <w:rsid w:val="00047ABF"/>
    <w:rsid w:val="00050B59"/>
    <w:rsid w:val="00052CBB"/>
    <w:rsid w:val="00053826"/>
    <w:rsid w:val="0005701B"/>
    <w:rsid w:val="00057684"/>
    <w:rsid w:val="00057C81"/>
    <w:rsid w:val="00057C85"/>
    <w:rsid w:val="0006298B"/>
    <w:rsid w:val="00062A5C"/>
    <w:rsid w:val="0006440E"/>
    <w:rsid w:val="0006516C"/>
    <w:rsid w:val="0006636E"/>
    <w:rsid w:val="00072E9C"/>
    <w:rsid w:val="00077AC5"/>
    <w:rsid w:val="00083C3E"/>
    <w:rsid w:val="000840DA"/>
    <w:rsid w:val="00084316"/>
    <w:rsid w:val="00084B85"/>
    <w:rsid w:val="00084F5B"/>
    <w:rsid w:val="000867AD"/>
    <w:rsid w:val="00090BC3"/>
    <w:rsid w:val="00091A00"/>
    <w:rsid w:val="00092F14"/>
    <w:rsid w:val="0009473B"/>
    <w:rsid w:val="00094B65"/>
    <w:rsid w:val="00096457"/>
    <w:rsid w:val="000A189E"/>
    <w:rsid w:val="000A5509"/>
    <w:rsid w:val="000B2598"/>
    <w:rsid w:val="000B3B81"/>
    <w:rsid w:val="000B68B5"/>
    <w:rsid w:val="000B6F5D"/>
    <w:rsid w:val="000C1F17"/>
    <w:rsid w:val="000C6BB6"/>
    <w:rsid w:val="000C714D"/>
    <w:rsid w:val="000C75C7"/>
    <w:rsid w:val="000D10FA"/>
    <w:rsid w:val="000D1A42"/>
    <w:rsid w:val="000D21F2"/>
    <w:rsid w:val="000D42EA"/>
    <w:rsid w:val="000D506C"/>
    <w:rsid w:val="000D5F68"/>
    <w:rsid w:val="000D683B"/>
    <w:rsid w:val="000E2B8F"/>
    <w:rsid w:val="000E45AC"/>
    <w:rsid w:val="000E70A8"/>
    <w:rsid w:val="000F1FE4"/>
    <w:rsid w:val="000F2CFC"/>
    <w:rsid w:val="000F3644"/>
    <w:rsid w:val="000F4653"/>
    <w:rsid w:val="000F4902"/>
    <w:rsid w:val="000F7BF7"/>
    <w:rsid w:val="001001B9"/>
    <w:rsid w:val="001008AB"/>
    <w:rsid w:val="00102FD1"/>
    <w:rsid w:val="00110A2D"/>
    <w:rsid w:val="0011148A"/>
    <w:rsid w:val="00111A6A"/>
    <w:rsid w:val="00112022"/>
    <w:rsid w:val="00112318"/>
    <w:rsid w:val="0011294E"/>
    <w:rsid w:val="00113E4B"/>
    <w:rsid w:val="00120187"/>
    <w:rsid w:val="00120A8C"/>
    <w:rsid w:val="001213F5"/>
    <w:rsid w:val="00125C94"/>
    <w:rsid w:val="00126553"/>
    <w:rsid w:val="0012706F"/>
    <w:rsid w:val="0012711B"/>
    <w:rsid w:val="00132D68"/>
    <w:rsid w:val="0013364A"/>
    <w:rsid w:val="00134C62"/>
    <w:rsid w:val="00135B83"/>
    <w:rsid w:val="00136201"/>
    <w:rsid w:val="001370CD"/>
    <w:rsid w:val="00137248"/>
    <w:rsid w:val="00140538"/>
    <w:rsid w:val="00142B1F"/>
    <w:rsid w:val="00142C1A"/>
    <w:rsid w:val="00144D45"/>
    <w:rsid w:val="00144FE3"/>
    <w:rsid w:val="00146006"/>
    <w:rsid w:val="00151749"/>
    <w:rsid w:val="0015190E"/>
    <w:rsid w:val="00152B23"/>
    <w:rsid w:val="00156FD5"/>
    <w:rsid w:val="001642BB"/>
    <w:rsid w:val="0016716E"/>
    <w:rsid w:val="00173750"/>
    <w:rsid w:val="00176F9E"/>
    <w:rsid w:val="001804F8"/>
    <w:rsid w:val="00180A1A"/>
    <w:rsid w:val="00183D4F"/>
    <w:rsid w:val="00185147"/>
    <w:rsid w:val="00185B80"/>
    <w:rsid w:val="00186B22"/>
    <w:rsid w:val="0019188F"/>
    <w:rsid w:val="0019252D"/>
    <w:rsid w:val="00192F8D"/>
    <w:rsid w:val="001939E8"/>
    <w:rsid w:val="00193CAD"/>
    <w:rsid w:val="00195F12"/>
    <w:rsid w:val="00197DB9"/>
    <w:rsid w:val="001A2361"/>
    <w:rsid w:val="001A2C28"/>
    <w:rsid w:val="001A504A"/>
    <w:rsid w:val="001A56BB"/>
    <w:rsid w:val="001A65FE"/>
    <w:rsid w:val="001A6641"/>
    <w:rsid w:val="001A7121"/>
    <w:rsid w:val="001A7A7A"/>
    <w:rsid w:val="001B07A6"/>
    <w:rsid w:val="001B0A66"/>
    <w:rsid w:val="001B2C7F"/>
    <w:rsid w:val="001B41A3"/>
    <w:rsid w:val="001B7B42"/>
    <w:rsid w:val="001C0CE0"/>
    <w:rsid w:val="001C5CFE"/>
    <w:rsid w:val="001C5DEE"/>
    <w:rsid w:val="001C6762"/>
    <w:rsid w:val="001D40DC"/>
    <w:rsid w:val="001D4128"/>
    <w:rsid w:val="001D57D4"/>
    <w:rsid w:val="001D5A76"/>
    <w:rsid w:val="001D770F"/>
    <w:rsid w:val="001E3437"/>
    <w:rsid w:val="001F3FA6"/>
    <w:rsid w:val="001F4CF0"/>
    <w:rsid w:val="001F5340"/>
    <w:rsid w:val="001F5E74"/>
    <w:rsid w:val="001F668B"/>
    <w:rsid w:val="001F6781"/>
    <w:rsid w:val="001F6ACB"/>
    <w:rsid w:val="001F7DFE"/>
    <w:rsid w:val="001F7F54"/>
    <w:rsid w:val="00210364"/>
    <w:rsid w:val="002137C5"/>
    <w:rsid w:val="00213886"/>
    <w:rsid w:val="0021774E"/>
    <w:rsid w:val="0022093F"/>
    <w:rsid w:val="00221BD2"/>
    <w:rsid w:val="002230F8"/>
    <w:rsid w:val="00225518"/>
    <w:rsid w:val="00227814"/>
    <w:rsid w:val="00230259"/>
    <w:rsid w:val="00232732"/>
    <w:rsid w:val="00233ED9"/>
    <w:rsid w:val="002351E4"/>
    <w:rsid w:val="00235E8B"/>
    <w:rsid w:val="00237A77"/>
    <w:rsid w:val="002447B2"/>
    <w:rsid w:val="0024520E"/>
    <w:rsid w:val="00252917"/>
    <w:rsid w:val="00261205"/>
    <w:rsid w:val="0026455F"/>
    <w:rsid w:val="002741CC"/>
    <w:rsid w:val="002749F4"/>
    <w:rsid w:val="00275463"/>
    <w:rsid w:val="00276F18"/>
    <w:rsid w:val="0027717D"/>
    <w:rsid w:val="00282159"/>
    <w:rsid w:val="00283400"/>
    <w:rsid w:val="00285741"/>
    <w:rsid w:val="00286C7E"/>
    <w:rsid w:val="00290A8B"/>
    <w:rsid w:val="002917B4"/>
    <w:rsid w:val="002924FD"/>
    <w:rsid w:val="00292789"/>
    <w:rsid w:val="00293770"/>
    <w:rsid w:val="002956CB"/>
    <w:rsid w:val="0029797B"/>
    <w:rsid w:val="002A4702"/>
    <w:rsid w:val="002A5962"/>
    <w:rsid w:val="002A67E7"/>
    <w:rsid w:val="002A759C"/>
    <w:rsid w:val="002A7874"/>
    <w:rsid w:val="002B0173"/>
    <w:rsid w:val="002B1310"/>
    <w:rsid w:val="002B5015"/>
    <w:rsid w:val="002B55D7"/>
    <w:rsid w:val="002B6167"/>
    <w:rsid w:val="002B7AC0"/>
    <w:rsid w:val="002C39B1"/>
    <w:rsid w:val="002C4E7E"/>
    <w:rsid w:val="002D1D50"/>
    <w:rsid w:val="002D2E58"/>
    <w:rsid w:val="002D4CA0"/>
    <w:rsid w:val="002E6054"/>
    <w:rsid w:val="002F0E20"/>
    <w:rsid w:val="002F22EC"/>
    <w:rsid w:val="002F5602"/>
    <w:rsid w:val="002F5D54"/>
    <w:rsid w:val="002F67EA"/>
    <w:rsid w:val="00302B8D"/>
    <w:rsid w:val="003038CE"/>
    <w:rsid w:val="00303C45"/>
    <w:rsid w:val="003066EE"/>
    <w:rsid w:val="00307EBA"/>
    <w:rsid w:val="00310419"/>
    <w:rsid w:val="00310D74"/>
    <w:rsid w:val="003118F3"/>
    <w:rsid w:val="003300B7"/>
    <w:rsid w:val="00330A43"/>
    <w:rsid w:val="0033197B"/>
    <w:rsid w:val="00331A85"/>
    <w:rsid w:val="00333C8D"/>
    <w:rsid w:val="00334DEA"/>
    <w:rsid w:val="00335411"/>
    <w:rsid w:val="003359A4"/>
    <w:rsid w:val="003365C9"/>
    <w:rsid w:val="0034151D"/>
    <w:rsid w:val="00347EDB"/>
    <w:rsid w:val="00351DD4"/>
    <w:rsid w:val="00352737"/>
    <w:rsid w:val="00360479"/>
    <w:rsid w:val="00360950"/>
    <w:rsid w:val="003612BF"/>
    <w:rsid w:val="00364143"/>
    <w:rsid w:val="00364D3A"/>
    <w:rsid w:val="003704F7"/>
    <w:rsid w:val="003728AC"/>
    <w:rsid w:val="00372C73"/>
    <w:rsid w:val="003734C8"/>
    <w:rsid w:val="0037469D"/>
    <w:rsid w:val="00374F94"/>
    <w:rsid w:val="003760E0"/>
    <w:rsid w:val="00377798"/>
    <w:rsid w:val="00380346"/>
    <w:rsid w:val="003807C0"/>
    <w:rsid w:val="00380AA7"/>
    <w:rsid w:val="00382BA9"/>
    <w:rsid w:val="00383C75"/>
    <w:rsid w:val="003851D8"/>
    <w:rsid w:val="00386BB8"/>
    <w:rsid w:val="00387063"/>
    <w:rsid w:val="0039390D"/>
    <w:rsid w:val="00397C30"/>
    <w:rsid w:val="003A5C8C"/>
    <w:rsid w:val="003A5E4F"/>
    <w:rsid w:val="003A627C"/>
    <w:rsid w:val="003A693D"/>
    <w:rsid w:val="003A7523"/>
    <w:rsid w:val="003B4150"/>
    <w:rsid w:val="003B5131"/>
    <w:rsid w:val="003C22B1"/>
    <w:rsid w:val="003C2604"/>
    <w:rsid w:val="003C3014"/>
    <w:rsid w:val="003C58B7"/>
    <w:rsid w:val="003C65FB"/>
    <w:rsid w:val="003C7C91"/>
    <w:rsid w:val="003D0177"/>
    <w:rsid w:val="003D0A2E"/>
    <w:rsid w:val="003D4790"/>
    <w:rsid w:val="003D53FE"/>
    <w:rsid w:val="003D5419"/>
    <w:rsid w:val="003D783A"/>
    <w:rsid w:val="003E13DF"/>
    <w:rsid w:val="003E381C"/>
    <w:rsid w:val="003E64E9"/>
    <w:rsid w:val="003E7070"/>
    <w:rsid w:val="003F1DF7"/>
    <w:rsid w:val="003F23DA"/>
    <w:rsid w:val="003F33E0"/>
    <w:rsid w:val="003F397C"/>
    <w:rsid w:val="003F3D1B"/>
    <w:rsid w:val="004004FA"/>
    <w:rsid w:val="00401728"/>
    <w:rsid w:val="004018FF"/>
    <w:rsid w:val="004116E7"/>
    <w:rsid w:val="00413475"/>
    <w:rsid w:val="00415D22"/>
    <w:rsid w:val="00416ED0"/>
    <w:rsid w:val="00417067"/>
    <w:rsid w:val="00421797"/>
    <w:rsid w:val="00423CED"/>
    <w:rsid w:val="00430001"/>
    <w:rsid w:val="00431871"/>
    <w:rsid w:val="00432BDF"/>
    <w:rsid w:val="00434AB3"/>
    <w:rsid w:val="00437C2A"/>
    <w:rsid w:val="004417F3"/>
    <w:rsid w:val="00443034"/>
    <w:rsid w:val="00446CEE"/>
    <w:rsid w:val="00450907"/>
    <w:rsid w:val="004524EF"/>
    <w:rsid w:val="0045476D"/>
    <w:rsid w:val="00455547"/>
    <w:rsid w:val="004562E0"/>
    <w:rsid w:val="0046017B"/>
    <w:rsid w:val="004606ED"/>
    <w:rsid w:val="00462689"/>
    <w:rsid w:val="00463563"/>
    <w:rsid w:val="0047027A"/>
    <w:rsid w:val="0047077A"/>
    <w:rsid w:val="0047104F"/>
    <w:rsid w:val="00474D68"/>
    <w:rsid w:val="0047585A"/>
    <w:rsid w:val="00475AE6"/>
    <w:rsid w:val="004769CB"/>
    <w:rsid w:val="004773C7"/>
    <w:rsid w:val="00481907"/>
    <w:rsid w:val="00485010"/>
    <w:rsid w:val="004921C1"/>
    <w:rsid w:val="004928E3"/>
    <w:rsid w:val="004937A4"/>
    <w:rsid w:val="00493C1D"/>
    <w:rsid w:val="0049616F"/>
    <w:rsid w:val="00496BEA"/>
    <w:rsid w:val="004A4786"/>
    <w:rsid w:val="004A4EF3"/>
    <w:rsid w:val="004A7D6D"/>
    <w:rsid w:val="004B23E0"/>
    <w:rsid w:val="004B3238"/>
    <w:rsid w:val="004B51A0"/>
    <w:rsid w:val="004B6197"/>
    <w:rsid w:val="004B6A33"/>
    <w:rsid w:val="004C0889"/>
    <w:rsid w:val="004C1474"/>
    <w:rsid w:val="004C1C38"/>
    <w:rsid w:val="004C4992"/>
    <w:rsid w:val="004D0D6E"/>
    <w:rsid w:val="004D0F34"/>
    <w:rsid w:val="004D78DC"/>
    <w:rsid w:val="004E01A9"/>
    <w:rsid w:val="004E02F2"/>
    <w:rsid w:val="004E1C2D"/>
    <w:rsid w:val="004E4016"/>
    <w:rsid w:val="004F1103"/>
    <w:rsid w:val="004F1557"/>
    <w:rsid w:val="004F61FD"/>
    <w:rsid w:val="004F7DC8"/>
    <w:rsid w:val="00500692"/>
    <w:rsid w:val="00500E44"/>
    <w:rsid w:val="00503514"/>
    <w:rsid w:val="00505CF9"/>
    <w:rsid w:val="005060F4"/>
    <w:rsid w:val="00506FF4"/>
    <w:rsid w:val="00507E51"/>
    <w:rsid w:val="00513921"/>
    <w:rsid w:val="005173A3"/>
    <w:rsid w:val="00523F23"/>
    <w:rsid w:val="00530A12"/>
    <w:rsid w:val="00534324"/>
    <w:rsid w:val="005376B9"/>
    <w:rsid w:val="005376BA"/>
    <w:rsid w:val="00541A4E"/>
    <w:rsid w:val="0054376F"/>
    <w:rsid w:val="00547C51"/>
    <w:rsid w:val="005501B8"/>
    <w:rsid w:val="00551C59"/>
    <w:rsid w:val="00552806"/>
    <w:rsid w:val="00556A0C"/>
    <w:rsid w:val="00563253"/>
    <w:rsid w:val="00567E9A"/>
    <w:rsid w:val="00572C45"/>
    <w:rsid w:val="005747A3"/>
    <w:rsid w:val="00584613"/>
    <w:rsid w:val="00590473"/>
    <w:rsid w:val="0059573E"/>
    <w:rsid w:val="0059712D"/>
    <w:rsid w:val="005A072C"/>
    <w:rsid w:val="005A1925"/>
    <w:rsid w:val="005B1704"/>
    <w:rsid w:val="005B201F"/>
    <w:rsid w:val="005B3DC0"/>
    <w:rsid w:val="005B41BD"/>
    <w:rsid w:val="005B51AE"/>
    <w:rsid w:val="005C35EA"/>
    <w:rsid w:val="005C5411"/>
    <w:rsid w:val="005C55B2"/>
    <w:rsid w:val="005C5873"/>
    <w:rsid w:val="005C7EE9"/>
    <w:rsid w:val="005D513B"/>
    <w:rsid w:val="005E6068"/>
    <w:rsid w:val="005F1DE4"/>
    <w:rsid w:val="005F29F2"/>
    <w:rsid w:val="005F6440"/>
    <w:rsid w:val="00601F36"/>
    <w:rsid w:val="00611E32"/>
    <w:rsid w:val="00613141"/>
    <w:rsid w:val="00614D66"/>
    <w:rsid w:val="0062154E"/>
    <w:rsid w:val="00622FBD"/>
    <w:rsid w:val="006243B4"/>
    <w:rsid w:val="00626D71"/>
    <w:rsid w:val="00630681"/>
    <w:rsid w:val="006330B6"/>
    <w:rsid w:val="0063401E"/>
    <w:rsid w:val="0064159E"/>
    <w:rsid w:val="006423F9"/>
    <w:rsid w:val="006429C4"/>
    <w:rsid w:val="00644DC1"/>
    <w:rsid w:val="0064546C"/>
    <w:rsid w:val="006457D5"/>
    <w:rsid w:val="006471BB"/>
    <w:rsid w:val="00650519"/>
    <w:rsid w:val="00652CBD"/>
    <w:rsid w:val="00652CC5"/>
    <w:rsid w:val="00653E14"/>
    <w:rsid w:val="006540FB"/>
    <w:rsid w:val="006556CC"/>
    <w:rsid w:val="00660136"/>
    <w:rsid w:val="00660704"/>
    <w:rsid w:val="0066324C"/>
    <w:rsid w:val="00663EBE"/>
    <w:rsid w:val="006644B9"/>
    <w:rsid w:val="00664F88"/>
    <w:rsid w:val="00666BC9"/>
    <w:rsid w:val="006678CB"/>
    <w:rsid w:val="00667D63"/>
    <w:rsid w:val="00671422"/>
    <w:rsid w:val="00673361"/>
    <w:rsid w:val="00673FCB"/>
    <w:rsid w:val="00674211"/>
    <w:rsid w:val="00675C6C"/>
    <w:rsid w:val="00677532"/>
    <w:rsid w:val="0068409F"/>
    <w:rsid w:val="006850F3"/>
    <w:rsid w:val="00685B78"/>
    <w:rsid w:val="00685C8F"/>
    <w:rsid w:val="006907B6"/>
    <w:rsid w:val="00690C67"/>
    <w:rsid w:val="00690DC7"/>
    <w:rsid w:val="0069564A"/>
    <w:rsid w:val="00695CAC"/>
    <w:rsid w:val="00696B06"/>
    <w:rsid w:val="006A5376"/>
    <w:rsid w:val="006A6366"/>
    <w:rsid w:val="006A645B"/>
    <w:rsid w:val="006B0577"/>
    <w:rsid w:val="006B1D33"/>
    <w:rsid w:val="006B5B87"/>
    <w:rsid w:val="006B5D28"/>
    <w:rsid w:val="006C46BE"/>
    <w:rsid w:val="006C67E2"/>
    <w:rsid w:val="006D049F"/>
    <w:rsid w:val="006D1A31"/>
    <w:rsid w:val="006D3C3C"/>
    <w:rsid w:val="006D47D0"/>
    <w:rsid w:val="006D6CFA"/>
    <w:rsid w:val="006E26C9"/>
    <w:rsid w:val="006E5205"/>
    <w:rsid w:val="006F6D89"/>
    <w:rsid w:val="00700897"/>
    <w:rsid w:val="0070257D"/>
    <w:rsid w:val="00707831"/>
    <w:rsid w:val="007079EE"/>
    <w:rsid w:val="00710E2A"/>
    <w:rsid w:val="00712174"/>
    <w:rsid w:val="00714942"/>
    <w:rsid w:val="007149FE"/>
    <w:rsid w:val="00721444"/>
    <w:rsid w:val="00727355"/>
    <w:rsid w:val="007306DD"/>
    <w:rsid w:val="00730ECC"/>
    <w:rsid w:val="00731622"/>
    <w:rsid w:val="00731E97"/>
    <w:rsid w:val="00733B63"/>
    <w:rsid w:val="007340D5"/>
    <w:rsid w:val="007360C5"/>
    <w:rsid w:val="007438F4"/>
    <w:rsid w:val="00744825"/>
    <w:rsid w:val="00744836"/>
    <w:rsid w:val="00745CB4"/>
    <w:rsid w:val="00745E37"/>
    <w:rsid w:val="00753213"/>
    <w:rsid w:val="007550C1"/>
    <w:rsid w:val="00755222"/>
    <w:rsid w:val="0075548A"/>
    <w:rsid w:val="00767513"/>
    <w:rsid w:val="00767F1B"/>
    <w:rsid w:val="00770C20"/>
    <w:rsid w:val="00770DDC"/>
    <w:rsid w:val="00777118"/>
    <w:rsid w:val="007803AD"/>
    <w:rsid w:val="00781B61"/>
    <w:rsid w:val="00791339"/>
    <w:rsid w:val="0079307D"/>
    <w:rsid w:val="00794868"/>
    <w:rsid w:val="00795BD5"/>
    <w:rsid w:val="0079683B"/>
    <w:rsid w:val="00797C9F"/>
    <w:rsid w:val="007A0246"/>
    <w:rsid w:val="007A15BF"/>
    <w:rsid w:val="007A2350"/>
    <w:rsid w:val="007A3C69"/>
    <w:rsid w:val="007A6054"/>
    <w:rsid w:val="007A6AA6"/>
    <w:rsid w:val="007B4ACC"/>
    <w:rsid w:val="007B6212"/>
    <w:rsid w:val="007B7055"/>
    <w:rsid w:val="007B784C"/>
    <w:rsid w:val="007B7F8B"/>
    <w:rsid w:val="007C053C"/>
    <w:rsid w:val="007C7AD6"/>
    <w:rsid w:val="007D280A"/>
    <w:rsid w:val="007D435F"/>
    <w:rsid w:val="007D4ACF"/>
    <w:rsid w:val="007E111C"/>
    <w:rsid w:val="007E3714"/>
    <w:rsid w:val="007E3E2F"/>
    <w:rsid w:val="007E4848"/>
    <w:rsid w:val="007E6359"/>
    <w:rsid w:val="007F050E"/>
    <w:rsid w:val="007F1CF3"/>
    <w:rsid w:val="007F4B11"/>
    <w:rsid w:val="007F59CA"/>
    <w:rsid w:val="00807538"/>
    <w:rsid w:val="008109DC"/>
    <w:rsid w:val="00813950"/>
    <w:rsid w:val="00813D96"/>
    <w:rsid w:val="00817481"/>
    <w:rsid w:val="0081765C"/>
    <w:rsid w:val="00823DFE"/>
    <w:rsid w:val="00824367"/>
    <w:rsid w:val="008278D5"/>
    <w:rsid w:val="0083119D"/>
    <w:rsid w:val="00835A8C"/>
    <w:rsid w:val="00836FC3"/>
    <w:rsid w:val="00840554"/>
    <w:rsid w:val="00840E64"/>
    <w:rsid w:val="008421C3"/>
    <w:rsid w:val="00843EA3"/>
    <w:rsid w:val="008441B7"/>
    <w:rsid w:val="00850C60"/>
    <w:rsid w:val="00851844"/>
    <w:rsid w:val="00853800"/>
    <w:rsid w:val="0085441D"/>
    <w:rsid w:val="00857B68"/>
    <w:rsid w:val="00857D52"/>
    <w:rsid w:val="00862D1A"/>
    <w:rsid w:val="008645FE"/>
    <w:rsid w:val="008656FB"/>
    <w:rsid w:val="00866893"/>
    <w:rsid w:val="0087336A"/>
    <w:rsid w:val="008757CA"/>
    <w:rsid w:val="00880102"/>
    <w:rsid w:val="008803FF"/>
    <w:rsid w:val="00881122"/>
    <w:rsid w:val="00882E21"/>
    <w:rsid w:val="00883212"/>
    <w:rsid w:val="008833A9"/>
    <w:rsid w:val="0089254A"/>
    <w:rsid w:val="00895CC9"/>
    <w:rsid w:val="008A05A4"/>
    <w:rsid w:val="008A60AD"/>
    <w:rsid w:val="008B0CEA"/>
    <w:rsid w:val="008B509B"/>
    <w:rsid w:val="008B69AD"/>
    <w:rsid w:val="008B6C58"/>
    <w:rsid w:val="008B75EB"/>
    <w:rsid w:val="008C0D9A"/>
    <w:rsid w:val="008C2FD7"/>
    <w:rsid w:val="008C32F1"/>
    <w:rsid w:val="008C3569"/>
    <w:rsid w:val="008D0129"/>
    <w:rsid w:val="008D03F5"/>
    <w:rsid w:val="008D246E"/>
    <w:rsid w:val="008D27E7"/>
    <w:rsid w:val="008D75DA"/>
    <w:rsid w:val="008E4279"/>
    <w:rsid w:val="008E4920"/>
    <w:rsid w:val="008F09BD"/>
    <w:rsid w:val="008F4C2E"/>
    <w:rsid w:val="008F63E3"/>
    <w:rsid w:val="00902FDD"/>
    <w:rsid w:val="00906965"/>
    <w:rsid w:val="00910339"/>
    <w:rsid w:val="00911913"/>
    <w:rsid w:val="009139CB"/>
    <w:rsid w:val="00915AC0"/>
    <w:rsid w:val="0091611C"/>
    <w:rsid w:val="00917028"/>
    <w:rsid w:val="009210D4"/>
    <w:rsid w:val="0092367E"/>
    <w:rsid w:val="00925626"/>
    <w:rsid w:val="00927EF7"/>
    <w:rsid w:val="00930160"/>
    <w:rsid w:val="00936313"/>
    <w:rsid w:val="00937AC1"/>
    <w:rsid w:val="00941988"/>
    <w:rsid w:val="009423BB"/>
    <w:rsid w:val="009440CE"/>
    <w:rsid w:val="0094556C"/>
    <w:rsid w:val="00950FB0"/>
    <w:rsid w:val="00952A71"/>
    <w:rsid w:val="00963A12"/>
    <w:rsid w:val="00963AD9"/>
    <w:rsid w:val="00963AF0"/>
    <w:rsid w:val="00970BC8"/>
    <w:rsid w:val="009730B2"/>
    <w:rsid w:val="00973D8F"/>
    <w:rsid w:val="00974A37"/>
    <w:rsid w:val="00980959"/>
    <w:rsid w:val="00984299"/>
    <w:rsid w:val="00985596"/>
    <w:rsid w:val="00986CA8"/>
    <w:rsid w:val="00993333"/>
    <w:rsid w:val="00994FC9"/>
    <w:rsid w:val="00997276"/>
    <w:rsid w:val="009A0F81"/>
    <w:rsid w:val="009A2D64"/>
    <w:rsid w:val="009A325F"/>
    <w:rsid w:val="009A570E"/>
    <w:rsid w:val="009A6F3A"/>
    <w:rsid w:val="009B0710"/>
    <w:rsid w:val="009B376A"/>
    <w:rsid w:val="009B50BA"/>
    <w:rsid w:val="009B77A7"/>
    <w:rsid w:val="009C1BE5"/>
    <w:rsid w:val="009C2878"/>
    <w:rsid w:val="009C43A0"/>
    <w:rsid w:val="009C7127"/>
    <w:rsid w:val="009D1A15"/>
    <w:rsid w:val="009D2367"/>
    <w:rsid w:val="009D36DD"/>
    <w:rsid w:val="009D3A4A"/>
    <w:rsid w:val="009D3CFD"/>
    <w:rsid w:val="009E0B9D"/>
    <w:rsid w:val="009E0DF6"/>
    <w:rsid w:val="009E1DD2"/>
    <w:rsid w:val="009E22EE"/>
    <w:rsid w:val="009E3D7F"/>
    <w:rsid w:val="009E7029"/>
    <w:rsid w:val="009F24E2"/>
    <w:rsid w:val="009F3C26"/>
    <w:rsid w:val="009F4940"/>
    <w:rsid w:val="009F53D2"/>
    <w:rsid w:val="009F58E6"/>
    <w:rsid w:val="009F6AAF"/>
    <w:rsid w:val="009F6D95"/>
    <w:rsid w:val="00A00B48"/>
    <w:rsid w:val="00A0521A"/>
    <w:rsid w:val="00A05AAB"/>
    <w:rsid w:val="00A07EFA"/>
    <w:rsid w:val="00A1137C"/>
    <w:rsid w:val="00A12ABE"/>
    <w:rsid w:val="00A15BF9"/>
    <w:rsid w:val="00A16B66"/>
    <w:rsid w:val="00A21F43"/>
    <w:rsid w:val="00A24414"/>
    <w:rsid w:val="00A247C8"/>
    <w:rsid w:val="00A2597D"/>
    <w:rsid w:val="00A26905"/>
    <w:rsid w:val="00A31C23"/>
    <w:rsid w:val="00A34DAD"/>
    <w:rsid w:val="00A369A7"/>
    <w:rsid w:val="00A37364"/>
    <w:rsid w:val="00A40A55"/>
    <w:rsid w:val="00A4215D"/>
    <w:rsid w:val="00A42A76"/>
    <w:rsid w:val="00A42B37"/>
    <w:rsid w:val="00A46E25"/>
    <w:rsid w:val="00A47406"/>
    <w:rsid w:val="00A524F1"/>
    <w:rsid w:val="00A52E52"/>
    <w:rsid w:val="00A63837"/>
    <w:rsid w:val="00A6615F"/>
    <w:rsid w:val="00A66482"/>
    <w:rsid w:val="00A66E4C"/>
    <w:rsid w:val="00A71616"/>
    <w:rsid w:val="00A77881"/>
    <w:rsid w:val="00A80419"/>
    <w:rsid w:val="00A835DF"/>
    <w:rsid w:val="00A84B68"/>
    <w:rsid w:val="00A90026"/>
    <w:rsid w:val="00A922A0"/>
    <w:rsid w:val="00A93EA3"/>
    <w:rsid w:val="00A944FC"/>
    <w:rsid w:val="00A96B9B"/>
    <w:rsid w:val="00A97A42"/>
    <w:rsid w:val="00AA0D78"/>
    <w:rsid w:val="00AA0D8D"/>
    <w:rsid w:val="00AA3644"/>
    <w:rsid w:val="00AA5432"/>
    <w:rsid w:val="00AA5D35"/>
    <w:rsid w:val="00AA603E"/>
    <w:rsid w:val="00AB200C"/>
    <w:rsid w:val="00AB5204"/>
    <w:rsid w:val="00AC3840"/>
    <w:rsid w:val="00AC4270"/>
    <w:rsid w:val="00AC5D20"/>
    <w:rsid w:val="00AC6DD0"/>
    <w:rsid w:val="00AC704D"/>
    <w:rsid w:val="00AC7939"/>
    <w:rsid w:val="00AD008C"/>
    <w:rsid w:val="00AD1DAE"/>
    <w:rsid w:val="00AD1E65"/>
    <w:rsid w:val="00AD3143"/>
    <w:rsid w:val="00AD3416"/>
    <w:rsid w:val="00AD47C3"/>
    <w:rsid w:val="00AD752E"/>
    <w:rsid w:val="00AD753C"/>
    <w:rsid w:val="00AE0C3E"/>
    <w:rsid w:val="00AE1792"/>
    <w:rsid w:val="00AE1D8E"/>
    <w:rsid w:val="00AE6223"/>
    <w:rsid w:val="00AE7C5A"/>
    <w:rsid w:val="00AE7D17"/>
    <w:rsid w:val="00AE7EA5"/>
    <w:rsid w:val="00AF30A2"/>
    <w:rsid w:val="00B02855"/>
    <w:rsid w:val="00B03F4C"/>
    <w:rsid w:val="00B04C78"/>
    <w:rsid w:val="00B05E88"/>
    <w:rsid w:val="00B07A5F"/>
    <w:rsid w:val="00B16A4C"/>
    <w:rsid w:val="00B203A3"/>
    <w:rsid w:val="00B21296"/>
    <w:rsid w:val="00B214C6"/>
    <w:rsid w:val="00B22C1E"/>
    <w:rsid w:val="00B232D8"/>
    <w:rsid w:val="00B24C25"/>
    <w:rsid w:val="00B256E5"/>
    <w:rsid w:val="00B258EF"/>
    <w:rsid w:val="00B30C32"/>
    <w:rsid w:val="00B31895"/>
    <w:rsid w:val="00B32F85"/>
    <w:rsid w:val="00B40B7D"/>
    <w:rsid w:val="00B414FB"/>
    <w:rsid w:val="00B4154B"/>
    <w:rsid w:val="00B41C58"/>
    <w:rsid w:val="00B42A47"/>
    <w:rsid w:val="00B52E65"/>
    <w:rsid w:val="00B53B3B"/>
    <w:rsid w:val="00B56356"/>
    <w:rsid w:val="00B564CB"/>
    <w:rsid w:val="00B56565"/>
    <w:rsid w:val="00B60136"/>
    <w:rsid w:val="00B61C08"/>
    <w:rsid w:val="00B74DD7"/>
    <w:rsid w:val="00B767CB"/>
    <w:rsid w:val="00B76C9F"/>
    <w:rsid w:val="00B80A53"/>
    <w:rsid w:val="00B82D42"/>
    <w:rsid w:val="00B852EC"/>
    <w:rsid w:val="00B869C5"/>
    <w:rsid w:val="00B90400"/>
    <w:rsid w:val="00B90404"/>
    <w:rsid w:val="00B91BCA"/>
    <w:rsid w:val="00B92C31"/>
    <w:rsid w:val="00B94667"/>
    <w:rsid w:val="00BA2271"/>
    <w:rsid w:val="00BA50A0"/>
    <w:rsid w:val="00BA62EB"/>
    <w:rsid w:val="00BA6CC9"/>
    <w:rsid w:val="00BB008E"/>
    <w:rsid w:val="00BB19AF"/>
    <w:rsid w:val="00BB2327"/>
    <w:rsid w:val="00BB271E"/>
    <w:rsid w:val="00BB37DD"/>
    <w:rsid w:val="00BC1F44"/>
    <w:rsid w:val="00BC2D5A"/>
    <w:rsid w:val="00BC364C"/>
    <w:rsid w:val="00BC5033"/>
    <w:rsid w:val="00BC5B63"/>
    <w:rsid w:val="00BD0CF3"/>
    <w:rsid w:val="00BD1C6C"/>
    <w:rsid w:val="00BE01A2"/>
    <w:rsid w:val="00BE32C7"/>
    <w:rsid w:val="00BE33D4"/>
    <w:rsid w:val="00BE3DA3"/>
    <w:rsid w:val="00BE4033"/>
    <w:rsid w:val="00BE6FC6"/>
    <w:rsid w:val="00BF324D"/>
    <w:rsid w:val="00BF34C3"/>
    <w:rsid w:val="00BF35F1"/>
    <w:rsid w:val="00BF3884"/>
    <w:rsid w:val="00BF7779"/>
    <w:rsid w:val="00C021EE"/>
    <w:rsid w:val="00C026B1"/>
    <w:rsid w:val="00C06241"/>
    <w:rsid w:val="00C0649A"/>
    <w:rsid w:val="00C06590"/>
    <w:rsid w:val="00C07724"/>
    <w:rsid w:val="00C23C63"/>
    <w:rsid w:val="00C24A80"/>
    <w:rsid w:val="00C278A5"/>
    <w:rsid w:val="00C30B49"/>
    <w:rsid w:val="00C356C4"/>
    <w:rsid w:val="00C36232"/>
    <w:rsid w:val="00C376F8"/>
    <w:rsid w:val="00C447C7"/>
    <w:rsid w:val="00C44FD7"/>
    <w:rsid w:val="00C45383"/>
    <w:rsid w:val="00C458F5"/>
    <w:rsid w:val="00C56107"/>
    <w:rsid w:val="00C603A2"/>
    <w:rsid w:val="00C60ECC"/>
    <w:rsid w:val="00C62A4A"/>
    <w:rsid w:val="00C62CE4"/>
    <w:rsid w:val="00C65E2B"/>
    <w:rsid w:val="00C660C3"/>
    <w:rsid w:val="00C707D3"/>
    <w:rsid w:val="00C720FF"/>
    <w:rsid w:val="00C8130C"/>
    <w:rsid w:val="00C81F70"/>
    <w:rsid w:val="00C84603"/>
    <w:rsid w:val="00C84D28"/>
    <w:rsid w:val="00C8529F"/>
    <w:rsid w:val="00C85FC6"/>
    <w:rsid w:val="00C87044"/>
    <w:rsid w:val="00C87637"/>
    <w:rsid w:val="00C87F4A"/>
    <w:rsid w:val="00C90565"/>
    <w:rsid w:val="00C91132"/>
    <w:rsid w:val="00C92283"/>
    <w:rsid w:val="00C9586E"/>
    <w:rsid w:val="00CA0E8F"/>
    <w:rsid w:val="00CA2838"/>
    <w:rsid w:val="00CA4176"/>
    <w:rsid w:val="00CA7119"/>
    <w:rsid w:val="00CB0124"/>
    <w:rsid w:val="00CB01B6"/>
    <w:rsid w:val="00CB0557"/>
    <w:rsid w:val="00CB3364"/>
    <w:rsid w:val="00CB4E83"/>
    <w:rsid w:val="00CB5D4D"/>
    <w:rsid w:val="00CB6A67"/>
    <w:rsid w:val="00CC0141"/>
    <w:rsid w:val="00CC5C53"/>
    <w:rsid w:val="00CD19C5"/>
    <w:rsid w:val="00CD21D9"/>
    <w:rsid w:val="00CD34EB"/>
    <w:rsid w:val="00CD53ED"/>
    <w:rsid w:val="00CD6863"/>
    <w:rsid w:val="00CE0B0A"/>
    <w:rsid w:val="00CE10A4"/>
    <w:rsid w:val="00CE4943"/>
    <w:rsid w:val="00CE615B"/>
    <w:rsid w:val="00CF06C2"/>
    <w:rsid w:val="00D0053A"/>
    <w:rsid w:val="00D02A07"/>
    <w:rsid w:val="00D0576C"/>
    <w:rsid w:val="00D116BC"/>
    <w:rsid w:val="00D1290F"/>
    <w:rsid w:val="00D20A6D"/>
    <w:rsid w:val="00D2568F"/>
    <w:rsid w:val="00D30D05"/>
    <w:rsid w:val="00D31DBF"/>
    <w:rsid w:val="00D355ED"/>
    <w:rsid w:val="00D3562C"/>
    <w:rsid w:val="00D36376"/>
    <w:rsid w:val="00D364EA"/>
    <w:rsid w:val="00D43804"/>
    <w:rsid w:val="00D43A66"/>
    <w:rsid w:val="00D4485A"/>
    <w:rsid w:val="00D47693"/>
    <w:rsid w:val="00D5090D"/>
    <w:rsid w:val="00D50D1C"/>
    <w:rsid w:val="00D5360E"/>
    <w:rsid w:val="00D54398"/>
    <w:rsid w:val="00D5503C"/>
    <w:rsid w:val="00D55244"/>
    <w:rsid w:val="00D60B0C"/>
    <w:rsid w:val="00D610C1"/>
    <w:rsid w:val="00D61916"/>
    <w:rsid w:val="00D61991"/>
    <w:rsid w:val="00D62C88"/>
    <w:rsid w:val="00D641B0"/>
    <w:rsid w:val="00D66682"/>
    <w:rsid w:val="00D670DE"/>
    <w:rsid w:val="00D762D9"/>
    <w:rsid w:val="00D77D55"/>
    <w:rsid w:val="00D80BB0"/>
    <w:rsid w:val="00D8266C"/>
    <w:rsid w:val="00D84546"/>
    <w:rsid w:val="00D86AAF"/>
    <w:rsid w:val="00D87969"/>
    <w:rsid w:val="00D915AC"/>
    <w:rsid w:val="00D966B3"/>
    <w:rsid w:val="00DA14EB"/>
    <w:rsid w:val="00DA242C"/>
    <w:rsid w:val="00DA39E5"/>
    <w:rsid w:val="00DA62CD"/>
    <w:rsid w:val="00DA7231"/>
    <w:rsid w:val="00DA7F13"/>
    <w:rsid w:val="00DB0241"/>
    <w:rsid w:val="00DB0847"/>
    <w:rsid w:val="00DB1740"/>
    <w:rsid w:val="00DB1B15"/>
    <w:rsid w:val="00DB7DFB"/>
    <w:rsid w:val="00DC040C"/>
    <w:rsid w:val="00DC1A06"/>
    <w:rsid w:val="00DC253E"/>
    <w:rsid w:val="00DC5FC2"/>
    <w:rsid w:val="00DD35B0"/>
    <w:rsid w:val="00DE234E"/>
    <w:rsid w:val="00DE24BB"/>
    <w:rsid w:val="00DE4538"/>
    <w:rsid w:val="00DE4603"/>
    <w:rsid w:val="00DE614B"/>
    <w:rsid w:val="00DF038B"/>
    <w:rsid w:val="00DF1036"/>
    <w:rsid w:val="00DF2F7D"/>
    <w:rsid w:val="00DF4511"/>
    <w:rsid w:val="00DF4A32"/>
    <w:rsid w:val="00E02A3F"/>
    <w:rsid w:val="00E02AFC"/>
    <w:rsid w:val="00E06FA4"/>
    <w:rsid w:val="00E11DDF"/>
    <w:rsid w:val="00E12754"/>
    <w:rsid w:val="00E161B4"/>
    <w:rsid w:val="00E20B16"/>
    <w:rsid w:val="00E23BB8"/>
    <w:rsid w:val="00E26C28"/>
    <w:rsid w:val="00E30CA3"/>
    <w:rsid w:val="00E311BE"/>
    <w:rsid w:val="00E33FCB"/>
    <w:rsid w:val="00E3437C"/>
    <w:rsid w:val="00E406FC"/>
    <w:rsid w:val="00E453F1"/>
    <w:rsid w:val="00E45D49"/>
    <w:rsid w:val="00E54766"/>
    <w:rsid w:val="00E60CDE"/>
    <w:rsid w:val="00E63010"/>
    <w:rsid w:val="00E67703"/>
    <w:rsid w:val="00E67936"/>
    <w:rsid w:val="00E700DE"/>
    <w:rsid w:val="00E71321"/>
    <w:rsid w:val="00E72371"/>
    <w:rsid w:val="00E72B96"/>
    <w:rsid w:val="00E7446D"/>
    <w:rsid w:val="00E7541B"/>
    <w:rsid w:val="00E75E22"/>
    <w:rsid w:val="00E76038"/>
    <w:rsid w:val="00E815F4"/>
    <w:rsid w:val="00E82DFA"/>
    <w:rsid w:val="00E8517B"/>
    <w:rsid w:val="00E85FC2"/>
    <w:rsid w:val="00E90A0E"/>
    <w:rsid w:val="00E91403"/>
    <w:rsid w:val="00E922E8"/>
    <w:rsid w:val="00E9345D"/>
    <w:rsid w:val="00E9350A"/>
    <w:rsid w:val="00E973F0"/>
    <w:rsid w:val="00EA3FED"/>
    <w:rsid w:val="00EA5B2B"/>
    <w:rsid w:val="00EA61F1"/>
    <w:rsid w:val="00EB2186"/>
    <w:rsid w:val="00EB42BE"/>
    <w:rsid w:val="00EB5C8A"/>
    <w:rsid w:val="00EC42AA"/>
    <w:rsid w:val="00EC4385"/>
    <w:rsid w:val="00EC54FD"/>
    <w:rsid w:val="00EC5582"/>
    <w:rsid w:val="00EC655E"/>
    <w:rsid w:val="00EC65DA"/>
    <w:rsid w:val="00ED1089"/>
    <w:rsid w:val="00ED2B0B"/>
    <w:rsid w:val="00ED7483"/>
    <w:rsid w:val="00EE48D0"/>
    <w:rsid w:val="00EF0DC8"/>
    <w:rsid w:val="00EF1D42"/>
    <w:rsid w:val="00EF4ED9"/>
    <w:rsid w:val="00EF5566"/>
    <w:rsid w:val="00F00BE6"/>
    <w:rsid w:val="00F02FEC"/>
    <w:rsid w:val="00F045DE"/>
    <w:rsid w:val="00F0580A"/>
    <w:rsid w:val="00F074A5"/>
    <w:rsid w:val="00F074E9"/>
    <w:rsid w:val="00F104FF"/>
    <w:rsid w:val="00F11C81"/>
    <w:rsid w:val="00F15A9D"/>
    <w:rsid w:val="00F2183F"/>
    <w:rsid w:val="00F236DE"/>
    <w:rsid w:val="00F26787"/>
    <w:rsid w:val="00F27D0C"/>
    <w:rsid w:val="00F30805"/>
    <w:rsid w:val="00F3781A"/>
    <w:rsid w:val="00F402A1"/>
    <w:rsid w:val="00F456EC"/>
    <w:rsid w:val="00F45794"/>
    <w:rsid w:val="00F46DA1"/>
    <w:rsid w:val="00F561F0"/>
    <w:rsid w:val="00F56413"/>
    <w:rsid w:val="00F61811"/>
    <w:rsid w:val="00F620DA"/>
    <w:rsid w:val="00F62373"/>
    <w:rsid w:val="00F645AF"/>
    <w:rsid w:val="00F66D3D"/>
    <w:rsid w:val="00F67CD8"/>
    <w:rsid w:val="00F74B91"/>
    <w:rsid w:val="00F75FD9"/>
    <w:rsid w:val="00F76CE8"/>
    <w:rsid w:val="00F82CA9"/>
    <w:rsid w:val="00F85917"/>
    <w:rsid w:val="00F86F96"/>
    <w:rsid w:val="00F87945"/>
    <w:rsid w:val="00F92F25"/>
    <w:rsid w:val="00F959AF"/>
    <w:rsid w:val="00F96D37"/>
    <w:rsid w:val="00FA58E5"/>
    <w:rsid w:val="00FA670A"/>
    <w:rsid w:val="00FA6FA9"/>
    <w:rsid w:val="00FA707E"/>
    <w:rsid w:val="00FB7242"/>
    <w:rsid w:val="00FB7707"/>
    <w:rsid w:val="00FC10F3"/>
    <w:rsid w:val="00FC21A9"/>
    <w:rsid w:val="00FC2BD1"/>
    <w:rsid w:val="00FD2BAC"/>
    <w:rsid w:val="00FD44C6"/>
    <w:rsid w:val="00FD7E03"/>
    <w:rsid w:val="00FE09D2"/>
    <w:rsid w:val="00FE2F16"/>
    <w:rsid w:val="00FE48CE"/>
    <w:rsid w:val="00FE74C2"/>
    <w:rsid w:val="00FF41E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CB202"/>
  <w15:docId w15:val="{D5EAFDC8-079C-4EFC-9D22-4C364D02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026"/>
    <w:rPr>
      <w:sz w:val="24"/>
      <w:szCs w:val="24"/>
    </w:rPr>
  </w:style>
  <w:style w:type="paragraph" w:styleId="Heading1">
    <w:name w:val="heading 1"/>
    <w:basedOn w:val="Normal"/>
    <w:next w:val="Normal"/>
    <w:link w:val="Heading1Char"/>
    <w:uiPriority w:val="9"/>
    <w:qFormat/>
    <w:rsid w:val="00994F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60EC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0C75C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autoRedefine/>
    <w:rsid w:val="00C60ECC"/>
    <w:pPr>
      <w:numPr>
        <w:ilvl w:val="1"/>
        <w:numId w:val="1"/>
      </w:numPr>
      <w:spacing w:before="0" w:after="0"/>
    </w:pPr>
    <w:rPr>
      <w:bCs w:val="0"/>
      <w:i w:val="0"/>
      <w:sz w:val="24"/>
      <w:szCs w:val="22"/>
      <w:lang w:eastAsia="en-US"/>
    </w:rPr>
  </w:style>
  <w:style w:type="paragraph" w:customStyle="1" w:styleId="a">
    <w:name w:val="Σ"/>
    <w:basedOn w:val="Normal"/>
    <w:rsid w:val="00A90026"/>
    <w:pPr>
      <w:jc w:val="both"/>
    </w:pPr>
    <w:rPr>
      <w:sz w:val="22"/>
      <w:szCs w:val="20"/>
      <w:lang w:eastAsia="en-US"/>
    </w:rPr>
  </w:style>
  <w:style w:type="paragraph" w:styleId="Header">
    <w:name w:val="header"/>
    <w:basedOn w:val="Normal"/>
    <w:link w:val="HeaderChar"/>
    <w:uiPriority w:val="99"/>
    <w:rsid w:val="00034FAA"/>
    <w:pPr>
      <w:tabs>
        <w:tab w:val="center" w:pos="4320"/>
        <w:tab w:val="right" w:pos="8640"/>
      </w:tabs>
    </w:pPr>
  </w:style>
  <w:style w:type="character" w:customStyle="1" w:styleId="HeaderChar">
    <w:name w:val="Header Char"/>
    <w:link w:val="Header"/>
    <w:uiPriority w:val="99"/>
    <w:rsid w:val="00034FAA"/>
    <w:rPr>
      <w:sz w:val="24"/>
      <w:szCs w:val="24"/>
      <w:lang w:val="el-GR" w:eastAsia="el-GR"/>
    </w:rPr>
  </w:style>
  <w:style w:type="paragraph" w:styleId="Footer">
    <w:name w:val="footer"/>
    <w:basedOn w:val="Normal"/>
    <w:link w:val="FooterChar"/>
    <w:rsid w:val="00034FAA"/>
    <w:pPr>
      <w:tabs>
        <w:tab w:val="center" w:pos="4320"/>
        <w:tab w:val="right" w:pos="8640"/>
      </w:tabs>
    </w:pPr>
  </w:style>
  <w:style w:type="character" w:customStyle="1" w:styleId="FooterChar">
    <w:name w:val="Footer Char"/>
    <w:link w:val="Footer"/>
    <w:rsid w:val="00034FAA"/>
    <w:rPr>
      <w:sz w:val="24"/>
      <w:szCs w:val="24"/>
      <w:lang w:val="el-GR" w:eastAsia="el-GR"/>
    </w:rPr>
  </w:style>
  <w:style w:type="paragraph" w:styleId="BalloonText">
    <w:name w:val="Balloon Text"/>
    <w:basedOn w:val="Normal"/>
    <w:link w:val="BalloonTextChar"/>
    <w:rsid w:val="00034FAA"/>
    <w:rPr>
      <w:rFonts w:ascii="Tahoma" w:hAnsi="Tahoma"/>
      <w:sz w:val="16"/>
      <w:szCs w:val="16"/>
    </w:rPr>
  </w:style>
  <w:style w:type="character" w:customStyle="1" w:styleId="BalloonTextChar">
    <w:name w:val="Balloon Text Char"/>
    <w:link w:val="BalloonText"/>
    <w:rsid w:val="00034FAA"/>
    <w:rPr>
      <w:rFonts w:ascii="Tahoma" w:hAnsi="Tahoma" w:cs="Tahoma"/>
      <w:sz w:val="16"/>
      <w:szCs w:val="16"/>
      <w:lang w:val="el-GR" w:eastAsia="el-GR"/>
    </w:rPr>
  </w:style>
  <w:style w:type="paragraph" w:styleId="NormalWeb">
    <w:name w:val="Normal (Web)"/>
    <w:basedOn w:val="Normal"/>
    <w:uiPriority w:val="99"/>
    <w:rsid w:val="00034FAA"/>
    <w:pPr>
      <w:spacing w:before="100" w:beforeAutospacing="1" w:after="100" w:afterAutospacing="1"/>
    </w:pPr>
  </w:style>
  <w:style w:type="character" w:styleId="Hyperlink">
    <w:name w:val="Hyperlink"/>
    <w:rsid w:val="00034FAA"/>
    <w:rPr>
      <w:color w:val="0000FF"/>
      <w:u w:val="single"/>
    </w:rPr>
  </w:style>
  <w:style w:type="paragraph" w:styleId="BodyText">
    <w:name w:val="Body Text"/>
    <w:basedOn w:val="Normal"/>
    <w:link w:val="BodyTextChar"/>
    <w:rsid w:val="00034FAA"/>
    <w:pPr>
      <w:spacing w:line="360" w:lineRule="auto"/>
      <w:jc w:val="both"/>
    </w:pPr>
    <w:rPr>
      <w:rFonts w:ascii="Tahoma" w:hAnsi="Tahoma"/>
      <w:sz w:val="22"/>
    </w:rPr>
  </w:style>
  <w:style w:type="character" w:customStyle="1" w:styleId="BodyTextChar">
    <w:name w:val="Body Text Char"/>
    <w:link w:val="BodyText"/>
    <w:rsid w:val="00034FAA"/>
    <w:rPr>
      <w:rFonts w:ascii="Tahoma" w:hAnsi="Tahoma" w:cs="Tahoma"/>
      <w:sz w:val="22"/>
      <w:szCs w:val="24"/>
      <w:lang w:val="el-GR"/>
    </w:rPr>
  </w:style>
  <w:style w:type="character" w:customStyle="1" w:styleId="bigtitle1">
    <w:name w:val="bigtitle1"/>
    <w:rsid w:val="00B258EF"/>
    <w:rPr>
      <w:rFonts w:ascii="Arial" w:hAnsi="Arial" w:cs="Arial" w:hint="default"/>
      <w:b/>
      <w:bCs/>
      <w:color w:val="004276"/>
      <w:sz w:val="42"/>
      <w:szCs w:val="42"/>
    </w:rPr>
  </w:style>
  <w:style w:type="character" w:styleId="Strong">
    <w:name w:val="Strong"/>
    <w:uiPriority w:val="22"/>
    <w:qFormat/>
    <w:rsid w:val="00B258EF"/>
    <w:rPr>
      <w:b/>
      <w:bCs/>
    </w:rPr>
  </w:style>
  <w:style w:type="character" w:customStyle="1" w:styleId="iorkoula">
    <w:name w:val="iorkoula"/>
    <w:semiHidden/>
    <w:rsid w:val="00F3781A"/>
    <w:rPr>
      <w:rFonts w:ascii="Tahoma" w:hAnsi="Tahoma"/>
      <w:b w:val="0"/>
      <w:bCs w:val="0"/>
      <w:i w:val="0"/>
      <w:iCs w:val="0"/>
      <w:strike w:val="0"/>
      <w:color w:val="0000FF"/>
      <w:sz w:val="20"/>
      <w:szCs w:val="20"/>
      <w:u w:val="none"/>
    </w:rPr>
  </w:style>
  <w:style w:type="paragraph" w:customStyle="1" w:styleId="Default">
    <w:name w:val="Default"/>
    <w:rsid w:val="00D4380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06298B"/>
    <w:rPr>
      <w:sz w:val="20"/>
      <w:szCs w:val="20"/>
    </w:rPr>
  </w:style>
  <w:style w:type="character" w:customStyle="1" w:styleId="CommentTextChar">
    <w:name w:val="Comment Text Char"/>
    <w:basedOn w:val="DefaultParagraphFont"/>
    <w:link w:val="CommentText"/>
    <w:uiPriority w:val="99"/>
    <w:rsid w:val="0006298B"/>
  </w:style>
  <w:style w:type="paragraph" w:styleId="CommentSubject">
    <w:name w:val="annotation subject"/>
    <w:basedOn w:val="CommentText"/>
    <w:next w:val="CommentText"/>
    <w:link w:val="CommentSubjectChar"/>
    <w:semiHidden/>
    <w:rsid w:val="0006298B"/>
    <w:rPr>
      <w:b/>
      <w:bCs/>
      <w:lang w:val="x-none" w:eastAsia="en-US"/>
    </w:rPr>
  </w:style>
  <w:style w:type="character" w:customStyle="1" w:styleId="CommentSubjectChar">
    <w:name w:val="Comment Subject Char"/>
    <w:basedOn w:val="CommentTextChar"/>
    <w:link w:val="CommentSubject"/>
    <w:semiHidden/>
    <w:rsid w:val="0006298B"/>
    <w:rPr>
      <w:b/>
      <w:bCs/>
      <w:lang w:val="x-none" w:eastAsia="en-US"/>
    </w:rPr>
  </w:style>
  <w:style w:type="paragraph" w:styleId="BodyText3">
    <w:name w:val="Body Text 3"/>
    <w:basedOn w:val="Normal"/>
    <w:link w:val="BodyText3Char"/>
    <w:uiPriority w:val="99"/>
    <w:semiHidden/>
    <w:unhideWhenUsed/>
    <w:rsid w:val="003300B7"/>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3300B7"/>
    <w:rPr>
      <w:sz w:val="16"/>
      <w:szCs w:val="16"/>
      <w:lang w:val="x-none" w:eastAsia="x-none"/>
    </w:rPr>
  </w:style>
  <w:style w:type="paragraph" w:styleId="FootnoteText">
    <w:name w:val="footnote text"/>
    <w:basedOn w:val="Normal"/>
    <w:link w:val="FootnoteTextChar"/>
    <w:uiPriority w:val="99"/>
    <w:semiHidden/>
    <w:unhideWhenUsed/>
    <w:rsid w:val="00195F12"/>
    <w:rPr>
      <w:sz w:val="20"/>
      <w:szCs w:val="20"/>
      <w:lang w:eastAsia="en-US"/>
    </w:rPr>
  </w:style>
  <w:style w:type="character" w:customStyle="1" w:styleId="FootnoteTextChar">
    <w:name w:val="Footnote Text Char"/>
    <w:basedOn w:val="DefaultParagraphFont"/>
    <w:link w:val="FootnoteText"/>
    <w:uiPriority w:val="99"/>
    <w:semiHidden/>
    <w:rsid w:val="00195F12"/>
    <w:rPr>
      <w:lang w:eastAsia="en-US"/>
    </w:rPr>
  </w:style>
  <w:style w:type="character" w:styleId="FootnoteReference">
    <w:name w:val="footnote reference"/>
    <w:basedOn w:val="DefaultParagraphFont"/>
    <w:uiPriority w:val="99"/>
    <w:semiHidden/>
    <w:unhideWhenUsed/>
    <w:rsid w:val="00195F12"/>
    <w:rPr>
      <w:vertAlign w:val="superscript"/>
    </w:rPr>
  </w:style>
  <w:style w:type="character" w:customStyle="1" w:styleId="Heading3Char">
    <w:name w:val="Heading 3 Char"/>
    <w:basedOn w:val="DefaultParagraphFont"/>
    <w:link w:val="Heading3"/>
    <w:uiPriority w:val="9"/>
    <w:semiHidden/>
    <w:rsid w:val="000C75C7"/>
    <w:rPr>
      <w:rFonts w:asciiTheme="majorHAnsi" w:eastAsiaTheme="majorEastAsia" w:hAnsiTheme="majorHAnsi" w:cstheme="majorBidi"/>
      <w:color w:val="243F60" w:themeColor="accent1" w:themeShade="7F"/>
      <w:sz w:val="24"/>
      <w:szCs w:val="24"/>
    </w:rPr>
  </w:style>
  <w:style w:type="paragraph" w:styleId="ListParagraph">
    <w:name w:val="List Paragraph"/>
    <w:aliases w:val="Κουκίδες"/>
    <w:basedOn w:val="Normal"/>
    <w:link w:val="ListParagraphChar"/>
    <w:uiPriority w:val="34"/>
    <w:qFormat/>
    <w:rsid w:val="000C75C7"/>
    <w:pPr>
      <w:ind w:left="720"/>
    </w:pPr>
    <w:rPr>
      <w:lang w:eastAsia="en-US"/>
    </w:rPr>
  </w:style>
  <w:style w:type="character" w:customStyle="1" w:styleId="ListParagraphChar">
    <w:name w:val="List Paragraph Char"/>
    <w:aliases w:val="Κουκίδες Char"/>
    <w:basedOn w:val="DefaultParagraphFont"/>
    <w:link w:val="ListParagraph"/>
    <w:uiPriority w:val="34"/>
    <w:locked/>
    <w:rsid w:val="000C75C7"/>
    <w:rPr>
      <w:sz w:val="24"/>
      <w:szCs w:val="24"/>
      <w:lang w:eastAsia="en-US"/>
    </w:rPr>
  </w:style>
  <w:style w:type="character" w:customStyle="1" w:styleId="jlqj4b">
    <w:name w:val="jlqj4b"/>
    <w:basedOn w:val="DefaultParagraphFont"/>
    <w:rsid w:val="00BB271E"/>
  </w:style>
  <w:style w:type="character" w:customStyle="1" w:styleId="hgkelc">
    <w:name w:val="hgkelc"/>
    <w:basedOn w:val="DefaultParagraphFont"/>
    <w:rsid w:val="00BB37DD"/>
  </w:style>
  <w:style w:type="character" w:customStyle="1" w:styleId="Heading1Char">
    <w:name w:val="Heading 1 Char"/>
    <w:basedOn w:val="DefaultParagraphFont"/>
    <w:link w:val="Heading1"/>
    <w:uiPriority w:val="9"/>
    <w:rsid w:val="00994FC9"/>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uiPriority w:val="99"/>
    <w:semiHidden/>
    <w:unhideWhenUsed/>
    <w:rsid w:val="002956CB"/>
    <w:pPr>
      <w:spacing w:after="120" w:line="480" w:lineRule="auto"/>
    </w:pPr>
  </w:style>
  <w:style w:type="character" w:customStyle="1" w:styleId="BodyText2Char">
    <w:name w:val="Body Text 2 Char"/>
    <w:basedOn w:val="DefaultParagraphFont"/>
    <w:link w:val="BodyText2"/>
    <w:uiPriority w:val="99"/>
    <w:semiHidden/>
    <w:rsid w:val="002956CB"/>
    <w:rPr>
      <w:sz w:val="24"/>
      <w:szCs w:val="24"/>
    </w:rPr>
  </w:style>
  <w:style w:type="character" w:styleId="CommentReference">
    <w:name w:val="annotation reference"/>
    <w:basedOn w:val="DefaultParagraphFont"/>
    <w:uiPriority w:val="99"/>
    <w:unhideWhenUsed/>
    <w:rsid w:val="00503514"/>
    <w:rPr>
      <w:sz w:val="16"/>
      <w:szCs w:val="16"/>
    </w:rPr>
  </w:style>
  <w:style w:type="character" w:customStyle="1" w:styleId="q4iawc">
    <w:name w:val="q4iawc"/>
    <w:basedOn w:val="DefaultParagraphFont"/>
    <w:rsid w:val="008C32F1"/>
  </w:style>
  <w:style w:type="character" w:customStyle="1" w:styleId="viiyi">
    <w:name w:val="viiyi"/>
    <w:basedOn w:val="DefaultParagraphFont"/>
    <w:rsid w:val="00CC5C53"/>
  </w:style>
  <w:style w:type="paragraph" w:styleId="Revision">
    <w:name w:val="Revision"/>
    <w:hidden/>
    <w:uiPriority w:val="99"/>
    <w:semiHidden/>
    <w:rsid w:val="003C65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9172">
      <w:bodyDiv w:val="1"/>
      <w:marLeft w:val="0"/>
      <w:marRight w:val="0"/>
      <w:marTop w:val="0"/>
      <w:marBottom w:val="0"/>
      <w:divBdr>
        <w:top w:val="none" w:sz="0" w:space="0" w:color="auto"/>
        <w:left w:val="none" w:sz="0" w:space="0" w:color="auto"/>
        <w:bottom w:val="none" w:sz="0" w:space="0" w:color="auto"/>
        <w:right w:val="none" w:sz="0" w:space="0" w:color="auto"/>
      </w:divBdr>
    </w:div>
    <w:div w:id="137919884">
      <w:bodyDiv w:val="1"/>
      <w:marLeft w:val="0"/>
      <w:marRight w:val="0"/>
      <w:marTop w:val="0"/>
      <w:marBottom w:val="0"/>
      <w:divBdr>
        <w:top w:val="none" w:sz="0" w:space="0" w:color="auto"/>
        <w:left w:val="none" w:sz="0" w:space="0" w:color="auto"/>
        <w:bottom w:val="none" w:sz="0" w:space="0" w:color="auto"/>
        <w:right w:val="none" w:sz="0" w:space="0" w:color="auto"/>
      </w:divBdr>
    </w:div>
    <w:div w:id="265967595">
      <w:bodyDiv w:val="1"/>
      <w:marLeft w:val="0"/>
      <w:marRight w:val="0"/>
      <w:marTop w:val="0"/>
      <w:marBottom w:val="0"/>
      <w:divBdr>
        <w:top w:val="none" w:sz="0" w:space="0" w:color="auto"/>
        <w:left w:val="none" w:sz="0" w:space="0" w:color="auto"/>
        <w:bottom w:val="none" w:sz="0" w:space="0" w:color="auto"/>
        <w:right w:val="none" w:sz="0" w:space="0" w:color="auto"/>
      </w:divBdr>
    </w:div>
    <w:div w:id="276059304">
      <w:bodyDiv w:val="1"/>
      <w:marLeft w:val="0"/>
      <w:marRight w:val="0"/>
      <w:marTop w:val="0"/>
      <w:marBottom w:val="0"/>
      <w:divBdr>
        <w:top w:val="none" w:sz="0" w:space="0" w:color="auto"/>
        <w:left w:val="none" w:sz="0" w:space="0" w:color="auto"/>
        <w:bottom w:val="none" w:sz="0" w:space="0" w:color="auto"/>
        <w:right w:val="none" w:sz="0" w:space="0" w:color="auto"/>
      </w:divBdr>
    </w:div>
    <w:div w:id="388649673">
      <w:bodyDiv w:val="1"/>
      <w:marLeft w:val="0"/>
      <w:marRight w:val="0"/>
      <w:marTop w:val="0"/>
      <w:marBottom w:val="0"/>
      <w:divBdr>
        <w:top w:val="none" w:sz="0" w:space="0" w:color="auto"/>
        <w:left w:val="none" w:sz="0" w:space="0" w:color="auto"/>
        <w:bottom w:val="none" w:sz="0" w:space="0" w:color="auto"/>
        <w:right w:val="none" w:sz="0" w:space="0" w:color="auto"/>
      </w:divBdr>
      <w:divsChild>
        <w:div w:id="432866358">
          <w:marLeft w:val="0"/>
          <w:marRight w:val="0"/>
          <w:marTop w:val="0"/>
          <w:marBottom w:val="0"/>
          <w:divBdr>
            <w:top w:val="none" w:sz="0" w:space="0" w:color="auto"/>
            <w:left w:val="none" w:sz="0" w:space="0" w:color="auto"/>
            <w:bottom w:val="none" w:sz="0" w:space="0" w:color="auto"/>
            <w:right w:val="none" w:sz="0" w:space="0" w:color="auto"/>
          </w:divBdr>
        </w:div>
      </w:divsChild>
    </w:div>
    <w:div w:id="920220246">
      <w:bodyDiv w:val="1"/>
      <w:marLeft w:val="0"/>
      <w:marRight w:val="0"/>
      <w:marTop w:val="0"/>
      <w:marBottom w:val="0"/>
      <w:divBdr>
        <w:top w:val="none" w:sz="0" w:space="0" w:color="auto"/>
        <w:left w:val="none" w:sz="0" w:space="0" w:color="auto"/>
        <w:bottom w:val="none" w:sz="0" w:space="0" w:color="auto"/>
        <w:right w:val="none" w:sz="0" w:space="0" w:color="auto"/>
      </w:divBdr>
    </w:div>
    <w:div w:id="935483749">
      <w:bodyDiv w:val="1"/>
      <w:marLeft w:val="0"/>
      <w:marRight w:val="0"/>
      <w:marTop w:val="0"/>
      <w:marBottom w:val="0"/>
      <w:divBdr>
        <w:top w:val="none" w:sz="0" w:space="0" w:color="auto"/>
        <w:left w:val="none" w:sz="0" w:space="0" w:color="auto"/>
        <w:bottom w:val="none" w:sz="0" w:space="0" w:color="auto"/>
        <w:right w:val="none" w:sz="0" w:space="0" w:color="auto"/>
      </w:divBdr>
    </w:div>
    <w:div w:id="1003626105">
      <w:bodyDiv w:val="1"/>
      <w:marLeft w:val="0"/>
      <w:marRight w:val="0"/>
      <w:marTop w:val="0"/>
      <w:marBottom w:val="0"/>
      <w:divBdr>
        <w:top w:val="none" w:sz="0" w:space="0" w:color="auto"/>
        <w:left w:val="none" w:sz="0" w:space="0" w:color="auto"/>
        <w:bottom w:val="none" w:sz="0" w:space="0" w:color="auto"/>
        <w:right w:val="none" w:sz="0" w:space="0" w:color="auto"/>
      </w:divBdr>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112945190">
      <w:bodyDiv w:val="1"/>
      <w:marLeft w:val="0"/>
      <w:marRight w:val="0"/>
      <w:marTop w:val="0"/>
      <w:marBottom w:val="0"/>
      <w:divBdr>
        <w:top w:val="none" w:sz="0" w:space="0" w:color="auto"/>
        <w:left w:val="none" w:sz="0" w:space="0" w:color="auto"/>
        <w:bottom w:val="none" w:sz="0" w:space="0" w:color="auto"/>
        <w:right w:val="none" w:sz="0" w:space="0" w:color="auto"/>
      </w:divBdr>
    </w:div>
    <w:div w:id="1536113249">
      <w:bodyDiv w:val="1"/>
      <w:marLeft w:val="0"/>
      <w:marRight w:val="0"/>
      <w:marTop w:val="0"/>
      <w:marBottom w:val="0"/>
      <w:divBdr>
        <w:top w:val="none" w:sz="0" w:space="0" w:color="auto"/>
        <w:left w:val="none" w:sz="0" w:space="0" w:color="auto"/>
        <w:bottom w:val="none" w:sz="0" w:space="0" w:color="auto"/>
        <w:right w:val="none" w:sz="0" w:space="0" w:color="auto"/>
      </w:divBdr>
    </w:div>
    <w:div w:id="1605769913">
      <w:bodyDiv w:val="1"/>
      <w:marLeft w:val="0"/>
      <w:marRight w:val="0"/>
      <w:marTop w:val="0"/>
      <w:marBottom w:val="0"/>
      <w:divBdr>
        <w:top w:val="none" w:sz="0" w:space="0" w:color="auto"/>
        <w:left w:val="none" w:sz="0" w:space="0" w:color="auto"/>
        <w:bottom w:val="none" w:sz="0" w:space="0" w:color="auto"/>
        <w:right w:val="none" w:sz="0" w:space="0" w:color="auto"/>
      </w:divBdr>
    </w:div>
    <w:div w:id="1629972291">
      <w:bodyDiv w:val="1"/>
      <w:marLeft w:val="0"/>
      <w:marRight w:val="0"/>
      <w:marTop w:val="0"/>
      <w:marBottom w:val="0"/>
      <w:divBdr>
        <w:top w:val="none" w:sz="0" w:space="0" w:color="auto"/>
        <w:left w:val="none" w:sz="0" w:space="0" w:color="auto"/>
        <w:bottom w:val="none" w:sz="0" w:space="0" w:color="auto"/>
        <w:right w:val="none" w:sz="0" w:space="0" w:color="auto"/>
      </w:divBdr>
    </w:div>
    <w:div w:id="1657300357">
      <w:bodyDiv w:val="1"/>
      <w:marLeft w:val="0"/>
      <w:marRight w:val="0"/>
      <w:marTop w:val="0"/>
      <w:marBottom w:val="0"/>
      <w:divBdr>
        <w:top w:val="none" w:sz="0" w:space="0" w:color="auto"/>
        <w:left w:val="none" w:sz="0" w:space="0" w:color="auto"/>
        <w:bottom w:val="none" w:sz="0" w:space="0" w:color="auto"/>
        <w:right w:val="none" w:sz="0" w:space="0" w:color="auto"/>
      </w:divBdr>
    </w:div>
    <w:div w:id="1681081206">
      <w:bodyDiv w:val="1"/>
      <w:marLeft w:val="0"/>
      <w:marRight w:val="0"/>
      <w:marTop w:val="0"/>
      <w:marBottom w:val="0"/>
      <w:divBdr>
        <w:top w:val="none" w:sz="0" w:space="0" w:color="auto"/>
        <w:left w:val="none" w:sz="0" w:space="0" w:color="auto"/>
        <w:bottom w:val="none" w:sz="0" w:space="0" w:color="auto"/>
        <w:right w:val="none" w:sz="0" w:space="0" w:color="auto"/>
      </w:divBdr>
    </w:div>
    <w:div w:id="1773671479">
      <w:bodyDiv w:val="1"/>
      <w:marLeft w:val="0"/>
      <w:marRight w:val="0"/>
      <w:marTop w:val="0"/>
      <w:marBottom w:val="0"/>
      <w:divBdr>
        <w:top w:val="none" w:sz="0" w:space="0" w:color="auto"/>
        <w:left w:val="none" w:sz="0" w:space="0" w:color="auto"/>
        <w:bottom w:val="none" w:sz="0" w:space="0" w:color="auto"/>
        <w:right w:val="none" w:sz="0" w:space="0" w:color="auto"/>
      </w:divBdr>
    </w:div>
    <w:div w:id="1788352477">
      <w:bodyDiv w:val="1"/>
      <w:marLeft w:val="0"/>
      <w:marRight w:val="0"/>
      <w:marTop w:val="0"/>
      <w:marBottom w:val="0"/>
      <w:divBdr>
        <w:top w:val="none" w:sz="0" w:space="0" w:color="auto"/>
        <w:left w:val="none" w:sz="0" w:space="0" w:color="auto"/>
        <w:bottom w:val="none" w:sz="0" w:space="0" w:color="auto"/>
        <w:right w:val="none" w:sz="0" w:space="0" w:color="auto"/>
      </w:divBdr>
    </w:div>
    <w:div w:id="1881238694">
      <w:bodyDiv w:val="1"/>
      <w:marLeft w:val="0"/>
      <w:marRight w:val="0"/>
      <w:marTop w:val="0"/>
      <w:marBottom w:val="0"/>
      <w:divBdr>
        <w:top w:val="none" w:sz="0" w:space="0" w:color="auto"/>
        <w:left w:val="none" w:sz="0" w:space="0" w:color="auto"/>
        <w:bottom w:val="none" w:sz="0" w:space="0" w:color="auto"/>
        <w:right w:val="none" w:sz="0" w:space="0" w:color="auto"/>
      </w:divBdr>
    </w:div>
    <w:div w:id="1915815402">
      <w:bodyDiv w:val="1"/>
      <w:marLeft w:val="0"/>
      <w:marRight w:val="0"/>
      <w:marTop w:val="0"/>
      <w:marBottom w:val="0"/>
      <w:divBdr>
        <w:top w:val="none" w:sz="0" w:space="0" w:color="auto"/>
        <w:left w:val="none" w:sz="0" w:space="0" w:color="auto"/>
        <w:bottom w:val="none" w:sz="0" w:space="0" w:color="auto"/>
        <w:right w:val="none" w:sz="0" w:space="0" w:color="auto"/>
      </w:divBdr>
    </w:div>
    <w:div w:id="19213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5404-507E-404A-85E6-B8C35FA2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1271</Words>
  <Characters>7238</Characters>
  <Application>Microsoft Office Word</Application>
  <DocSecurity>0</DocSecurity>
  <Lines>60</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Το 2007 αποτέλεσε σημαντική χρονιά για την Σιδηρεμπορική Μακεδονίας ΣΙΔΜΑ Α</vt:lpstr>
      <vt:lpstr>Το 2007 αποτέλεσε σημαντική χρονιά για την Σιδηρεμπορική Μακεδονίας ΣΙΔΜΑ Α</vt:lpstr>
    </vt:vector>
  </TitlesOfParts>
  <Company>SIDMA A.E</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2007 αποτέλεσε σημαντική χρονιά για την Σιδηρεμπορική Μακεδονίας ΣΙΔΜΑ Α</dc:title>
  <dc:creator>msamonas</dc:creator>
  <cp:lastModifiedBy>Όρκουλα Ιωάννα (Orkoula Ioanna)</cp:lastModifiedBy>
  <cp:revision>3</cp:revision>
  <cp:lastPrinted>2021-09-16T10:39:00Z</cp:lastPrinted>
  <dcterms:created xsi:type="dcterms:W3CDTF">2022-09-22T11:26:00Z</dcterms:created>
  <dcterms:modified xsi:type="dcterms:W3CDTF">2022-09-23T14:02:00Z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1923055909</vt:i4>
  </property>
  <property fmtid="{D5CDD505-2E9C-101B-9397-08002B2CF9AE}" pid="4" name="_EmailSubject">
    <vt:lpwstr/>
  </property>
  <property fmtid="{D5CDD505-2E9C-101B-9397-08002B2CF9AE}" pid="5" name="_AuthorEmail">
    <vt:lpwstr>dbenard@sidma.gr</vt:lpwstr>
  </property>
  <property fmtid="{D5CDD505-2E9C-101B-9397-08002B2CF9AE}" pid="6" name="_AuthorEmailDisplayName">
    <vt:lpwstr>Benardout, Daniel (Μπεναρδούτ Δανιήλ)</vt:lpwstr>
  </property>
  <property fmtid="{D5CDD505-2E9C-101B-9397-08002B2CF9AE}" pid="7" name="_ReviewingToolsShownOnce">
    <vt:lpwstr/>
  </property>
</Properties>
</file>