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37C5E" w14:textId="487960CA" w:rsidR="00DE6EA3" w:rsidRPr="00C55280" w:rsidRDefault="00C55280">
      <w:pPr>
        <w:pStyle w:val="BodyText3"/>
        <w:jc w:val="both"/>
        <w:rPr>
          <w:rFonts w:ascii="Century Gothic" w:hAnsi="Century Gothic"/>
          <w:b/>
          <w:bCs/>
          <w:sz w:val="20"/>
          <w:lang w:val="en-US"/>
        </w:rPr>
      </w:pPr>
      <w:r>
        <w:rPr>
          <w:rFonts w:ascii="Century Gothic" w:hAnsi="Century Gothic" w:cs="Arial"/>
          <w:lang w:val="en-US"/>
        </w:rPr>
        <w:t>Athens</w:t>
      </w:r>
      <w:r w:rsidR="0040045A" w:rsidRPr="00C55280">
        <w:rPr>
          <w:rFonts w:ascii="Century Gothic" w:hAnsi="Century Gothic" w:cs="Arial"/>
          <w:lang w:val="en-US"/>
        </w:rPr>
        <w:t xml:space="preserve">, </w:t>
      </w:r>
      <w:r w:rsidR="00771817">
        <w:rPr>
          <w:rFonts w:ascii="Century Gothic" w:hAnsi="Century Gothic" w:cs="Arial"/>
          <w:lang w:val="en-US"/>
        </w:rPr>
        <w:t>May</w:t>
      </w:r>
      <w:r w:rsidR="00FF2522">
        <w:rPr>
          <w:rFonts w:ascii="Century Gothic" w:hAnsi="Century Gothic" w:cs="Arial"/>
          <w:lang w:val="en-US"/>
        </w:rPr>
        <w:t xml:space="preserve"> </w:t>
      </w:r>
      <w:r w:rsidR="00F55CE4">
        <w:rPr>
          <w:rFonts w:ascii="Century Gothic" w:hAnsi="Century Gothic" w:cs="Arial"/>
          <w:lang w:val="en-US"/>
        </w:rPr>
        <w:t>2</w:t>
      </w:r>
      <w:r w:rsidR="00771817">
        <w:rPr>
          <w:rFonts w:ascii="Century Gothic" w:hAnsi="Century Gothic" w:cs="Arial"/>
          <w:lang w:val="en-US"/>
        </w:rPr>
        <w:t>5</w:t>
      </w:r>
      <w:r>
        <w:rPr>
          <w:rFonts w:ascii="Century Gothic" w:hAnsi="Century Gothic" w:cs="Arial"/>
          <w:lang w:val="en-US"/>
        </w:rPr>
        <w:t>,</w:t>
      </w:r>
      <w:r w:rsidR="0040045A" w:rsidRPr="00C55280">
        <w:rPr>
          <w:rFonts w:ascii="Century Gothic" w:hAnsi="Century Gothic" w:cs="Arial"/>
          <w:lang w:val="en-US"/>
        </w:rPr>
        <w:t xml:space="preserve"> 2022</w:t>
      </w:r>
    </w:p>
    <w:p w14:paraId="4F871311" w14:textId="77777777" w:rsidR="0040045A" w:rsidRPr="00C55280" w:rsidRDefault="0040045A" w:rsidP="00DE6EA3">
      <w:pPr>
        <w:tabs>
          <w:tab w:val="left" w:pos="8130"/>
        </w:tabs>
        <w:jc w:val="both"/>
        <w:rPr>
          <w:rFonts w:ascii="Century Gothic" w:hAnsi="Century Gothic"/>
          <w:lang w:val="en-US"/>
        </w:rPr>
      </w:pPr>
    </w:p>
    <w:p w14:paraId="0BF342D4" w14:textId="77777777" w:rsidR="005C4DD4" w:rsidRPr="00C55280" w:rsidRDefault="005C4DD4" w:rsidP="00DE6EA3">
      <w:pPr>
        <w:tabs>
          <w:tab w:val="left" w:pos="8130"/>
        </w:tabs>
        <w:jc w:val="both"/>
        <w:rPr>
          <w:rFonts w:ascii="Century Gothic" w:hAnsi="Century Gothic"/>
          <w:lang w:val="en-US"/>
        </w:rPr>
      </w:pPr>
    </w:p>
    <w:p w14:paraId="0E5775B7" w14:textId="77777777" w:rsidR="003700FF" w:rsidRPr="00C55280" w:rsidRDefault="00DE6EA3" w:rsidP="00DE6EA3">
      <w:pPr>
        <w:tabs>
          <w:tab w:val="left" w:pos="8130"/>
        </w:tabs>
        <w:jc w:val="both"/>
        <w:rPr>
          <w:rFonts w:ascii="Century Gothic" w:hAnsi="Century Gothic"/>
          <w:lang w:val="en-US"/>
        </w:rPr>
      </w:pPr>
      <w:r w:rsidRPr="00C55280">
        <w:rPr>
          <w:rFonts w:ascii="Century Gothic" w:hAnsi="Century Gothic"/>
          <w:lang w:val="en-US"/>
        </w:rPr>
        <w:tab/>
      </w:r>
    </w:p>
    <w:p w14:paraId="4C4BB7E2" w14:textId="2B1B6BDE" w:rsidR="00E4417D" w:rsidRPr="0007254F" w:rsidRDefault="008A1899" w:rsidP="0110B71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Book" w:hAnsi="Franklin Gothic Book"/>
          <w:b/>
          <w:bCs/>
          <w:color w:val="244061"/>
          <w:sz w:val="26"/>
          <w:szCs w:val="26"/>
          <w:lang w:val="en-US"/>
        </w:rPr>
      </w:pPr>
      <w:r w:rsidRPr="008A1899">
        <w:rPr>
          <w:rFonts w:ascii="Century Gothic" w:hAnsi="Century Gothic"/>
          <w:b/>
          <w:bCs/>
          <w:color w:val="244061"/>
          <w:sz w:val="26"/>
          <w:szCs w:val="26"/>
          <w:lang w:val="en-US"/>
        </w:rPr>
        <w:t>SingularLogic reports a dynamic com</w:t>
      </w:r>
      <w:r>
        <w:rPr>
          <w:rFonts w:ascii="Century Gothic" w:hAnsi="Century Gothic"/>
          <w:b/>
          <w:bCs/>
          <w:color w:val="244061"/>
          <w:sz w:val="26"/>
          <w:szCs w:val="26"/>
          <w:lang w:val="en-US"/>
        </w:rPr>
        <w:t>e</w:t>
      </w:r>
      <w:r w:rsidRPr="008A1899">
        <w:rPr>
          <w:rFonts w:ascii="Century Gothic" w:hAnsi="Century Gothic"/>
          <w:b/>
          <w:bCs/>
          <w:color w:val="244061"/>
          <w:sz w:val="26"/>
          <w:szCs w:val="26"/>
          <w:lang w:val="en-US"/>
        </w:rPr>
        <w:t>back in its 2021 results</w:t>
      </w:r>
    </w:p>
    <w:p w14:paraId="0FDA411B" w14:textId="77777777" w:rsidR="007C058A" w:rsidRPr="00C55280" w:rsidRDefault="007C058A" w:rsidP="008048D1">
      <w:pPr>
        <w:jc w:val="both"/>
        <w:rPr>
          <w:rFonts w:ascii="Century Gothic" w:hAnsi="Century Gothic" w:cs="Arial"/>
          <w:lang w:val="en-US"/>
        </w:rPr>
      </w:pPr>
    </w:p>
    <w:p w14:paraId="799C7C23" w14:textId="60407005" w:rsidR="0007254F" w:rsidRPr="0007254F" w:rsidRDefault="0007254F" w:rsidP="0007254F">
      <w:pPr>
        <w:jc w:val="both"/>
        <w:rPr>
          <w:rFonts w:ascii="Century Gothic" w:hAnsi="Century Gothic" w:cs="Arial"/>
          <w:lang w:val="en-US"/>
        </w:rPr>
      </w:pPr>
      <w:r w:rsidRPr="0007254F">
        <w:rPr>
          <w:rFonts w:ascii="Century Gothic" w:hAnsi="Century Gothic" w:cs="Arial"/>
          <w:lang w:val="en-US"/>
        </w:rPr>
        <w:t>Space Hellas'</w:t>
      </w:r>
      <w:r w:rsidR="00E45869">
        <w:rPr>
          <w:rFonts w:ascii="Century Gothic" w:hAnsi="Century Gothic" w:cs="Arial"/>
          <w:lang w:val="en-US"/>
        </w:rPr>
        <w:t>s</w:t>
      </w:r>
      <w:r w:rsidRPr="0007254F">
        <w:rPr>
          <w:rFonts w:ascii="Century Gothic" w:hAnsi="Century Gothic" w:cs="Arial"/>
          <w:lang w:val="en-US"/>
        </w:rPr>
        <w:t xml:space="preserve"> strategic choice to enter</w:t>
      </w:r>
      <w:r w:rsidR="00E45869">
        <w:rPr>
          <w:rFonts w:ascii="Century Gothic" w:hAnsi="Century Gothic" w:cs="Arial"/>
          <w:lang w:val="en-US"/>
        </w:rPr>
        <w:t xml:space="preserve"> into</w:t>
      </w:r>
      <w:r w:rsidRPr="0007254F">
        <w:rPr>
          <w:rFonts w:ascii="Century Gothic" w:hAnsi="Century Gothic" w:cs="Arial"/>
          <w:lang w:val="en-US"/>
        </w:rPr>
        <w:t xml:space="preserve"> the Software Integration market, with the acquisition</w:t>
      </w:r>
      <w:r w:rsidR="00E45869" w:rsidRPr="00E45869">
        <w:rPr>
          <w:rFonts w:ascii="Century Gothic" w:hAnsi="Century Gothic" w:cs="Arial"/>
          <w:lang w:val="en-US"/>
        </w:rPr>
        <w:t>,</w:t>
      </w:r>
      <w:r w:rsidRPr="0007254F">
        <w:rPr>
          <w:rFonts w:ascii="Century Gothic" w:hAnsi="Century Gothic" w:cs="Arial"/>
          <w:lang w:val="en-US"/>
        </w:rPr>
        <w:t xml:space="preserve"> jointly with Epsilon Net, of the company SingularLogic and</w:t>
      </w:r>
      <w:r w:rsidR="00E45869">
        <w:rPr>
          <w:rFonts w:ascii="Century Gothic" w:hAnsi="Century Gothic" w:cs="Arial"/>
          <w:lang w:val="en-US"/>
        </w:rPr>
        <w:t xml:space="preserve"> then</w:t>
      </w:r>
      <w:r w:rsidRPr="0007254F">
        <w:rPr>
          <w:rFonts w:ascii="Century Gothic" w:hAnsi="Century Gothic" w:cs="Arial"/>
          <w:lang w:val="en-US"/>
        </w:rPr>
        <w:t xml:space="preserve"> the acquisition by Space Hellas of a majority stake of 60% and </w:t>
      </w:r>
      <w:bookmarkStart w:id="0" w:name="_GoBack"/>
      <w:bookmarkEnd w:id="0"/>
      <w:r w:rsidRPr="0007254F">
        <w:rPr>
          <w:rFonts w:ascii="Century Gothic" w:hAnsi="Century Gothic" w:cs="Arial"/>
          <w:lang w:val="en-US"/>
        </w:rPr>
        <w:t xml:space="preserve">its management, </w:t>
      </w:r>
      <w:r w:rsidR="0049329E">
        <w:rPr>
          <w:rFonts w:ascii="Century Gothic" w:hAnsi="Century Gothic" w:cs="Arial"/>
          <w:lang w:val="en-US"/>
        </w:rPr>
        <w:t xml:space="preserve">is starting to bear fruits as </w:t>
      </w:r>
      <w:r w:rsidRPr="0007254F">
        <w:rPr>
          <w:rFonts w:ascii="Century Gothic" w:hAnsi="Century Gothic" w:cs="Arial"/>
          <w:lang w:val="en-US"/>
        </w:rPr>
        <w:t>reflected in SingularLogic's 2021 financial statements, which highlight the result of the above mentioned steps as completely successful.</w:t>
      </w:r>
    </w:p>
    <w:p w14:paraId="03533185" w14:textId="77777777" w:rsidR="0007254F" w:rsidRPr="0007254F" w:rsidRDefault="0007254F" w:rsidP="0007254F">
      <w:pPr>
        <w:jc w:val="both"/>
        <w:rPr>
          <w:rFonts w:ascii="Century Gothic" w:hAnsi="Century Gothic" w:cs="Arial"/>
          <w:lang w:val="en-US"/>
        </w:rPr>
      </w:pPr>
      <w:r w:rsidRPr="0007254F">
        <w:rPr>
          <w:rFonts w:ascii="Century Gothic" w:hAnsi="Century Gothic" w:cs="Arial"/>
          <w:lang w:val="en-US"/>
        </w:rPr>
        <w:t xml:space="preserve"> </w:t>
      </w:r>
    </w:p>
    <w:p w14:paraId="299F76E3" w14:textId="77777777" w:rsidR="0007254F" w:rsidRPr="0007254F" w:rsidRDefault="0007254F" w:rsidP="0007254F">
      <w:pPr>
        <w:jc w:val="both"/>
        <w:rPr>
          <w:rFonts w:ascii="Century Gothic" w:hAnsi="Century Gothic" w:cs="Arial"/>
          <w:lang w:val="en-US"/>
        </w:rPr>
      </w:pPr>
      <w:r w:rsidRPr="0007254F">
        <w:rPr>
          <w:rFonts w:ascii="Century Gothic" w:hAnsi="Century Gothic" w:cs="Arial"/>
          <w:lang w:val="en-US"/>
        </w:rPr>
        <w:t>SingularLogic, which closed in 2020 with negative capital of € - 8.3 million in 2021, presents a fully consolidated balance sheet with positive equity of € 9.2 million of positive equity, net debt of € 1.1 million compared to € 26.8 million in 2020 and earnings after taxes of € 1.3 million.</w:t>
      </w:r>
    </w:p>
    <w:p w14:paraId="65A0A573" w14:textId="77777777" w:rsidR="0007254F" w:rsidRPr="0007254F" w:rsidRDefault="0007254F" w:rsidP="0007254F">
      <w:pPr>
        <w:jc w:val="both"/>
        <w:rPr>
          <w:rFonts w:ascii="Century Gothic" w:hAnsi="Century Gothic" w:cs="Arial"/>
          <w:lang w:val="en-US"/>
        </w:rPr>
      </w:pPr>
      <w:r w:rsidRPr="0007254F">
        <w:rPr>
          <w:rFonts w:ascii="Century Gothic" w:hAnsi="Century Gothic" w:cs="Arial"/>
          <w:lang w:val="en-US"/>
        </w:rPr>
        <w:t xml:space="preserve"> </w:t>
      </w:r>
    </w:p>
    <w:p w14:paraId="379BA588" w14:textId="055FF88F" w:rsidR="0040045A" w:rsidRPr="00C62363" w:rsidRDefault="0007254F" w:rsidP="0007254F">
      <w:pPr>
        <w:jc w:val="both"/>
        <w:rPr>
          <w:rFonts w:ascii="Century Gothic" w:hAnsi="Century Gothic" w:cs="Arial"/>
          <w:lang w:val="en-US"/>
        </w:rPr>
      </w:pPr>
      <w:r w:rsidRPr="0007254F">
        <w:rPr>
          <w:rFonts w:ascii="Century Gothic" w:hAnsi="Century Gothic" w:cs="Arial"/>
          <w:lang w:val="en-US"/>
        </w:rPr>
        <w:t>More specifically, 2021 was a transitional year for SingularLogic, as the acquisition was followed by the secession, which ended on 14/7/2021. The effort to place the company on a growth trajectory, while maintaining its goodwill in an environment of continuous changes in structures and philosophy, after the above referred partial fragmentation led to a turnover of € 17 million, affected the gross profit margin which ranged at 11% and was reflected in gross profit € 2 million. On the other hand, the reduction of operating expenses led the company to profit before taxes, interest and depreciation (EBITDA) of € 0.3 million and the financial consolidation resulting from the acquisition resulted in profit, after taxes (EAT) € 1.3 million.</w:t>
      </w:r>
    </w:p>
    <w:p w14:paraId="692A23DA" w14:textId="77777777" w:rsidR="005C4DD4" w:rsidRPr="00C62363" w:rsidRDefault="005C4DD4" w:rsidP="00AD5A18">
      <w:pPr>
        <w:jc w:val="both"/>
        <w:rPr>
          <w:rFonts w:ascii="Century Gothic" w:hAnsi="Century Gothic" w:cs="Arial"/>
          <w:lang w:val="en-US"/>
        </w:rPr>
      </w:pPr>
    </w:p>
    <w:p w14:paraId="7CD68075" w14:textId="77777777" w:rsidR="00467DFD" w:rsidRDefault="00467DFD" w:rsidP="00467DFD">
      <w:pPr>
        <w:jc w:val="both"/>
        <w:rPr>
          <w:rFonts w:ascii="Century Gothic" w:hAnsi="Century Gothic" w:cs="Arial"/>
          <w:lang w:val="en-US"/>
        </w:rPr>
      </w:pPr>
      <w:r w:rsidRPr="00467DFD">
        <w:rPr>
          <w:rFonts w:ascii="Century Gothic" w:hAnsi="Century Gothic" w:cs="Arial"/>
          <w:lang w:val="en-US"/>
        </w:rPr>
        <w:t>For 2022, Space Hellas Group maintains its strategy for SingularLogic to strengthen its positioning in critical public sector projects and infrastructures, besides expanding its footprint to large enterprises in the private sector, thus acquiring the right to dynamically show its significant added value and improve both its sales and profit margins in the long run.</w:t>
      </w:r>
    </w:p>
    <w:p w14:paraId="4549B736" w14:textId="77777777" w:rsidR="00467DFD" w:rsidRPr="00467DFD" w:rsidRDefault="00467DFD" w:rsidP="00467DFD">
      <w:pPr>
        <w:jc w:val="both"/>
        <w:rPr>
          <w:rFonts w:ascii="Century Gothic" w:hAnsi="Century Gothic" w:cs="Arial"/>
          <w:lang w:val="en-US"/>
        </w:rPr>
      </w:pPr>
    </w:p>
    <w:p w14:paraId="4C0B161E" w14:textId="77777777" w:rsidR="00467DFD" w:rsidRDefault="00467DFD" w:rsidP="00467DFD">
      <w:pPr>
        <w:jc w:val="both"/>
        <w:rPr>
          <w:rFonts w:ascii="Century Gothic" w:hAnsi="Century Gothic" w:cs="Arial"/>
          <w:lang w:val="en-US"/>
        </w:rPr>
      </w:pPr>
      <w:r w:rsidRPr="00467DFD">
        <w:rPr>
          <w:rFonts w:ascii="Century Gothic" w:hAnsi="Century Gothic" w:cs="Arial"/>
          <w:lang w:val="en-US"/>
        </w:rPr>
        <w:t>SingularLogic offers broad solutions and services portfolio to support contemporary enterprises and organizations in their digital transformation efforts, with Enterprise Solutions such as SAP, ServiceNow for business workflow automation, Business Intelligence, Analytics, and Microsoft Power Apps, Portals &amp; e-Commerce Solutions, as well as a comprehensive range of specialized integrated solutions, such as ERP, CRM, HRMS and Loyalty systems.</w:t>
      </w:r>
    </w:p>
    <w:p w14:paraId="380674ED" w14:textId="77777777" w:rsidR="00467DFD" w:rsidRPr="00467DFD" w:rsidRDefault="00467DFD" w:rsidP="00467DFD">
      <w:pPr>
        <w:jc w:val="both"/>
        <w:rPr>
          <w:rFonts w:ascii="Century Gothic" w:hAnsi="Century Gothic" w:cs="Arial"/>
          <w:lang w:val="en-US"/>
        </w:rPr>
      </w:pPr>
    </w:p>
    <w:p w14:paraId="605C626D" w14:textId="77777777" w:rsidR="00467DFD" w:rsidRDefault="00467DFD" w:rsidP="00467DFD">
      <w:pPr>
        <w:jc w:val="both"/>
        <w:rPr>
          <w:rFonts w:ascii="Century Gothic" w:hAnsi="Century Gothic" w:cs="Arial"/>
          <w:lang w:val="en-US"/>
        </w:rPr>
      </w:pPr>
      <w:r w:rsidRPr="00467DFD">
        <w:rPr>
          <w:rFonts w:ascii="Century Gothic" w:hAnsi="Century Gothic" w:cs="Arial"/>
          <w:lang w:val="en-US"/>
        </w:rPr>
        <w:t>Furthermore, it offers vertical solutions and services for the Retail and Fuel sector, the Financial sector in terms of Leasing, Collections, Real Estate &amp; Legal Services management applications, and IoT solutions for the intelligent management of buildings, cities, and industrial facilities.</w:t>
      </w:r>
    </w:p>
    <w:p w14:paraId="6AC0678F" w14:textId="77777777" w:rsidR="00467DFD" w:rsidRPr="00467DFD" w:rsidRDefault="00467DFD" w:rsidP="00467DFD">
      <w:pPr>
        <w:jc w:val="both"/>
        <w:rPr>
          <w:rFonts w:ascii="Century Gothic" w:hAnsi="Century Gothic" w:cs="Arial"/>
          <w:lang w:val="en-US"/>
        </w:rPr>
      </w:pPr>
    </w:p>
    <w:p w14:paraId="09CE7997" w14:textId="5338CE28" w:rsidR="005C4DD4" w:rsidRPr="00C62363" w:rsidRDefault="00467DFD" w:rsidP="00467DFD">
      <w:pPr>
        <w:jc w:val="both"/>
        <w:rPr>
          <w:rFonts w:ascii="Century Gothic" w:hAnsi="Century Gothic" w:cs="Arial"/>
          <w:lang w:val="en-US"/>
        </w:rPr>
      </w:pPr>
      <w:r w:rsidRPr="00467DFD">
        <w:rPr>
          <w:rFonts w:ascii="Century Gothic" w:hAnsi="Century Gothic" w:cs="Arial"/>
          <w:lang w:val="en-US"/>
        </w:rPr>
        <w:lastRenderedPageBreak/>
        <w:t>SingularLogic's solutions are backed up with services that meet the contemporary IT needs of an organization, i.e. Project Management, Software Integration, Custom Software Development, Business Application Consulting and Implementation Services, Data Center &amp; Cloud Services, as well as Support Services that include remote and on-site support, with national coverage.</w:t>
      </w:r>
    </w:p>
    <w:p w14:paraId="511B3A1F" w14:textId="77777777" w:rsidR="005C4DD4" w:rsidRPr="00C62363" w:rsidRDefault="005C4DD4" w:rsidP="00467DFD">
      <w:pPr>
        <w:jc w:val="both"/>
        <w:rPr>
          <w:rFonts w:ascii="Century Gothic" w:hAnsi="Century Gothic" w:cs="Arial"/>
          <w:lang w:val="en-US"/>
        </w:rPr>
      </w:pPr>
    </w:p>
    <w:p w14:paraId="1C918DCE" w14:textId="77777777" w:rsidR="005C4DD4" w:rsidRPr="00C62363" w:rsidRDefault="005C4DD4" w:rsidP="005C4DD4">
      <w:pPr>
        <w:rPr>
          <w:rFonts w:ascii="Century Gothic" w:hAnsi="Century Gothic" w:cs="Arial"/>
          <w:lang w:val="en-US"/>
        </w:rPr>
      </w:pPr>
    </w:p>
    <w:p w14:paraId="16F9E9CF" w14:textId="77777777" w:rsidR="005C4DD4" w:rsidRPr="00C62363" w:rsidRDefault="005C4DD4" w:rsidP="005C4DD4">
      <w:pPr>
        <w:rPr>
          <w:rFonts w:ascii="Century Gothic" w:hAnsi="Century Gothic" w:cs="Arial"/>
          <w:lang w:val="en-US"/>
        </w:rPr>
      </w:pPr>
    </w:p>
    <w:p w14:paraId="0C8B791A" w14:textId="77777777" w:rsidR="005C4DD4" w:rsidRPr="00C62363" w:rsidRDefault="005C4DD4" w:rsidP="005C4DD4">
      <w:pPr>
        <w:rPr>
          <w:rFonts w:ascii="Century Gothic" w:hAnsi="Century Gothic" w:cs="Arial"/>
          <w:lang w:val="en-US"/>
        </w:rPr>
      </w:pPr>
    </w:p>
    <w:p w14:paraId="5DB1982F" w14:textId="77777777" w:rsidR="0040045A" w:rsidRPr="00C62363" w:rsidRDefault="0040045A" w:rsidP="005C4DD4">
      <w:pPr>
        <w:rPr>
          <w:rFonts w:ascii="Century Gothic" w:hAnsi="Century Gothic" w:cs="Arial"/>
          <w:lang w:val="en-US"/>
        </w:rPr>
      </w:pPr>
    </w:p>
    <w:sectPr w:rsidR="0040045A" w:rsidRPr="00C62363" w:rsidSect="00DE6EA3">
      <w:headerReference w:type="default" r:id="rId8"/>
      <w:footerReference w:type="even" r:id="rId9"/>
      <w:footerReference w:type="default" r:id="rId10"/>
      <w:footerReference w:type="first" r:id="rId11"/>
      <w:pgSz w:w="11906" w:h="16838"/>
      <w:pgMar w:top="1440" w:right="1646" w:bottom="1440" w:left="1418" w:header="737"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42DB2" w14:textId="77777777" w:rsidR="00D35F26" w:rsidRDefault="00D35F26">
      <w:r>
        <w:separator/>
      </w:r>
    </w:p>
  </w:endnote>
  <w:endnote w:type="continuationSeparator" w:id="0">
    <w:p w14:paraId="0BC62558" w14:textId="77777777" w:rsidR="00D35F26" w:rsidRDefault="00D3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Franklin Gothic Book">
    <w:altName w:val="Franklin Gothic"/>
    <w:panose1 w:val="020B05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2636" w14:textId="77777777" w:rsidR="00F44405" w:rsidRDefault="00F44405">
    <w:pPr>
      <w:pStyle w:val="Footer"/>
    </w:pPr>
    <w:r>
      <w:rPr>
        <w:noProof/>
        <w:lang w:val="en-US"/>
      </w:rPr>
      <mc:AlternateContent>
        <mc:Choice Requires="wps">
          <w:drawing>
            <wp:anchor distT="0" distB="0" distL="0" distR="0" simplePos="0" relativeHeight="251659264" behindDoc="0" locked="0" layoutInCell="1" allowOverlap="1" wp14:anchorId="7C3862E9" wp14:editId="1A377796">
              <wp:simplePos x="635" y="635"/>
              <wp:positionH relativeFrom="leftMargin">
                <wp:align>left</wp:align>
              </wp:positionH>
              <wp:positionV relativeFrom="paragraph">
                <wp:posOffset>635</wp:posOffset>
              </wp:positionV>
              <wp:extent cx="443865" cy="443865"/>
              <wp:effectExtent l="0" t="0" r="12065" b="16510"/>
              <wp:wrapSquare wrapText="bothSides"/>
              <wp:docPr id="3" name="Text Box 3" descr="Classification: Public">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5CBA32" w14:textId="77777777" w:rsidR="00F44405" w:rsidRPr="00F44405" w:rsidRDefault="00F44405">
                          <w:pPr>
                            <w:rPr>
                              <w:rFonts w:ascii="Calibri" w:eastAsia="Calibri" w:hAnsi="Calibri" w:cs="Calibri"/>
                              <w:color w:val="000000"/>
                              <w:sz w:val="20"/>
                            </w:rPr>
                          </w:pPr>
                          <w:r w:rsidRPr="00F44405">
                            <w:rPr>
                              <w:rFonts w:ascii="Calibri" w:eastAsia="Calibri" w:hAnsi="Calibri" w:cs="Calibri"/>
                              <w:color w:val="000000"/>
                              <w:sz w:val="20"/>
                            </w:rPr>
                            <w:t>Classification: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3862E9" id="_x0000_t202" coordsize="21600,21600" o:spt="202" path="m,l,21600r21600,l21600,xe">
              <v:stroke joinstyle="miter"/>
              <v:path gradientshapeok="t" o:connecttype="rect"/>
            </v:shapetype>
            <v:shape id="Text Box 3" o:spid="_x0000_s1026" type="#_x0000_t202" alt="Classification: Public"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B5CBA32" w14:textId="77777777" w:rsidR="00F44405" w:rsidRPr="00F44405" w:rsidRDefault="00F44405">
                    <w:pPr>
                      <w:rPr>
                        <w:rFonts w:ascii="Calibri" w:eastAsia="Calibri" w:hAnsi="Calibri" w:cs="Calibri"/>
                        <w:color w:val="000000"/>
                        <w:sz w:val="20"/>
                      </w:rPr>
                    </w:pPr>
                    <w:r w:rsidRPr="00F44405">
                      <w:rPr>
                        <w:rFonts w:ascii="Calibri" w:eastAsia="Calibri" w:hAnsi="Calibri" w:cs="Calibri"/>
                        <w:color w:val="000000"/>
                        <w:sz w:val="20"/>
                      </w:rPr>
                      <w:t>Classification: Public</w:t>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1305D" w14:textId="1BA4ED32" w:rsidR="004641C6" w:rsidRPr="00E72D7F" w:rsidRDefault="004641C6" w:rsidP="004641C6">
    <w:pPr>
      <w:pStyle w:val="Footer"/>
      <w:pBdr>
        <w:top w:val="single" w:sz="4" w:space="1" w:color="auto"/>
      </w:pBdr>
      <w:tabs>
        <w:tab w:val="center" w:pos="8647"/>
        <w:tab w:val="right" w:pos="8931"/>
      </w:tabs>
      <w:spacing w:after="60"/>
      <w:ind w:left="-567" w:right="-514"/>
      <w:jc w:val="center"/>
      <w:rPr>
        <w:b/>
        <w:color w:val="002060"/>
        <w:sz w:val="16"/>
        <w:szCs w:val="14"/>
        <w:lang w:val="en-US"/>
      </w:rPr>
    </w:pPr>
    <w:r>
      <w:rPr>
        <w:b/>
        <w:color w:val="002060"/>
        <w:sz w:val="16"/>
        <w:szCs w:val="14"/>
        <w:lang w:val="en-US"/>
      </w:rPr>
      <w:t>S</w:t>
    </w:r>
    <w:r w:rsidRPr="00E72D7F">
      <w:rPr>
        <w:b/>
        <w:color w:val="002060"/>
        <w:sz w:val="16"/>
        <w:szCs w:val="14"/>
        <w:lang w:val="en-US"/>
      </w:rPr>
      <w:t>pace Hellas S.A.</w:t>
    </w:r>
  </w:p>
  <w:p w14:paraId="64694E61" w14:textId="77777777" w:rsidR="004641C6" w:rsidRPr="00E72D7F" w:rsidRDefault="004641C6" w:rsidP="004641C6">
    <w:pPr>
      <w:pStyle w:val="Footer"/>
      <w:pBdr>
        <w:top w:val="single" w:sz="4" w:space="1" w:color="auto"/>
      </w:pBdr>
      <w:tabs>
        <w:tab w:val="center" w:pos="8647"/>
        <w:tab w:val="right" w:pos="8931"/>
      </w:tabs>
      <w:spacing w:after="60"/>
      <w:ind w:left="-567" w:right="-514"/>
      <w:jc w:val="center"/>
      <w:rPr>
        <w:color w:val="002060"/>
        <w:sz w:val="16"/>
        <w:szCs w:val="14"/>
        <w:lang w:val="en-US"/>
      </w:rPr>
    </w:pPr>
    <w:r w:rsidRPr="00E72D7F">
      <w:rPr>
        <w:color w:val="002060"/>
        <w:sz w:val="16"/>
        <w:szCs w:val="14"/>
        <w:lang w:val="en-US"/>
      </w:rPr>
      <w:t>Telecommunications, IT, Security Systems and Services – Private Enterprise for Provision of Security Services</w:t>
    </w:r>
  </w:p>
  <w:p w14:paraId="36F0BCF9" w14:textId="77777777" w:rsidR="004641C6" w:rsidRPr="00E72D7F" w:rsidRDefault="004641C6" w:rsidP="004641C6">
    <w:pPr>
      <w:pStyle w:val="Footer"/>
      <w:pBdr>
        <w:top w:val="single" w:sz="4" w:space="1" w:color="auto"/>
      </w:pBdr>
      <w:tabs>
        <w:tab w:val="center" w:pos="8647"/>
        <w:tab w:val="right" w:pos="8931"/>
      </w:tabs>
      <w:spacing w:after="60"/>
      <w:ind w:left="-567" w:right="-514"/>
      <w:jc w:val="center"/>
      <w:rPr>
        <w:color w:val="002060"/>
        <w:sz w:val="16"/>
        <w:szCs w:val="14"/>
        <w:lang w:val="en-US"/>
      </w:rPr>
    </w:pPr>
    <w:r w:rsidRPr="00E72D7F">
      <w:rPr>
        <w:color w:val="002060"/>
        <w:sz w:val="16"/>
        <w:szCs w:val="14"/>
        <w:lang w:val="en-US"/>
      </w:rPr>
      <w:t>312 Messogion Avenue, 153 41 Ag. Paraskevi, Athens, Greece – General Commercial Registry Number: 375501000</w:t>
    </w:r>
  </w:p>
  <w:p w14:paraId="02D52EB7" w14:textId="4C8E7F36" w:rsidR="000A1290" w:rsidRPr="004641C6" w:rsidRDefault="004641C6" w:rsidP="004641C6">
    <w:pPr>
      <w:pStyle w:val="Footer"/>
      <w:spacing w:after="60"/>
      <w:ind w:left="-567" w:right="-514"/>
      <w:jc w:val="center"/>
      <w:rPr>
        <w:rFonts w:ascii="Century Gothic" w:hAnsi="Century Gothic"/>
        <w:i/>
        <w:color w:val="002060"/>
        <w:sz w:val="16"/>
        <w:lang w:val="en-US"/>
      </w:rPr>
    </w:pPr>
    <w:r w:rsidRPr="00E72D7F">
      <w:rPr>
        <w:color w:val="002060"/>
        <w:sz w:val="16"/>
        <w:szCs w:val="14"/>
        <w:lang w:val="en-US"/>
      </w:rPr>
      <w:t>Classification ISO27001: Public</w:t>
    </w:r>
  </w:p>
  <w:p w14:paraId="476DD8F4" w14:textId="77777777" w:rsidR="005C4DD4" w:rsidRPr="004641C6" w:rsidRDefault="005C4DD4" w:rsidP="000A1290">
    <w:pPr>
      <w:pStyle w:val="Footer"/>
      <w:spacing w:after="60"/>
      <w:ind w:left="-567" w:right="-514"/>
      <w:jc w:val="center"/>
      <w:rPr>
        <w:i/>
        <w:color w:val="002060"/>
        <w:sz w:val="16"/>
        <w:lang w:val="en-US"/>
      </w:rPr>
    </w:pPr>
  </w:p>
  <w:p w14:paraId="5C28E481" w14:textId="41BE9752" w:rsidR="004B5CFA" w:rsidRPr="004641C6" w:rsidRDefault="005C4DD4" w:rsidP="009A6FF3">
    <w:pPr>
      <w:pStyle w:val="Footer"/>
      <w:tabs>
        <w:tab w:val="center" w:pos="8647"/>
        <w:tab w:val="right" w:pos="8931"/>
      </w:tabs>
      <w:spacing w:after="60"/>
      <w:ind w:left="-567" w:right="-514"/>
      <w:jc w:val="center"/>
      <w:rPr>
        <w:b/>
        <w:lang w:val="en-US"/>
      </w:rPr>
    </w:pPr>
    <w:r w:rsidRPr="009A6FF3">
      <w:rPr>
        <w:rStyle w:val="Strong"/>
        <w:rFonts w:ascii="Century Gothic" w:hAnsi="Century Gothic"/>
        <w:b w:val="0"/>
        <w:color w:val="002060"/>
        <w:sz w:val="18"/>
        <w:szCs w:val="18"/>
        <w:lang w:val="en-GB"/>
      </w:rPr>
      <w:t>Space</w:t>
    </w:r>
    <w:r w:rsidRPr="004641C6">
      <w:rPr>
        <w:rStyle w:val="Strong"/>
        <w:rFonts w:ascii="Century Gothic" w:hAnsi="Century Gothic"/>
        <w:b w:val="0"/>
        <w:color w:val="002060"/>
        <w:sz w:val="18"/>
        <w:szCs w:val="18"/>
        <w:lang w:val="en-US"/>
      </w:rPr>
      <w:t xml:space="preserve"> </w:t>
    </w:r>
    <w:r w:rsidRPr="009A6FF3">
      <w:rPr>
        <w:rStyle w:val="Strong"/>
        <w:rFonts w:ascii="Century Gothic" w:hAnsi="Century Gothic"/>
        <w:b w:val="0"/>
        <w:color w:val="002060"/>
        <w:sz w:val="18"/>
        <w:szCs w:val="18"/>
        <w:lang w:val="en-GB"/>
      </w:rPr>
      <w:t>Hellas</w:t>
    </w:r>
    <w:r w:rsidR="004641C6">
      <w:rPr>
        <w:rStyle w:val="Strong"/>
        <w:rFonts w:ascii="Century Gothic" w:hAnsi="Century Gothic"/>
        <w:b w:val="0"/>
        <w:color w:val="002060"/>
        <w:sz w:val="18"/>
        <w:szCs w:val="18"/>
        <w:lang w:val="en-GB"/>
      </w:rPr>
      <w:t xml:space="preserve"> Press Office</w:t>
    </w:r>
    <w:r w:rsidRPr="004641C6">
      <w:rPr>
        <w:rStyle w:val="Strong"/>
        <w:rFonts w:ascii="Century Gothic" w:hAnsi="Century Gothic"/>
        <w:b w:val="0"/>
        <w:color w:val="002060"/>
        <w:sz w:val="18"/>
        <w:szCs w:val="18"/>
        <w:lang w:val="en-US"/>
      </w:rPr>
      <w:t xml:space="preserve"> </w:t>
    </w:r>
    <w:r w:rsidRPr="009A6FF3">
      <w:rPr>
        <w:rStyle w:val="Strong"/>
        <w:rFonts w:ascii="Century Gothic" w:hAnsi="Century Gothic"/>
        <w:b w:val="0"/>
        <w:color w:val="002060"/>
        <w:sz w:val="18"/>
        <w:szCs w:val="18"/>
        <w:lang w:val="el-GR"/>
      </w:rPr>
      <w:t>Τ</w:t>
    </w:r>
    <w:r w:rsidRPr="004641C6">
      <w:rPr>
        <w:rStyle w:val="Strong"/>
        <w:rFonts w:ascii="Century Gothic" w:hAnsi="Century Gothic"/>
        <w:b w:val="0"/>
        <w:color w:val="002060"/>
        <w:sz w:val="18"/>
        <w:szCs w:val="18"/>
        <w:lang w:val="en-US"/>
      </w:rPr>
      <w:t xml:space="preserve">: 210 6504293 </w:t>
    </w:r>
    <w:r w:rsidRPr="009A6FF3">
      <w:rPr>
        <w:rStyle w:val="Strong"/>
        <w:rFonts w:ascii="Century Gothic" w:hAnsi="Century Gothic"/>
        <w:b w:val="0"/>
        <w:color w:val="002060"/>
        <w:sz w:val="18"/>
        <w:szCs w:val="18"/>
        <w:lang w:val="en-GB"/>
      </w:rPr>
      <w:t>e</w:t>
    </w:r>
    <w:r w:rsidRPr="004641C6">
      <w:rPr>
        <w:rStyle w:val="Strong"/>
        <w:rFonts w:ascii="Century Gothic" w:hAnsi="Century Gothic"/>
        <w:b w:val="0"/>
        <w:color w:val="002060"/>
        <w:sz w:val="18"/>
        <w:szCs w:val="18"/>
        <w:lang w:val="en-US"/>
      </w:rPr>
      <w:t>-</w:t>
    </w:r>
    <w:r w:rsidRPr="009A6FF3">
      <w:rPr>
        <w:rStyle w:val="Strong"/>
        <w:rFonts w:ascii="Century Gothic" w:hAnsi="Century Gothic"/>
        <w:b w:val="0"/>
        <w:color w:val="002060"/>
        <w:sz w:val="18"/>
        <w:szCs w:val="18"/>
        <w:lang w:val="en-GB"/>
      </w:rPr>
      <w:t>mail</w:t>
    </w:r>
    <w:r w:rsidRPr="004641C6">
      <w:rPr>
        <w:rStyle w:val="Strong"/>
        <w:rFonts w:ascii="Century Gothic" w:hAnsi="Century Gothic"/>
        <w:b w:val="0"/>
        <w:color w:val="002060"/>
        <w:sz w:val="18"/>
        <w:szCs w:val="18"/>
        <w:lang w:val="en-US"/>
      </w:rPr>
      <w:t xml:space="preserve">: </w:t>
    </w:r>
    <w:r w:rsidRPr="009A6FF3">
      <w:rPr>
        <w:rStyle w:val="Strong"/>
        <w:rFonts w:ascii="Century Gothic" w:hAnsi="Century Gothic"/>
        <w:b w:val="0"/>
        <w:color w:val="002060"/>
        <w:sz w:val="18"/>
        <w:szCs w:val="18"/>
        <w:lang w:val="en-GB"/>
      </w:rPr>
      <w:t>press</w:t>
    </w:r>
    <w:r w:rsidRPr="004641C6">
      <w:rPr>
        <w:rStyle w:val="Strong"/>
        <w:rFonts w:ascii="Century Gothic" w:hAnsi="Century Gothic"/>
        <w:b w:val="0"/>
        <w:color w:val="002060"/>
        <w:sz w:val="18"/>
        <w:szCs w:val="18"/>
        <w:lang w:val="en-US"/>
      </w:rPr>
      <w:t>@</w:t>
    </w:r>
    <w:r w:rsidRPr="009A6FF3">
      <w:rPr>
        <w:rStyle w:val="Strong"/>
        <w:rFonts w:ascii="Century Gothic" w:hAnsi="Century Gothic"/>
        <w:b w:val="0"/>
        <w:color w:val="002060"/>
        <w:sz w:val="18"/>
        <w:szCs w:val="18"/>
        <w:lang w:val="en-GB"/>
      </w:rPr>
      <w:t>space</w:t>
    </w:r>
    <w:r w:rsidRPr="004641C6">
      <w:rPr>
        <w:rStyle w:val="Strong"/>
        <w:rFonts w:ascii="Century Gothic" w:hAnsi="Century Gothic"/>
        <w:b w:val="0"/>
        <w:color w:val="002060"/>
        <w:sz w:val="18"/>
        <w:szCs w:val="18"/>
        <w:lang w:val="en-US"/>
      </w:rPr>
      <w:t>.</w:t>
    </w:r>
    <w:r w:rsidRPr="009A6FF3">
      <w:rPr>
        <w:rStyle w:val="Strong"/>
        <w:rFonts w:ascii="Century Gothic" w:hAnsi="Century Gothic"/>
        <w:b w:val="0"/>
        <w:color w:val="002060"/>
        <w:sz w:val="18"/>
        <w:szCs w:val="18"/>
        <w:lang w:val="en-GB"/>
      </w:rPr>
      <w:t>gr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7D1CA" w14:textId="77777777" w:rsidR="00F44405" w:rsidRDefault="00F44405">
    <w:pPr>
      <w:pStyle w:val="Footer"/>
    </w:pPr>
    <w:r>
      <w:rPr>
        <w:noProof/>
        <w:lang w:val="en-US"/>
      </w:rPr>
      <mc:AlternateContent>
        <mc:Choice Requires="wps">
          <w:drawing>
            <wp:anchor distT="0" distB="0" distL="0" distR="0" simplePos="0" relativeHeight="251658240" behindDoc="0" locked="0" layoutInCell="1" allowOverlap="1" wp14:anchorId="78B0BBBA" wp14:editId="2F1ECAF4">
              <wp:simplePos x="635" y="635"/>
              <wp:positionH relativeFrom="leftMargin">
                <wp:align>left</wp:align>
              </wp:positionH>
              <wp:positionV relativeFrom="paragraph">
                <wp:posOffset>635</wp:posOffset>
              </wp:positionV>
              <wp:extent cx="443865" cy="443865"/>
              <wp:effectExtent l="0" t="0" r="12065" b="16510"/>
              <wp:wrapSquare wrapText="bothSides"/>
              <wp:docPr id="2" name="Text Box 2" descr="Classification: Public">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F7616" w14:textId="77777777" w:rsidR="00F44405" w:rsidRPr="00F44405" w:rsidRDefault="00F44405">
                          <w:pPr>
                            <w:rPr>
                              <w:rFonts w:ascii="Calibri" w:eastAsia="Calibri" w:hAnsi="Calibri" w:cs="Calibri"/>
                              <w:color w:val="000000"/>
                              <w:sz w:val="20"/>
                            </w:rPr>
                          </w:pPr>
                          <w:r w:rsidRPr="00F44405">
                            <w:rPr>
                              <w:rFonts w:ascii="Calibri" w:eastAsia="Calibri" w:hAnsi="Calibri" w:cs="Calibri"/>
                              <w:color w:val="000000"/>
                              <w:sz w:val="20"/>
                            </w:rPr>
                            <w:t>Classification: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B0BBBA" id="_x0000_t202" coordsize="21600,21600" o:spt="202" path="m,l,21600r21600,l21600,xe">
              <v:stroke joinstyle="miter"/>
              <v:path gradientshapeok="t" o:connecttype="rect"/>
            </v:shapetype>
            <v:shape id="Text Box 2" o:spid="_x0000_s1027" type="#_x0000_t202" alt="Classification: Public"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0EF7616" w14:textId="77777777" w:rsidR="00F44405" w:rsidRPr="00F44405" w:rsidRDefault="00F44405">
                    <w:pPr>
                      <w:rPr>
                        <w:rFonts w:ascii="Calibri" w:eastAsia="Calibri" w:hAnsi="Calibri" w:cs="Calibri"/>
                        <w:color w:val="000000"/>
                        <w:sz w:val="20"/>
                      </w:rPr>
                    </w:pPr>
                    <w:r w:rsidRPr="00F44405">
                      <w:rPr>
                        <w:rFonts w:ascii="Calibri" w:eastAsia="Calibri" w:hAnsi="Calibri" w:cs="Calibri"/>
                        <w:color w:val="000000"/>
                        <w:sz w:val="20"/>
                      </w:rPr>
                      <w:t>Classification: Public</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C3B1D" w14:textId="77777777" w:rsidR="00D35F26" w:rsidRDefault="00D35F26">
      <w:r>
        <w:separator/>
      </w:r>
    </w:p>
  </w:footnote>
  <w:footnote w:type="continuationSeparator" w:id="0">
    <w:p w14:paraId="6013738B" w14:textId="77777777" w:rsidR="00D35F26" w:rsidRDefault="00D35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C50F1" w14:textId="6CE21496" w:rsidR="005A3CCD" w:rsidRDefault="00771817" w:rsidP="005A3CCD">
    <w:pPr>
      <w:jc w:val="right"/>
    </w:pPr>
    <w:r>
      <w:rPr>
        <w:rFonts w:ascii="Tahoma" w:hAnsi="Tahoma" w:cs="Tahoma"/>
        <w:b/>
        <w:noProof/>
        <w:color w:val="000080"/>
        <w:sz w:val="48"/>
        <w:lang w:val="en-US"/>
      </w:rPr>
      <w:drawing>
        <wp:anchor distT="0" distB="0" distL="114300" distR="114300" simplePos="0" relativeHeight="251660288" behindDoc="0" locked="0" layoutInCell="1" allowOverlap="1" wp14:anchorId="383CC1C4" wp14:editId="596FDA96">
          <wp:simplePos x="0" y="0"/>
          <wp:positionH relativeFrom="column">
            <wp:posOffset>-309880</wp:posOffset>
          </wp:positionH>
          <wp:positionV relativeFrom="paragraph">
            <wp:posOffset>8255</wp:posOffset>
          </wp:positionV>
          <wp:extent cx="2924175" cy="540056"/>
          <wp:effectExtent l="0" t="0" r="0" b="0"/>
          <wp:wrapThrough wrapText="bothSides">
            <wp:wrapPolygon edited="0">
              <wp:start x="17871" y="762"/>
              <wp:lineTo x="3377" y="3049"/>
              <wp:lineTo x="1970" y="3812"/>
              <wp:lineTo x="1970" y="16772"/>
              <wp:lineTo x="7177" y="18296"/>
              <wp:lineTo x="15197" y="19821"/>
              <wp:lineTo x="15901" y="19821"/>
              <wp:lineTo x="16042" y="18296"/>
              <wp:lineTo x="18856" y="14485"/>
              <wp:lineTo x="19560" y="6099"/>
              <wp:lineTo x="19419" y="762"/>
              <wp:lineTo x="17871" y="762"/>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24175" cy="540056"/>
                  </a:xfrm>
                  <a:prstGeom prst="rect">
                    <a:avLst/>
                  </a:prstGeom>
                </pic:spPr>
              </pic:pic>
            </a:graphicData>
          </a:graphic>
        </wp:anchor>
      </w:drawing>
    </w:r>
    <w:r w:rsidR="005A3CCD" w:rsidRPr="00A8405E">
      <w:rPr>
        <w:rFonts w:ascii="Tahoma" w:hAnsi="Tahoma" w:cs="Tahoma"/>
        <w:b/>
        <w:noProof/>
        <w:color w:val="000080"/>
        <w:sz w:val="48"/>
        <w:lang w:val="en-US"/>
      </w:rPr>
      <w:drawing>
        <wp:inline distT="0" distB="0" distL="0" distR="0" wp14:anchorId="75CD49A1" wp14:editId="5F8E96B4">
          <wp:extent cx="2207622" cy="525843"/>
          <wp:effectExtent l="0" t="0" r="2540" b="7620"/>
          <wp:docPr id="5"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4650" cy="534663"/>
                  </a:xfrm>
                  <a:prstGeom prst="rect">
                    <a:avLst/>
                  </a:prstGeom>
                  <a:noFill/>
                  <a:ln>
                    <a:noFill/>
                  </a:ln>
                </pic:spPr>
              </pic:pic>
            </a:graphicData>
          </a:graphic>
        </wp:inline>
      </w:drawing>
    </w:r>
  </w:p>
  <w:tbl>
    <w:tblPr>
      <w:tblW w:w="15311" w:type="dxa"/>
      <w:tblInd w:w="-176" w:type="dxa"/>
      <w:tblLook w:val="0000" w:firstRow="0" w:lastRow="0" w:firstColumn="0" w:lastColumn="0" w:noHBand="0" w:noVBand="0"/>
    </w:tblPr>
    <w:tblGrid>
      <w:gridCol w:w="4253"/>
      <w:gridCol w:w="5529"/>
      <w:gridCol w:w="5529"/>
    </w:tblGrid>
    <w:tr w:rsidR="005A3CCD" w:rsidRPr="004B5CFA" w14:paraId="4E81E597" w14:textId="77777777" w:rsidTr="005A3CCD">
      <w:tc>
        <w:tcPr>
          <w:tcW w:w="4253" w:type="dxa"/>
        </w:tcPr>
        <w:p w14:paraId="599A2D27" w14:textId="3D7B5B6F" w:rsidR="005A3CCD" w:rsidRPr="005A3CCD" w:rsidRDefault="005A3CCD" w:rsidP="000A1290">
          <w:pPr>
            <w:pStyle w:val="Contact"/>
            <w:framePr w:w="0" w:hSpace="0" w:wrap="auto" w:vAnchor="margin" w:hAnchor="text" w:xAlign="left" w:yAlign="inline"/>
            <w:spacing w:line="240" w:lineRule="auto"/>
            <w:rPr>
              <w:rStyle w:val="Emphasis"/>
              <w:rFonts w:ascii="Century Gothic" w:hAnsi="Century Gothic" w:cs="Arial"/>
              <w:b/>
              <w:color w:val="002060"/>
              <w:sz w:val="32"/>
              <w:szCs w:val="32"/>
              <w:lang w:val="el-GR"/>
            </w:rPr>
          </w:pPr>
          <w:r>
            <w:rPr>
              <w:rStyle w:val="Emphasis"/>
              <w:rFonts w:ascii="Century Gothic" w:hAnsi="Century Gothic" w:cs="Arial"/>
              <w:b/>
              <w:color w:val="002060"/>
              <w:sz w:val="32"/>
              <w:szCs w:val="32"/>
              <w:lang w:val="el-GR"/>
            </w:rPr>
            <w:t xml:space="preserve"> </w:t>
          </w:r>
          <w:r w:rsidR="00C55280">
            <w:rPr>
              <w:rStyle w:val="Emphasis"/>
              <w:rFonts w:ascii="Century Gothic" w:hAnsi="Century Gothic" w:cs="Arial"/>
              <w:b/>
              <w:color w:val="002060"/>
              <w:sz w:val="32"/>
              <w:szCs w:val="32"/>
              <w:lang w:val="en-US"/>
            </w:rPr>
            <w:t>P</w:t>
          </w:r>
          <w:r w:rsidR="00C55280">
            <w:rPr>
              <w:rStyle w:val="Emphasis"/>
              <w:rFonts w:ascii="Century Gothic" w:hAnsi="Century Gothic" w:cs="Arial"/>
              <w:b/>
              <w:color w:val="002060"/>
              <w:sz w:val="32"/>
              <w:szCs w:val="32"/>
            </w:rPr>
            <w:t>ress Release</w:t>
          </w:r>
          <w:r w:rsidRPr="005A3CCD">
            <w:rPr>
              <w:rStyle w:val="Emphasis"/>
              <w:rFonts w:ascii="Century Gothic" w:hAnsi="Century Gothic" w:cs="Arial"/>
              <w:b/>
              <w:color w:val="002060"/>
              <w:sz w:val="32"/>
              <w:szCs w:val="32"/>
              <w:lang w:val="el-GR"/>
            </w:rPr>
            <w:t xml:space="preserve"> </w:t>
          </w:r>
        </w:p>
        <w:p w14:paraId="0AC317E6" w14:textId="77777777" w:rsidR="005A3CCD" w:rsidRPr="000A1290" w:rsidRDefault="005A3CCD" w:rsidP="005A3CCD">
          <w:pPr>
            <w:pStyle w:val="Contact"/>
            <w:framePr w:wrap="notBeside"/>
          </w:pPr>
        </w:p>
      </w:tc>
      <w:tc>
        <w:tcPr>
          <w:tcW w:w="5529" w:type="dxa"/>
        </w:tcPr>
        <w:p w14:paraId="79788727" w14:textId="77777777" w:rsidR="005A3CCD" w:rsidRDefault="005A3CCD">
          <w:pPr>
            <w:pStyle w:val="Contact"/>
            <w:framePr w:w="0" w:hSpace="0" w:wrap="auto" w:vAnchor="margin" w:hAnchor="text" w:xAlign="left" w:yAlign="inline"/>
            <w:spacing w:line="240" w:lineRule="auto"/>
            <w:jc w:val="right"/>
            <w:rPr>
              <w:rStyle w:val="Emphasis"/>
              <w:lang w:val="el-GR"/>
            </w:rPr>
          </w:pPr>
        </w:p>
      </w:tc>
      <w:tc>
        <w:tcPr>
          <w:tcW w:w="5529" w:type="dxa"/>
        </w:tcPr>
        <w:p w14:paraId="1FE5D0A4" w14:textId="77777777" w:rsidR="005A3CCD" w:rsidRDefault="005A3CCD">
          <w:pPr>
            <w:pStyle w:val="Contact"/>
            <w:framePr w:w="0" w:hSpace="0" w:wrap="auto" w:vAnchor="margin" w:hAnchor="text" w:xAlign="left" w:yAlign="inline"/>
            <w:spacing w:line="240" w:lineRule="auto"/>
            <w:jc w:val="right"/>
            <w:rPr>
              <w:rStyle w:val="Emphasis"/>
              <w:lang w:val="el-GR"/>
            </w:rPr>
          </w:pPr>
        </w:p>
      </w:tc>
    </w:tr>
  </w:tbl>
  <w:p w14:paraId="6851ACAB" w14:textId="77777777" w:rsidR="004B5CFA" w:rsidRPr="004B5CFA" w:rsidRDefault="004B5CFA" w:rsidP="00741D03">
    <w:pPr>
      <w:pStyle w:val="Contact"/>
      <w:framePr w:w="0" w:hSpace="0" w:wrap="auto" w:vAnchor="margin" w:hAnchor="text" w:xAlign="left" w:yAlign="inline"/>
      <w:spacing w:line="240" w:lineRule="auto"/>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0EA3"/>
    <w:multiLevelType w:val="hybridMultilevel"/>
    <w:tmpl w:val="69B22A70"/>
    <w:lvl w:ilvl="0" w:tplc="B8BEE6B8">
      <w:start w:val="1"/>
      <w:numFmt w:val="lowerRoman"/>
      <w:lvlText w:val="%1."/>
      <w:lvlJc w:val="right"/>
      <w:pPr>
        <w:tabs>
          <w:tab w:val="num" w:pos="1080"/>
        </w:tabs>
        <w:ind w:left="1080" w:hanging="360"/>
      </w:pPr>
      <w:rPr>
        <w:rFonts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1" w15:restartNumberingAfterBreak="0">
    <w:nsid w:val="413E33C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98D47B5"/>
    <w:multiLevelType w:val="hybridMultilevel"/>
    <w:tmpl w:val="09B26834"/>
    <w:lvl w:ilvl="0" w:tplc="C228EC7A">
      <w:start w:val="1"/>
      <w:numFmt w:val="bullet"/>
      <w:pStyle w:val="Style2"/>
      <w:lvlText w:val=""/>
      <w:lvlJc w:val="left"/>
      <w:pPr>
        <w:tabs>
          <w:tab w:val="num" w:pos="1800"/>
        </w:tabs>
        <w:ind w:left="1800" w:hanging="360"/>
      </w:pPr>
      <w:rPr>
        <w:rFonts w:ascii="Symbol" w:hAnsi="Symbol" w:hint="default"/>
      </w:rPr>
    </w:lvl>
    <w:lvl w:ilvl="1" w:tplc="13C61A96">
      <w:numFmt w:val="bullet"/>
      <w:lvlText w:val=""/>
      <w:lvlJc w:val="left"/>
      <w:pPr>
        <w:tabs>
          <w:tab w:val="num" w:pos="1440"/>
        </w:tabs>
        <w:ind w:left="1440" w:hanging="360"/>
      </w:pPr>
      <w:rPr>
        <w:rFonts w:ascii="Symbol" w:eastAsia="Times New Roman" w:hAnsi="Symbol"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ED2E4F"/>
    <w:multiLevelType w:val="hybridMultilevel"/>
    <w:tmpl w:val="25A69A1E"/>
    <w:lvl w:ilvl="0" w:tplc="FFFFFFFF">
      <w:start w:val="1"/>
      <w:numFmt w:val="decimal"/>
      <w:lvlText w:val="%1."/>
      <w:lvlJc w:val="left"/>
      <w:pPr>
        <w:tabs>
          <w:tab w:val="num" w:pos="795"/>
        </w:tabs>
        <w:ind w:left="795" w:hanging="360"/>
      </w:pPr>
    </w:lvl>
    <w:lvl w:ilvl="1" w:tplc="13C61A96">
      <w:start w:val="1"/>
      <w:numFmt w:val="lowerLetter"/>
      <w:lvlText w:val="%2."/>
      <w:lvlJc w:val="left"/>
      <w:pPr>
        <w:tabs>
          <w:tab w:val="num" w:pos="1515"/>
        </w:tabs>
        <w:ind w:left="1515" w:hanging="360"/>
      </w:pPr>
    </w:lvl>
    <w:lvl w:ilvl="2" w:tplc="FFFFFFFF">
      <w:numFmt w:val="bullet"/>
      <w:lvlText w:val="-"/>
      <w:lvlJc w:val="left"/>
      <w:pPr>
        <w:tabs>
          <w:tab w:val="num" w:pos="2415"/>
        </w:tabs>
        <w:ind w:left="2415" w:hanging="360"/>
      </w:pPr>
      <w:rPr>
        <w:rFonts w:ascii="Tahoma" w:eastAsia="Times New Roman" w:hAnsi="Tahoma" w:cs="Tahoma" w:hint="default"/>
      </w:r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4" w15:restartNumberingAfterBreak="0">
    <w:nsid w:val="7C6E4DB7"/>
    <w:multiLevelType w:val="multilevel"/>
    <w:tmpl w:val="676E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78"/>
    <w:rsid w:val="000004E3"/>
    <w:rsid w:val="0001012F"/>
    <w:rsid w:val="00012CCA"/>
    <w:rsid w:val="0001576B"/>
    <w:rsid w:val="00023302"/>
    <w:rsid w:val="000344BA"/>
    <w:rsid w:val="000367A5"/>
    <w:rsid w:val="00044514"/>
    <w:rsid w:val="0005678D"/>
    <w:rsid w:val="00060592"/>
    <w:rsid w:val="0007254F"/>
    <w:rsid w:val="000801D6"/>
    <w:rsid w:val="00081494"/>
    <w:rsid w:val="00083FB1"/>
    <w:rsid w:val="00084CC7"/>
    <w:rsid w:val="000854C0"/>
    <w:rsid w:val="000960E8"/>
    <w:rsid w:val="000A1290"/>
    <w:rsid w:val="000A2CDD"/>
    <w:rsid w:val="000B5E32"/>
    <w:rsid w:val="000B705C"/>
    <w:rsid w:val="000B7C7E"/>
    <w:rsid w:val="000D323C"/>
    <w:rsid w:val="000E1089"/>
    <w:rsid w:val="000E7008"/>
    <w:rsid w:val="0012461F"/>
    <w:rsid w:val="00126CB8"/>
    <w:rsid w:val="001329AF"/>
    <w:rsid w:val="001351A1"/>
    <w:rsid w:val="001354C5"/>
    <w:rsid w:val="001429D9"/>
    <w:rsid w:val="00146662"/>
    <w:rsid w:val="001505C0"/>
    <w:rsid w:val="00155AD8"/>
    <w:rsid w:val="00161AA3"/>
    <w:rsid w:val="00164846"/>
    <w:rsid w:val="001937A1"/>
    <w:rsid w:val="00196A8B"/>
    <w:rsid w:val="001A1A79"/>
    <w:rsid w:val="001D1E3B"/>
    <w:rsid w:val="001D7137"/>
    <w:rsid w:val="001F25C1"/>
    <w:rsid w:val="00201D96"/>
    <w:rsid w:val="00202685"/>
    <w:rsid w:val="002045F4"/>
    <w:rsid w:val="00204722"/>
    <w:rsid w:val="002049D9"/>
    <w:rsid w:val="00206295"/>
    <w:rsid w:val="00210699"/>
    <w:rsid w:val="00211C37"/>
    <w:rsid w:val="002207A2"/>
    <w:rsid w:val="002223A5"/>
    <w:rsid w:val="002329E5"/>
    <w:rsid w:val="0023340F"/>
    <w:rsid w:val="002405A6"/>
    <w:rsid w:val="00244954"/>
    <w:rsid w:val="002462D3"/>
    <w:rsid w:val="00246AAB"/>
    <w:rsid w:val="0024721E"/>
    <w:rsid w:val="00273657"/>
    <w:rsid w:val="00273981"/>
    <w:rsid w:val="002749CD"/>
    <w:rsid w:val="002753CF"/>
    <w:rsid w:val="00284836"/>
    <w:rsid w:val="002917EF"/>
    <w:rsid w:val="002A5C1C"/>
    <w:rsid w:val="002B38AC"/>
    <w:rsid w:val="002C090F"/>
    <w:rsid w:val="002C552F"/>
    <w:rsid w:val="002D0461"/>
    <w:rsid w:val="002D78D9"/>
    <w:rsid w:val="002F447E"/>
    <w:rsid w:val="003018DF"/>
    <w:rsid w:val="003145F5"/>
    <w:rsid w:val="003154A5"/>
    <w:rsid w:val="003178C1"/>
    <w:rsid w:val="00323CC3"/>
    <w:rsid w:val="003327FF"/>
    <w:rsid w:val="00344AB5"/>
    <w:rsid w:val="00352D29"/>
    <w:rsid w:val="00355218"/>
    <w:rsid w:val="003561D2"/>
    <w:rsid w:val="00357B98"/>
    <w:rsid w:val="00364251"/>
    <w:rsid w:val="003700FF"/>
    <w:rsid w:val="00373FD2"/>
    <w:rsid w:val="00391F05"/>
    <w:rsid w:val="00392B7B"/>
    <w:rsid w:val="003939EA"/>
    <w:rsid w:val="0039651B"/>
    <w:rsid w:val="003977E9"/>
    <w:rsid w:val="003A25E3"/>
    <w:rsid w:val="003B78D6"/>
    <w:rsid w:val="003D035A"/>
    <w:rsid w:val="003D1C3F"/>
    <w:rsid w:val="003D719A"/>
    <w:rsid w:val="003E36A6"/>
    <w:rsid w:val="004003BF"/>
    <w:rsid w:val="0040045A"/>
    <w:rsid w:val="0040114E"/>
    <w:rsid w:val="00405D81"/>
    <w:rsid w:val="0040646E"/>
    <w:rsid w:val="0041200A"/>
    <w:rsid w:val="00435181"/>
    <w:rsid w:val="00441419"/>
    <w:rsid w:val="004445EE"/>
    <w:rsid w:val="00450F73"/>
    <w:rsid w:val="004641C6"/>
    <w:rsid w:val="00467DFD"/>
    <w:rsid w:val="00471FDA"/>
    <w:rsid w:val="00472B05"/>
    <w:rsid w:val="004760FB"/>
    <w:rsid w:val="00477486"/>
    <w:rsid w:val="0049179E"/>
    <w:rsid w:val="0049329E"/>
    <w:rsid w:val="004B5CFA"/>
    <w:rsid w:val="004B7D6B"/>
    <w:rsid w:val="004D3C6F"/>
    <w:rsid w:val="004D71CC"/>
    <w:rsid w:val="004E01D6"/>
    <w:rsid w:val="004E4475"/>
    <w:rsid w:val="004F7284"/>
    <w:rsid w:val="00505307"/>
    <w:rsid w:val="00545D0F"/>
    <w:rsid w:val="00550D54"/>
    <w:rsid w:val="00555C3A"/>
    <w:rsid w:val="00563F56"/>
    <w:rsid w:val="005643E8"/>
    <w:rsid w:val="00564FF5"/>
    <w:rsid w:val="005660B6"/>
    <w:rsid w:val="00570019"/>
    <w:rsid w:val="00596C3E"/>
    <w:rsid w:val="005A12C4"/>
    <w:rsid w:val="005A3CCD"/>
    <w:rsid w:val="005B0DC9"/>
    <w:rsid w:val="005B1666"/>
    <w:rsid w:val="005B5A2F"/>
    <w:rsid w:val="005C4DD4"/>
    <w:rsid w:val="005C5E85"/>
    <w:rsid w:val="005D0363"/>
    <w:rsid w:val="005D4606"/>
    <w:rsid w:val="005F27D9"/>
    <w:rsid w:val="00602867"/>
    <w:rsid w:val="00604461"/>
    <w:rsid w:val="006107A0"/>
    <w:rsid w:val="006227B0"/>
    <w:rsid w:val="00627E95"/>
    <w:rsid w:val="00637CDD"/>
    <w:rsid w:val="006459F9"/>
    <w:rsid w:val="00651BDB"/>
    <w:rsid w:val="00657018"/>
    <w:rsid w:val="00660B39"/>
    <w:rsid w:val="006627CC"/>
    <w:rsid w:val="006831B1"/>
    <w:rsid w:val="00684842"/>
    <w:rsid w:val="00684D44"/>
    <w:rsid w:val="006A0862"/>
    <w:rsid w:val="006A3509"/>
    <w:rsid w:val="006D5D0A"/>
    <w:rsid w:val="006E4EA8"/>
    <w:rsid w:val="006F150D"/>
    <w:rsid w:val="006F6268"/>
    <w:rsid w:val="00703B56"/>
    <w:rsid w:val="007059DA"/>
    <w:rsid w:val="00713701"/>
    <w:rsid w:val="00715D1A"/>
    <w:rsid w:val="0071684F"/>
    <w:rsid w:val="0072028E"/>
    <w:rsid w:val="00720BD7"/>
    <w:rsid w:val="0072593F"/>
    <w:rsid w:val="00741D03"/>
    <w:rsid w:val="007616BD"/>
    <w:rsid w:val="00762603"/>
    <w:rsid w:val="00763200"/>
    <w:rsid w:val="00771817"/>
    <w:rsid w:val="007743E8"/>
    <w:rsid w:val="00777ED6"/>
    <w:rsid w:val="0079022B"/>
    <w:rsid w:val="00794D43"/>
    <w:rsid w:val="00795108"/>
    <w:rsid w:val="007A4A11"/>
    <w:rsid w:val="007B23BD"/>
    <w:rsid w:val="007B3478"/>
    <w:rsid w:val="007B3B61"/>
    <w:rsid w:val="007B3F6D"/>
    <w:rsid w:val="007B4E97"/>
    <w:rsid w:val="007B64CD"/>
    <w:rsid w:val="007C058A"/>
    <w:rsid w:val="007E0521"/>
    <w:rsid w:val="007E5186"/>
    <w:rsid w:val="0080128E"/>
    <w:rsid w:val="008048D1"/>
    <w:rsid w:val="00805F17"/>
    <w:rsid w:val="00810579"/>
    <w:rsid w:val="00814249"/>
    <w:rsid w:val="008146A8"/>
    <w:rsid w:val="008153FD"/>
    <w:rsid w:val="008160B8"/>
    <w:rsid w:val="0082470B"/>
    <w:rsid w:val="00832B03"/>
    <w:rsid w:val="008421B3"/>
    <w:rsid w:val="00864248"/>
    <w:rsid w:val="00884727"/>
    <w:rsid w:val="00894B6C"/>
    <w:rsid w:val="008A1899"/>
    <w:rsid w:val="008A3A9F"/>
    <w:rsid w:val="008B5197"/>
    <w:rsid w:val="008B779C"/>
    <w:rsid w:val="008D1149"/>
    <w:rsid w:val="008D25A8"/>
    <w:rsid w:val="008E3C94"/>
    <w:rsid w:val="008E4C47"/>
    <w:rsid w:val="008E4E19"/>
    <w:rsid w:val="008F7001"/>
    <w:rsid w:val="00901FB8"/>
    <w:rsid w:val="00925D80"/>
    <w:rsid w:val="009270C2"/>
    <w:rsid w:val="00932794"/>
    <w:rsid w:val="00943831"/>
    <w:rsid w:val="00957084"/>
    <w:rsid w:val="00974E8B"/>
    <w:rsid w:val="0097711E"/>
    <w:rsid w:val="009828CF"/>
    <w:rsid w:val="00991EBE"/>
    <w:rsid w:val="009A6FF3"/>
    <w:rsid w:val="009A7664"/>
    <w:rsid w:val="009C2BFE"/>
    <w:rsid w:val="009D1CD0"/>
    <w:rsid w:val="009D1F08"/>
    <w:rsid w:val="009D4875"/>
    <w:rsid w:val="009D6D0D"/>
    <w:rsid w:val="009E1DDE"/>
    <w:rsid w:val="009E6F04"/>
    <w:rsid w:val="009F1CBA"/>
    <w:rsid w:val="009F478C"/>
    <w:rsid w:val="009F7411"/>
    <w:rsid w:val="00A00874"/>
    <w:rsid w:val="00A00FF5"/>
    <w:rsid w:val="00A1161E"/>
    <w:rsid w:val="00A12610"/>
    <w:rsid w:val="00A15F7C"/>
    <w:rsid w:val="00A17D2B"/>
    <w:rsid w:val="00A17DCA"/>
    <w:rsid w:val="00A22D3E"/>
    <w:rsid w:val="00A34C81"/>
    <w:rsid w:val="00A34C8E"/>
    <w:rsid w:val="00A4417F"/>
    <w:rsid w:val="00A5259F"/>
    <w:rsid w:val="00A551CF"/>
    <w:rsid w:val="00A619AF"/>
    <w:rsid w:val="00A61A3E"/>
    <w:rsid w:val="00A6466E"/>
    <w:rsid w:val="00A64E81"/>
    <w:rsid w:val="00A7090E"/>
    <w:rsid w:val="00A8114D"/>
    <w:rsid w:val="00AA2E87"/>
    <w:rsid w:val="00AA429E"/>
    <w:rsid w:val="00AA7B44"/>
    <w:rsid w:val="00AB176B"/>
    <w:rsid w:val="00AC2E11"/>
    <w:rsid w:val="00AC7ECB"/>
    <w:rsid w:val="00AD2F9B"/>
    <w:rsid w:val="00AD3F43"/>
    <w:rsid w:val="00AD485D"/>
    <w:rsid w:val="00AD5A18"/>
    <w:rsid w:val="00AF5097"/>
    <w:rsid w:val="00B1010B"/>
    <w:rsid w:val="00B11EC5"/>
    <w:rsid w:val="00B22B55"/>
    <w:rsid w:val="00B22C72"/>
    <w:rsid w:val="00B27139"/>
    <w:rsid w:val="00B31B0C"/>
    <w:rsid w:val="00B33829"/>
    <w:rsid w:val="00B45ACA"/>
    <w:rsid w:val="00B47527"/>
    <w:rsid w:val="00B6383F"/>
    <w:rsid w:val="00B63F09"/>
    <w:rsid w:val="00B6633C"/>
    <w:rsid w:val="00B66A7B"/>
    <w:rsid w:val="00B80226"/>
    <w:rsid w:val="00B83A14"/>
    <w:rsid w:val="00B83FA6"/>
    <w:rsid w:val="00B864CC"/>
    <w:rsid w:val="00B96292"/>
    <w:rsid w:val="00BA3CD2"/>
    <w:rsid w:val="00BA4ACE"/>
    <w:rsid w:val="00BB253E"/>
    <w:rsid w:val="00BB3992"/>
    <w:rsid w:val="00BC6262"/>
    <w:rsid w:val="00BD3410"/>
    <w:rsid w:val="00BE3D98"/>
    <w:rsid w:val="00BE4AEE"/>
    <w:rsid w:val="00BF19AF"/>
    <w:rsid w:val="00C020F9"/>
    <w:rsid w:val="00C03692"/>
    <w:rsid w:val="00C103E6"/>
    <w:rsid w:val="00C10785"/>
    <w:rsid w:val="00C13930"/>
    <w:rsid w:val="00C25D7A"/>
    <w:rsid w:val="00C31C90"/>
    <w:rsid w:val="00C41C75"/>
    <w:rsid w:val="00C43C75"/>
    <w:rsid w:val="00C54B33"/>
    <w:rsid w:val="00C55280"/>
    <w:rsid w:val="00C62363"/>
    <w:rsid w:val="00C6284F"/>
    <w:rsid w:val="00C768AC"/>
    <w:rsid w:val="00C811FD"/>
    <w:rsid w:val="00C92CBC"/>
    <w:rsid w:val="00CA1347"/>
    <w:rsid w:val="00CA6318"/>
    <w:rsid w:val="00CA6798"/>
    <w:rsid w:val="00CB2FBC"/>
    <w:rsid w:val="00CB4F9C"/>
    <w:rsid w:val="00CC2A2A"/>
    <w:rsid w:val="00CE5C01"/>
    <w:rsid w:val="00CE6754"/>
    <w:rsid w:val="00CF03CF"/>
    <w:rsid w:val="00CF64FF"/>
    <w:rsid w:val="00D06DB5"/>
    <w:rsid w:val="00D07D98"/>
    <w:rsid w:val="00D11EDD"/>
    <w:rsid w:val="00D158B1"/>
    <w:rsid w:val="00D30401"/>
    <w:rsid w:val="00D35F26"/>
    <w:rsid w:val="00D46620"/>
    <w:rsid w:val="00D63299"/>
    <w:rsid w:val="00D77327"/>
    <w:rsid w:val="00D928C5"/>
    <w:rsid w:val="00D95FF8"/>
    <w:rsid w:val="00D97AB0"/>
    <w:rsid w:val="00DB0198"/>
    <w:rsid w:val="00DB7691"/>
    <w:rsid w:val="00DC159A"/>
    <w:rsid w:val="00DD3F95"/>
    <w:rsid w:val="00DE61E5"/>
    <w:rsid w:val="00DE6EA3"/>
    <w:rsid w:val="00DF0FBD"/>
    <w:rsid w:val="00DF1905"/>
    <w:rsid w:val="00DF2331"/>
    <w:rsid w:val="00DF7A8D"/>
    <w:rsid w:val="00E02BDD"/>
    <w:rsid w:val="00E04B28"/>
    <w:rsid w:val="00E157A1"/>
    <w:rsid w:val="00E240A9"/>
    <w:rsid w:val="00E26421"/>
    <w:rsid w:val="00E30EE7"/>
    <w:rsid w:val="00E370F9"/>
    <w:rsid w:val="00E41F62"/>
    <w:rsid w:val="00E4417D"/>
    <w:rsid w:val="00E45869"/>
    <w:rsid w:val="00E53962"/>
    <w:rsid w:val="00E80C0E"/>
    <w:rsid w:val="00E81D64"/>
    <w:rsid w:val="00E855A6"/>
    <w:rsid w:val="00EA2BD4"/>
    <w:rsid w:val="00EB2A02"/>
    <w:rsid w:val="00EB56DC"/>
    <w:rsid w:val="00EB58A8"/>
    <w:rsid w:val="00ED2CDD"/>
    <w:rsid w:val="00EE1228"/>
    <w:rsid w:val="00EE72F2"/>
    <w:rsid w:val="00F02E67"/>
    <w:rsid w:val="00F11704"/>
    <w:rsid w:val="00F2609E"/>
    <w:rsid w:val="00F44405"/>
    <w:rsid w:val="00F51C0A"/>
    <w:rsid w:val="00F5589B"/>
    <w:rsid w:val="00F55CE4"/>
    <w:rsid w:val="00F94D18"/>
    <w:rsid w:val="00FA01DE"/>
    <w:rsid w:val="00FA6CBD"/>
    <w:rsid w:val="00FB05AE"/>
    <w:rsid w:val="00FB37FC"/>
    <w:rsid w:val="00FB5D99"/>
    <w:rsid w:val="00FC4EFA"/>
    <w:rsid w:val="00FD0775"/>
    <w:rsid w:val="00FD2160"/>
    <w:rsid w:val="00FD3D50"/>
    <w:rsid w:val="00FF2522"/>
    <w:rsid w:val="0110B711"/>
    <w:rsid w:val="0265974A"/>
    <w:rsid w:val="02AC8772"/>
    <w:rsid w:val="03B875A8"/>
    <w:rsid w:val="2F6DD230"/>
    <w:rsid w:val="32A572F2"/>
    <w:rsid w:val="390DF6DB"/>
    <w:rsid w:val="570A02F4"/>
    <w:rsid w:val="5816EE44"/>
    <w:rsid w:val="6A207F93"/>
    <w:rsid w:val="744A5F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E1B65"/>
  <w15:chartTrackingRefBased/>
  <w15:docId w15:val="{CCFCFA8E-515E-4849-9D8D-656CD2A4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F95"/>
    <w:rPr>
      <w:rFonts w:ascii="Arial" w:hAnsi="Arial"/>
      <w:sz w:val="22"/>
      <w:lang w:val="en-AU"/>
    </w:rPr>
  </w:style>
  <w:style w:type="paragraph" w:styleId="Heading1">
    <w:name w:val="heading 1"/>
    <w:basedOn w:val="Normal"/>
    <w:next w:val="Normal"/>
    <w:qFormat/>
    <w:rsid w:val="00DD3F95"/>
    <w:pPr>
      <w:keepNext/>
      <w:outlineLvl w:val="0"/>
    </w:pPr>
    <w:rPr>
      <w:rFonts w:ascii="Times New Roman" w:hAnsi="Times New Roman"/>
      <w:i/>
      <w:iCs/>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D3F95"/>
    <w:pPr>
      <w:tabs>
        <w:tab w:val="center" w:pos="4153"/>
        <w:tab w:val="right" w:pos="8306"/>
      </w:tabs>
    </w:pPr>
  </w:style>
  <w:style w:type="paragraph" w:styleId="Footer">
    <w:name w:val="footer"/>
    <w:basedOn w:val="Normal"/>
    <w:link w:val="FooterChar"/>
    <w:semiHidden/>
    <w:rsid w:val="00DD3F95"/>
    <w:pPr>
      <w:tabs>
        <w:tab w:val="center" w:pos="4153"/>
        <w:tab w:val="right" w:pos="8306"/>
      </w:tabs>
    </w:pPr>
  </w:style>
  <w:style w:type="character" w:styleId="PageNumber">
    <w:name w:val="page number"/>
    <w:basedOn w:val="DefaultParagraphFont"/>
    <w:semiHidden/>
    <w:rsid w:val="00DD3F95"/>
  </w:style>
  <w:style w:type="paragraph" w:customStyle="1" w:styleId="Contact">
    <w:name w:val="Contact"/>
    <w:basedOn w:val="BodyText"/>
    <w:rsid w:val="00DD3F95"/>
    <w:pPr>
      <w:framePr w:w="2520" w:hSpace="180" w:wrap="notBeside" w:vAnchor="page" w:hAnchor="page" w:x="1801" w:y="961" w:anchorLock="1"/>
      <w:spacing w:after="0" w:line="200" w:lineRule="atLeast"/>
    </w:pPr>
    <w:rPr>
      <w:spacing w:val="-5"/>
      <w:sz w:val="16"/>
      <w:lang w:val="en-GB"/>
    </w:rPr>
  </w:style>
  <w:style w:type="character" w:styleId="Emphasis">
    <w:name w:val="Emphasis"/>
    <w:qFormat/>
    <w:rsid w:val="00DD3F95"/>
    <w:rPr>
      <w:rFonts w:ascii="Arial Black" w:hAnsi="Arial Black"/>
      <w:spacing w:val="-10"/>
    </w:rPr>
  </w:style>
  <w:style w:type="paragraph" w:styleId="BodyText3">
    <w:name w:val="Body Text 3"/>
    <w:basedOn w:val="Normal"/>
    <w:semiHidden/>
    <w:rsid w:val="00DD3F95"/>
    <w:pPr>
      <w:jc w:val="right"/>
    </w:pPr>
    <w:rPr>
      <w:rFonts w:ascii="Tahoma" w:hAnsi="Tahoma" w:cs="Tahoma"/>
      <w:sz w:val="21"/>
      <w:lang w:val="el-GR"/>
    </w:rPr>
  </w:style>
  <w:style w:type="paragraph" w:styleId="BodyText">
    <w:name w:val="Body Text"/>
    <w:basedOn w:val="Normal"/>
    <w:semiHidden/>
    <w:rsid w:val="00DD3F95"/>
    <w:pPr>
      <w:spacing w:after="120"/>
    </w:pPr>
  </w:style>
  <w:style w:type="paragraph" w:styleId="BodyText2">
    <w:name w:val="Body Text 2"/>
    <w:basedOn w:val="Normal"/>
    <w:semiHidden/>
    <w:rsid w:val="00DD3F95"/>
    <w:pPr>
      <w:jc w:val="both"/>
    </w:pPr>
    <w:rPr>
      <w:rFonts w:ascii="Tahoma" w:hAnsi="Tahoma" w:cs="Tahoma"/>
      <w:lang w:val="el-GR"/>
    </w:rPr>
  </w:style>
  <w:style w:type="paragraph" w:styleId="NormalWeb">
    <w:name w:val="Normal (Web)"/>
    <w:basedOn w:val="Normal"/>
    <w:uiPriority w:val="99"/>
    <w:semiHidden/>
    <w:rsid w:val="00DD3F95"/>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style11">
    <w:name w:val="style11"/>
    <w:rsid w:val="00DD3F95"/>
    <w:rPr>
      <w:color w:val="000000"/>
    </w:rPr>
  </w:style>
  <w:style w:type="character" w:customStyle="1" w:styleId="text11">
    <w:name w:val="text11"/>
    <w:rsid w:val="00DD3F95"/>
    <w:rPr>
      <w:rFonts w:ascii="Verdana" w:hAnsi="Verdana" w:hint="default"/>
      <w:b/>
      <w:bCs/>
      <w:color w:val="550203"/>
      <w:sz w:val="15"/>
      <w:szCs w:val="15"/>
    </w:rPr>
  </w:style>
  <w:style w:type="paragraph" w:styleId="BalloonText">
    <w:name w:val="Balloon Text"/>
    <w:basedOn w:val="Normal"/>
    <w:semiHidden/>
    <w:rsid w:val="00DD3F95"/>
    <w:rPr>
      <w:rFonts w:ascii="Tahoma" w:hAnsi="Tahoma" w:cs="Tahoma"/>
      <w:sz w:val="16"/>
      <w:szCs w:val="16"/>
    </w:rPr>
  </w:style>
  <w:style w:type="paragraph" w:customStyle="1" w:styleId="Style2">
    <w:name w:val="Style2"/>
    <w:basedOn w:val="Normal"/>
    <w:rsid w:val="00DD3F95"/>
    <w:pPr>
      <w:numPr>
        <w:numId w:val="1"/>
      </w:numPr>
      <w:spacing w:before="120" w:line="360" w:lineRule="auto"/>
      <w:jc w:val="both"/>
    </w:pPr>
    <w:rPr>
      <w:rFonts w:ascii="Tahoma" w:hAnsi="Tahoma" w:cs="Arial"/>
      <w:bCs/>
      <w:kern w:val="32"/>
      <w:sz w:val="20"/>
      <w:szCs w:val="28"/>
      <w:lang w:val="el-GR"/>
    </w:rPr>
  </w:style>
  <w:style w:type="paragraph" w:customStyle="1" w:styleId="1">
    <w:name w:val="Κείμενο πλαισίου1"/>
    <w:basedOn w:val="Normal"/>
    <w:semiHidden/>
    <w:rsid w:val="00DD3F95"/>
    <w:rPr>
      <w:rFonts w:ascii="Tahoma" w:hAnsi="Tahoma" w:cs="Tahoma"/>
      <w:sz w:val="16"/>
      <w:szCs w:val="16"/>
    </w:rPr>
  </w:style>
  <w:style w:type="character" w:styleId="CommentReference">
    <w:name w:val="annotation reference"/>
    <w:semiHidden/>
    <w:rsid w:val="00DD3F95"/>
    <w:rPr>
      <w:sz w:val="16"/>
      <w:szCs w:val="16"/>
    </w:rPr>
  </w:style>
  <w:style w:type="paragraph" w:styleId="CommentText">
    <w:name w:val="annotation text"/>
    <w:basedOn w:val="Normal"/>
    <w:link w:val="CommentTextChar"/>
    <w:semiHidden/>
    <w:rsid w:val="00DD3F95"/>
    <w:rPr>
      <w:sz w:val="20"/>
    </w:rPr>
  </w:style>
  <w:style w:type="character" w:styleId="Strong">
    <w:name w:val="Strong"/>
    <w:qFormat/>
    <w:rsid w:val="00DD3F95"/>
    <w:rPr>
      <w:b/>
      <w:bCs/>
    </w:rPr>
  </w:style>
  <w:style w:type="character" w:styleId="Hyperlink">
    <w:name w:val="Hyperlink"/>
    <w:semiHidden/>
    <w:rsid w:val="00DD3F95"/>
    <w:rPr>
      <w:color w:val="0000FF"/>
      <w:u w:val="single"/>
    </w:rPr>
  </w:style>
  <w:style w:type="character" w:styleId="FollowedHyperlink">
    <w:name w:val="FollowedHyperlink"/>
    <w:semiHidden/>
    <w:rsid w:val="00DD3F95"/>
    <w:rPr>
      <w:color w:val="800080"/>
      <w:u w:val="single"/>
    </w:rPr>
  </w:style>
  <w:style w:type="paragraph" w:styleId="CommentSubject">
    <w:name w:val="annotation subject"/>
    <w:basedOn w:val="CommentText"/>
    <w:next w:val="CommentText"/>
    <w:link w:val="CommentSubjectChar"/>
    <w:uiPriority w:val="99"/>
    <w:semiHidden/>
    <w:unhideWhenUsed/>
    <w:rsid w:val="007B3478"/>
    <w:rPr>
      <w:b/>
      <w:bCs/>
    </w:rPr>
  </w:style>
  <w:style w:type="character" w:customStyle="1" w:styleId="CommentTextChar">
    <w:name w:val="Comment Text Char"/>
    <w:link w:val="CommentText"/>
    <w:semiHidden/>
    <w:rsid w:val="007B3478"/>
    <w:rPr>
      <w:rFonts w:ascii="Arial" w:hAnsi="Arial"/>
      <w:lang w:val="en-AU" w:eastAsia="en-US"/>
    </w:rPr>
  </w:style>
  <w:style w:type="character" w:customStyle="1" w:styleId="CommentSubjectChar">
    <w:name w:val="Comment Subject Char"/>
    <w:basedOn w:val="CommentTextChar"/>
    <w:link w:val="CommentSubject"/>
    <w:rsid w:val="007B3478"/>
    <w:rPr>
      <w:rFonts w:ascii="Arial" w:hAnsi="Arial"/>
      <w:lang w:val="en-AU" w:eastAsia="en-US"/>
    </w:rPr>
  </w:style>
  <w:style w:type="character" w:customStyle="1" w:styleId="FooterChar">
    <w:name w:val="Footer Char"/>
    <w:link w:val="Footer"/>
    <w:semiHidden/>
    <w:rsid w:val="007B3F6D"/>
    <w:rPr>
      <w:rFonts w:ascii="Arial" w:hAnsi="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4106">
      <w:bodyDiv w:val="1"/>
      <w:marLeft w:val="0"/>
      <w:marRight w:val="0"/>
      <w:marTop w:val="0"/>
      <w:marBottom w:val="0"/>
      <w:divBdr>
        <w:top w:val="none" w:sz="0" w:space="0" w:color="auto"/>
        <w:left w:val="none" w:sz="0" w:space="0" w:color="auto"/>
        <w:bottom w:val="none" w:sz="0" w:space="0" w:color="auto"/>
        <w:right w:val="none" w:sz="0" w:space="0" w:color="auto"/>
      </w:divBdr>
    </w:div>
    <w:div w:id="1207058598">
      <w:bodyDiv w:val="1"/>
      <w:marLeft w:val="0"/>
      <w:marRight w:val="0"/>
      <w:marTop w:val="0"/>
      <w:marBottom w:val="0"/>
      <w:divBdr>
        <w:top w:val="none" w:sz="0" w:space="0" w:color="auto"/>
        <w:left w:val="none" w:sz="0" w:space="0" w:color="auto"/>
        <w:bottom w:val="none" w:sz="0" w:space="0" w:color="auto"/>
        <w:right w:val="none" w:sz="0" w:space="0" w:color="auto"/>
      </w:divBdr>
    </w:div>
    <w:div w:id="14789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1C6D2-3216-4DE2-B7A6-2BE589A0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Press Release</vt:lpstr>
    </vt:vector>
  </TitlesOfParts>
  <Company>Vivodi Telecom S.A.</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Space Hellas S.A.</dc:creator>
  <cp:keywords/>
  <cp:lastModifiedBy>Maria Balala</cp:lastModifiedBy>
  <cp:revision>2</cp:revision>
  <cp:lastPrinted>2022-04-14T10:31:00Z</cp:lastPrinted>
  <dcterms:created xsi:type="dcterms:W3CDTF">2022-05-25T16:03:00Z</dcterms:created>
  <dcterms:modified xsi:type="dcterms:W3CDTF">2022-05-25T16:03:00Z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Classification: Public</vt:lpwstr>
  </property>
  <property fmtid="{D5CDD505-2E9C-101B-9397-08002B2CF9AE}" pid="6" name="MSIP_Label_c1b68620-7369-4132-a741-1c9b431f2750_Enabled">
    <vt:lpwstr>true</vt:lpwstr>
  </property>
  <property fmtid="{D5CDD505-2E9C-101B-9397-08002B2CF9AE}" pid="7" name="MSIP_Label_c1b68620-7369-4132-a741-1c9b431f2750_SetDate">
    <vt:lpwstr>2022-04-13T15:30:55Z</vt:lpwstr>
  </property>
  <property fmtid="{D5CDD505-2E9C-101B-9397-08002B2CF9AE}" pid="8" name="MSIP_Label_c1b68620-7369-4132-a741-1c9b431f2750_Method">
    <vt:lpwstr>Privileged</vt:lpwstr>
  </property>
  <property fmtid="{D5CDD505-2E9C-101B-9397-08002B2CF9AE}" pid="9" name="MSIP_Label_c1b68620-7369-4132-a741-1c9b431f2750_Name">
    <vt:lpwstr>Public</vt:lpwstr>
  </property>
  <property fmtid="{D5CDD505-2E9C-101B-9397-08002B2CF9AE}" pid="10" name="MSIP_Label_c1b68620-7369-4132-a741-1c9b431f2750_SiteId">
    <vt:lpwstr>16aebab9-7ae0-41ca-aa2e-1922d8efc264</vt:lpwstr>
  </property>
  <property fmtid="{D5CDD505-2E9C-101B-9397-08002B2CF9AE}" pid="11" name="MSIP_Label_c1b68620-7369-4132-a741-1c9b431f2750_ActionId">
    <vt:lpwstr>01c081a8-96ce-495a-a10e-6ada7951cf17</vt:lpwstr>
  </property>
  <property fmtid="{D5CDD505-2E9C-101B-9397-08002B2CF9AE}" pid="12" name="MSIP_Label_c1b68620-7369-4132-a741-1c9b431f2750_ContentBits">
    <vt:lpwstr>2</vt:lpwstr>
  </property>
</Properties>
</file>