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37C5E" w14:textId="7ACA082B" w:rsidR="00DE6EA3" w:rsidRPr="00C55280" w:rsidRDefault="00C55280">
      <w:pPr>
        <w:pStyle w:val="BodyText3"/>
        <w:jc w:val="both"/>
        <w:rPr>
          <w:rFonts w:ascii="Century Gothic" w:hAnsi="Century Gothic"/>
          <w:b/>
          <w:bCs/>
          <w:sz w:val="20"/>
          <w:lang w:val="en-US"/>
        </w:rPr>
      </w:pPr>
      <w:r>
        <w:rPr>
          <w:rFonts w:ascii="Century Gothic" w:hAnsi="Century Gothic" w:cs="Arial"/>
          <w:lang w:val="en-US"/>
        </w:rPr>
        <w:t>Athens</w:t>
      </w:r>
      <w:r w:rsidR="0040045A" w:rsidRPr="00C55280">
        <w:rPr>
          <w:rFonts w:ascii="Century Gothic" w:hAnsi="Century Gothic" w:cs="Arial"/>
          <w:lang w:val="en-US"/>
        </w:rPr>
        <w:t xml:space="preserve">, </w:t>
      </w:r>
      <w:r w:rsidR="00FF2522">
        <w:rPr>
          <w:rFonts w:ascii="Century Gothic" w:hAnsi="Century Gothic" w:cs="Arial"/>
          <w:lang w:val="en-US"/>
        </w:rPr>
        <w:t xml:space="preserve">April </w:t>
      </w:r>
      <w:r w:rsidR="00F55CE4">
        <w:rPr>
          <w:rFonts w:ascii="Century Gothic" w:hAnsi="Century Gothic" w:cs="Arial"/>
          <w:lang w:val="en-US"/>
        </w:rPr>
        <w:t>20</w:t>
      </w:r>
      <w:r>
        <w:rPr>
          <w:rFonts w:ascii="Century Gothic" w:hAnsi="Century Gothic" w:cs="Arial"/>
          <w:lang w:val="en-US"/>
        </w:rPr>
        <w:t>,</w:t>
      </w:r>
      <w:r w:rsidR="0040045A" w:rsidRPr="00C55280">
        <w:rPr>
          <w:rFonts w:ascii="Century Gothic" w:hAnsi="Century Gothic" w:cs="Arial"/>
          <w:lang w:val="en-US"/>
        </w:rPr>
        <w:t xml:space="preserve"> 2022</w:t>
      </w:r>
    </w:p>
    <w:p w14:paraId="4F871311" w14:textId="77777777" w:rsidR="0040045A" w:rsidRPr="00C55280" w:rsidRDefault="0040045A" w:rsidP="00DE6EA3">
      <w:pPr>
        <w:tabs>
          <w:tab w:val="left" w:pos="8130"/>
        </w:tabs>
        <w:jc w:val="both"/>
        <w:rPr>
          <w:rFonts w:ascii="Century Gothic" w:hAnsi="Century Gothic"/>
          <w:lang w:val="en-US"/>
        </w:rPr>
      </w:pPr>
    </w:p>
    <w:p w14:paraId="0BF342D4" w14:textId="77777777" w:rsidR="005C4DD4" w:rsidRPr="00C55280" w:rsidRDefault="005C4DD4" w:rsidP="00DE6EA3">
      <w:pPr>
        <w:tabs>
          <w:tab w:val="left" w:pos="8130"/>
        </w:tabs>
        <w:jc w:val="both"/>
        <w:rPr>
          <w:rFonts w:ascii="Century Gothic" w:hAnsi="Century Gothic"/>
          <w:lang w:val="en-US"/>
        </w:rPr>
      </w:pPr>
    </w:p>
    <w:p w14:paraId="0E5775B7" w14:textId="77777777" w:rsidR="003700FF" w:rsidRPr="00C55280" w:rsidRDefault="00DE6EA3" w:rsidP="00DE6EA3">
      <w:pPr>
        <w:tabs>
          <w:tab w:val="left" w:pos="8130"/>
        </w:tabs>
        <w:jc w:val="both"/>
        <w:rPr>
          <w:rFonts w:ascii="Century Gothic" w:hAnsi="Century Gothic"/>
          <w:lang w:val="en-US"/>
        </w:rPr>
      </w:pPr>
      <w:r w:rsidRPr="00C55280">
        <w:rPr>
          <w:rFonts w:ascii="Century Gothic" w:hAnsi="Century Gothic"/>
          <w:lang w:val="en-US"/>
        </w:rPr>
        <w:tab/>
      </w:r>
    </w:p>
    <w:p w14:paraId="0C22C7A2" w14:textId="48FC9835" w:rsidR="001B6A2E" w:rsidRPr="001B6A2E" w:rsidRDefault="001B6A2E" w:rsidP="001B6A2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Gothic" w:hAnsi="Century Gothic"/>
          <w:b/>
          <w:bCs/>
          <w:color w:val="244061"/>
          <w:sz w:val="26"/>
          <w:szCs w:val="26"/>
          <w:lang w:val="en-US"/>
        </w:rPr>
      </w:pPr>
      <w:r w:rsidRPr="001B6A2E">
        <w:rPr>
          <w:rFonts w:ascii="Century Gothic" w:hAnsi="Century Gothic"/>
          <w:b/>
          <w:bCs/>
          <w:color w:val="244061"/>
          <w:sz w:val="26"/>
          <w:szCs w:val="26"/>
          <w:lang w:val="en-US"/>
        </w:rPr>
        <w:t>Space Hellas broke the barrier of € 100 million in sales</w:t>
      </w:r>
    </w:p>
    <w:p w14:paraId="2D513764" w14:textId="6FAB8B6B" w:rsidR="001B6A2E" w:rsidRDefault="001B6A2E" w:rsidP="001B6A2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Gothic" w:hAnsi="Century Gothic"/>
          <w:b/>
          <w:bCs/>
          <w:i/>
          <w:color w:val="244061"/>
          <w:sz w:val="26"/>
          <w:szCs w:val="26"/>
          <w:lang w:val="en-US"/>
        </w:rPr>
      </w:pPr>
      <w:r w:rsidRPr="001B6A2E">
        <w:rPr>
          <w:rFonts w:ascii="Century Gothic" w:hAnsi="Century Gothic"/>
          <w:b/>
          <w:bCs/>
          <w:i/>
          <w:color w:val="244061"/>
          <w:sz w:val="26"/>
          <w:szCs w:val="26"/>
          <w:lang w:val="en-US"/>
        </w:rPr>
        <w:t>Increase in profits after taxes by 158%</w:t>
      </w:r>
    </w:p>
    <w:p w14:paraId="1D680C9C" w14:textId="77777777" w:rsidR="001B6A2E" w:rsidRPr="001B6A2E" w:rsidRDefault="001B6A2E" w:rsidP="001B6A2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Gothic" w:hAnsi="Century Gothic"/>
          <w:b/>
          <w:bCs/>
          <w:i/>
          <w:color w:val="244061"/>
          <w:sz w:val="26"/>
          <w:szCs w:val="26"/>
          <w:lang w:val="en-US"/>
        </w:rPr>
      </w:pPr>
    </w:p>
    <w:p w14:paraId="1FC6D13F" w14:textId="77777777" w:rsidR="001B6A2E" w:rsidRPr="001B6A2E" w:rsidRDefault="001B6A2E" w:rsidP="001B6A2E">
      <w:pPr>
        <w:shd w:val="clear" w:color="auto" w:fill="FFFFFF"/>
        <w:spacing w:after="100" w:afterAutospacing="1"/>
        <w:jc w:val="both"/>
        <w:rPr>
          <w:rFonts w:ascii="Century Gothic" w:hAnsi="Century Gothic" w:cs="Arial"/>
          <w:lang w:val="en-US"/>
        </w:rPr>
      </w:pPr>
      <w:r w:rsidRPr="001B6A2E">
        <w:rPr>
          <w:rFonts w:ascii="Century Gothic" w:hAnsi="Century Gothic" w:cs="Arial"/>
          <w:lang w:val="en-US"/>
        </w:rPr>
        <w:t>2021 was a milestone year for the Space Hellas Group, as its consolidated turnover amounted to € 103.3 million, steadily continuing its growth course and doubling its revenue within the last five years.</w:t>
      </w:r>
    </w:p>
    <w:p w14:paraId="2956102A" w14:textId="77777777" w:rsidR="001B6A2E" w:rsidRPr="001B6A2E" w:rsidRDefault="001B6A2E" w:rsidP="001B6A2E">
      <w:pPr>
        <w:shd w:val="clear" w:color="auto" w:fill="FFFFFF"/>
        <w:spacing w:after="100" w:afterAutospacing="1"/>
        <w:jc w:val="both"/>
        <w:rPr>
          <w:rFonts w:ascii="Century Gothic" w:hAnsi="Century Gothic" w:cs="Arial"/>
          <w:lang w:val="en-US"/>
        </w:rPr>
      </w:pPr>
      <w:r w:rsidRPr="001B6A2E">
        <w:rPr>
          <w:rFonts w:ascii="Century Gothic" w:hAnsi="Century Gothic" w:cs="Arial"/>
          <w:lang w:val="en-US"/>
        </w:rPr>
        <w:t>More specifically, the consolidated turnover of Space Hellas for 2021 amounted to € 103.3 million, increased by 28% compared to € 80.7 million in 2020.  Gross profit amounted to € 20,5 million in 2021 compared to € 16,4 million in 2020. The EBITDA amounted to € 9,5 million in 2021 compared to € 6,9 million in 2020 presenting an increase of 37,8%. Earnings before taxes amounted to € 5,2 million in 2021 compared to € 2,2 million in 2020, while earnings after taxes increased by 158% and amounted to 4,6 million in 2021 compared to € 1,8 million in 2020.</w:t>
      </w:r>
    </w:p>
    <w:p w14:paraId="65B6F086" w14:textId="77777777" w:rsidR="001B6A2E" w:rsidRPr="001B6A2E" w:rsidRDefault="001B6A2E" w:rsidP="001B6A2E">
      <w:pPr>
        <w:shd w:val="clear" w:color="auto" w:fill="FFFFFF"/>
        <w:spacing w:after="100" w:afterAutospacing="1"/>
        <w:jc w:val="both"/>
        <w:rPr>
          <w:rFonts w:ascii="Century Gothic" w:hAnsi="Century Gothic" w:cs="Arial"/>
          <w:lang w:val="en-US"/>
        </w:rPr>
      </w:pPr>
      <w:r w:rsidRPr="001B6A2E">
        <w:rPr>
          <w:rFonts w:ascii="Century Gothic" w:hAnsi="Century Gothic" w:cs="Arial"/>
          <w:lang w:val="en-US"/>
        </w:rPr>
        <w:t>It is worth noting that the financial figures of the Group reflect only part of the financial activity of the investments that are fully consolidated, as Singular Logic contributes to the Group results only for 5.5 months and Sense One for about 1 month.</w:t>
      </w:r>
    </w:p>
    <w:p w14:paraId="363639A5" w14:textId="050CE2ED" w:rsidR="001B6A2E" w:rsidRPr="001B6A2E" w:rsidRDefault="001B6A2E" w:rsidP="001B6A2E">
      <w:pPr>
        <w:shd w:val="clear" w:color="auto" w:fill="FFFFFF"/>
        <w:spacing w:after="100" w:afterAutospacing="1"/>
        <w:jc w:val="both"/>
        <w:rPr>
          <w:rFonts w:ascii="Century Gothic" w:hAnsi="Century Gothic" w:cs="Arial"/>
          <w:lang w:val="en-US"/>
        </w:rPr>
      </w:pPr>
      <w:r w:rsidRPr="001B6A2E">
        <w:rPr>
          <w:rFonts w:ascii="Century Gothic" w:hAnsi="Century Gothic" w:cs="Arial"/>
          <w:lang w:val="en-US"/>
        </w:rPr>
        <w:t>For the parent company, turnover closed at € 91,3 million in 2021 compared to € 78,2 million in 2020 presenting an increase of 16,8%, while earnings before interest, tax and depreciation (EBITDA) amounted to € 7,0 million in 2021 compared to € 5,9 million in 2020 presenting an increase of 17,6%. Finally, the profits before tax of the parent company for 2021 amounted to € 2,7 million compared to € 2,1 million in 2020 and the corresponding results after taxes in 2021 amounted to € 2,3 million compared to € 1,7 million in 2020 presenting an increase of 34%.</w:t>
      </w:r>
    </w:p>
    <w:p w14:paraId="594E372C" w14:textId="46F2CBB1" w:rsidR="001B6A2E" w:rsidRPr="001B6A2E" w:rsidRDefault="001B6A2E" w:rsidP="001B6A2E">
      <w:pPr>
        <w:shd w:val="clear" w:color="auto" w:fill="FFFFFF"/>
        <w:spacing w:after="100" w:afterAutospacing="1"/>
        <w:jc w:val="both"/>
        <w:rPr>
          <w:rFonts w:ascii="Century Gothic" w:hAnsi="Century Gothic" w:cs="Arial"/>
          <w:lang w:val="en-US"/>
        </w:rPr>
      </w:pPr>
      <w:r w:rsidRPr="001B6A2E">
        <w:rPr>
          <w:rFonts w:ascii="Century Gothic" w:hAnsi="Century Gothic" w:cs="Arial"/>
          <w:lang w:val="en-US"/>
        </w:rPr>
        <w:t xml:space="preserve">The cash flow </w:t>
      </w:r>
      <w:r w:rsidR="00D23DDF">
        <w:rPr>
          <w:rFonts w:ascii="Century Gothic" w:hAnsi="Century Gothic" w:cs="Arial"/>
          <w:lang w:val="en-US"/>
        </w:rPr>
        <w:t>statement</w:t>
      </w:r>
      <w:r w:rsidRPr="001B6A2E">
        <w:rPr>
          <w:rFonts w:ascii="Century Gothic" w:hAnsi="Century Gothic" w:cs="Arial"/>
          <w:lang w:val="en-US"/>
        </w:rPr>
        <w:t xml:space="preserve"> was affected by the strong contribution of the last 2021 quarter to the increase in revenue which led to negative operating cash flows of € 5.</w:t>
      </w:r>
      <w:r w:rsidR="00C80AA4">
        <w:rPr>
          <w:rFonts w:ascii="Century Gothic" w:hAnsi="Century Gothic" w:cs="Arial"/>
          <w:lang w:val="en-US"/>
        </w:rPr>
        <w:t>2</w:t>
      </w:r>
      <w:r w:rsidRPr="001B6A2E">
        <w:rPr>
          <w:rFonts w:ascii="Century Gothic" w:hAnsi="Century Gothic" w:cs="Arial"/>
          <w:lang w:val="en-US"/>
        </w:rPr>
        <w:t xml:space="preserve"> million. The financial flows of €11.6 million and the high cash resources of 2020 financed the significant investment activity of the Group which was reflected in the investment flows of €</w:t>
      </w:r>
      <w:r w:rsidR="003C5AB2">
        <w:rPr>
          <w:rFonts w:ascii="Century Gothic" w:hAnsi="Century Gothic" w:cs="Arial"/>
          <w:lang w:val="en-US"/>
        </w:rPr>
        <w:t xml:space="preserve"> </w:t>
      </w:r>
      <w:r w:rsidRPr="001B6A2E">
        <w:rPr>
          <w:rFonts w:ascii="Century Gothic" w:hAnsi="Century Gothic" w:cs="Arial"/>
          <w:lang w:val="en-US"/>
        </w:rPr>
        <w:t>16,</w:t>
      </w:r>
      <w:r w:rsidR="00C80AA4">
        <w:rPr>
          <w:rFonts w:ascii="Century Gothic" w:hAnsi="Century Gothic" w:cs="Arial"/>
          <w:lang w:val="en-US"/>
        </w:rPr>
        <w:t>7</w:t>
      </w:r>
      <w:r w:rsidRPr="001B6A2E">
        <w:rPr>
          <w:rFonts w:ascii="Century Gothic" w:hAnsi="Century Gothic" w:cs="Arial"/>
          <w:lang w:val="en-US"/>
        </w:rPr>
        <w:t xml:space="preserve"> million.</w:t>
      </w:r>
    </w:p>
    <w:p w14:paraId="28A770B9" w14:textId="6B005145" w:rsidR="001B6A2E" w:rsidRPr="001B6A2E" w:rsidRDefault="001B6A2E" w:rsidP="001B6A2E">
      <w:pPr>
        <w:shd w:val="clear" w:color="auto" w:fill="FFFFFF"/>
        <w:spacing w:after="100" w:afterAutospacing="1"/>
        <w:jc w:val="both"/>
        <w:rPr>
          <w:rFonts w:ascii="Century Gothic" w:hAnsi="Century Gothic" w:cs="Arial"/>
          <w:lang w:val="en-US"/>
        </w:rPr>
      </w:pPr>
      <w:r w:rsidRPr="001B6A2E">
        <w:rPr>
          <w:rFonts w:ascii="Century Gothic" w:hAnsi="Century Gothic" w:cs="Arial"/>
          <w:lang w:val="en-US"/>
        </w:rPr>
        <w:t xml:space="preserve">Despite the difficulties created by the pandemic, the Space Hellas Group of Companies constantly continued its growth course in 2021, achieving for the fifth consecutive year a new sales record, creating a significant backlog of unexecuted projects with signed contracts for 2022. At the same time, with consistency and dedication to the implementation of the investment plan, the group completed three very important and key acquisitions, the acquisition of 60% of the historical IT </w:t>
      </w:r>
      <w:r w:rsidRPr="001B6A2E">
        <w:rPr>
          <w:rFonts w:ascii="Century Gothic" w:hAnsi="Century Gothic" w:cs="Arial"/>
          <w:lang w:val="en-US"/>
        </w:rPr>
        <w:lastRenderedPageBreak/>
        <w:t>company Singular Logic, 40% of Epsilon Singular Logic resulting from the</w:t>
      </w:r>
      <w:r w:rsidR="00272B33">
        <w:rPr>
          <w:rFonts w:ascii="Century Gothic" w:hAnsi="Century Gothic" w:cs="Arial"/>
          <w:lang w:val="en-US"/>
        </w:rPr>
        <w:t xml:space="preserve"> </w:t>
      </w:r>
      <w:r w:rsidR="00272B33" w:rsidRPr="00272B33">
        <w:rPr>
          <w:rFonts w:ascii="Century Gothic" w:hAnsi="Century Gothic" w:cs="Arial"/>
          <w:lang w:val="en-US"/>
        </w:rPr>
        <w:t>spin-off</w:t>
      </w:r>
      <w:r w:rsidR="00272B33">
        <w:rPr>
          <w:rFonts w:ascii="Century Gothic" w:hAnsi="Century Gothic" w:cs="Arial"/>
          <w:lang w:val="en-US"/>
        </w:rPr>
        <w:t xml:space="preserve"> </w:t>
      </w:r>
      <w:r w:rsidRPr="001B6A2E">
        <w:rPr>
          <w:rFonts w:ascii="Century Gothic" w:hAnsi="Century Gothic" w:cs="Arial"/>
          <w:lang w:val="en-US"/>
        </w:rPr>
        <w:t>of Singular Logic and simultaneous</w:t>
      </w:r>
      <w:r w:rsidR="00272B33">
        <w:rPr>
          <w:rFonts w:ascii="Century Gothic" w:hAnsi="Century Gothic" w:cs="Arial"/>
          <w:lang w:val="en-US"/>
        </w:rPr>
        <w:t xml:space="preserve"> a division </w:t>
      </w:r>
      <w:r w:rsidRPr="001B6A2E">
        <w:rPr>
          <w:rFonts w:ascii="Century Gothic" w:hAnsi="Century Gothic" w:cs="Arial"/>
          <w:lang w:val="en-US"/>
        </w:rPr>
        <w:t>of Epsilon Net and 100% of Sense One which offers technological solutions in the field of the Internet of Things.  Through these acquisitions, the Space Hellas group dynamically enters the Enterprise Software market, thus creating new revenue streams, as well as in the field of solutions and applications related to the implementation of smart cities, covering the main pillars of Energy, Environment and Security (Safety/Security). </w:t>
      </w:r>
    </w:p>
    <w:p w14:paraId="135B47DC" w14:textId="15F7A37E" w:rsidR="001B6A2E" w:rsidRPr="001B6A2E" w:rsidRDefault="001B6A2E" w:rsidP="001B6A2E">
      <w:pPr>
        <w:shd w:val="clear" w:color="auto" w:fill="FFFFFF"/>
        <w:spacing w:after="100" w:afterAutospacing="1"/>
        <w:jc w:val="both"/>
        <w:rPr>
          <w:rFonts w:ascii="Century Gothic" w:hAnsi="Century Gothic" w:cs="Arial"/>
          <w:lang w:val="en-US"/>
        </w:rPr>
      </w:pPr>
      <w:r w:rsidRPr="001B6A2E">
        <w:rPr>
          <w:rFonts w:ascii="Century Gothic" w:hAnsi="Century Gothic" w:cs="Arial"/>
          <w:lang w:val="en-US"/>
        </w:rPr>
        <w:t>The Executive President of Space Hellas, Spyros D. Manolopoulos, characteristically stated:</w:t>
      </w:r>
      <w:r>
        <w:rPr>
          <w:rFonts w:ascii="Century Gothic" w:hAnsi="Century Gothic" w:cs="Arial"/>
          <w:lang w:val="en-US"/>
        </w:rPr>
        <w:t xml:space="preserve"> </w:t>
      </w:r>
      <w:r w:rsidRPr="001B6A2E">
        <w:rPr>
          <w:rFonts w:ascii="Century Gothic" w:hAnsi="Century Gothic" w:cs="Arial"/>
          <w:lang w:val="en-US"/>
        </w:rPr>
        <w:t xml:space="preserve">“In the five-year period 2017-2021, we managed not only to double the turnover, to break the barrier of € 100 million revenue, but also to continue the transformation of the Group at a steady pace. Our goal for 2022 is the efficient implementation of ongoing contracts, the signing of new ones, but also increasing the capabilities of the Space Hellas Group both through organic development and through the utilization of possible acquisition opportunities. For 2022, the Space Hellas group still aims at even higher performance and will be at the “core” of companies that will make a decisive contribution to the rapid development of the Greek economy. The first estimates of the current year concerning the development of the IT market through the implementation and tender procedures of important digital projects seem to be confirmed. The Space Hellas group </w:t>
      </w:r>
      <w:r>
        <w:rPr>
          <w:rFonts w:ascii="Century Gothic" w:hAnsi="Century Gothic" w:cs="Arial"/>
          <w:lang w:val="en-US"/>
        </w:rPr>
        <w:t>is</w:t>
      </w:r>
      <w:r w:rsidRPr="001B6A2E">
        <w:rPr>
          <w:rFonts w:ascii="Century Gothic" w:hAnsi="Century Gothic" w:cs="Arial"/>
          <w:lang w:val="en-US"/>
        </w:rPr>
        <w:t xml:space="preserve"> one of the main contenders for the projects that will “run” in 2022.”</w:t>
      </w:r>
    </w:p>
    <w:p w14:paraId="2FE07E44" w14:textId="77777777" w:rsidR="001B6A2E" w:rsidRPr="001B6A2E" w:rsidRDefault="001B6A2E" w:rsidP="001B6A2E">
      <w:pPr>
        <w:jc w:val="both"/>
        <w:rPr>
          <w:rFonts w:ascii="Century Gothic" w:hAnsi="Century Gothic" w:cs="Arial"/>
          <w:lang w:val="en-US"/>
        </w:rPr>
      </w:pPr>
    </w:p>
    <w:p w14:paraId="5258CB26" w14:textId="77777777" w:rsidR="001B6A2E" w:rsidRPr="001B6A2E" w:rsidRDefault="001B6A2E" w:rsidP="001B6A2E">
      <w:pPr>
        <w:shd w:val="clear" w:color="auto" w:fill="FFFFFF"/>
        <w:spacing w:after="100" w:afterAutospacing="1"/>
        <w:jc w:val="both"/>
        <w:rPr>
          <w:rFonts w:ascii="Century Gothic" w:hAnsi="Century Gothic" w:cs="Arial"/>
          <w:lang w:val="en-US"/>
        </w:rPr>
      </w:pPr>
    </w:p>
    <w:p w14:paraId="33763F7B" w14:textId="77777777" w:rsidR="001B6A2E" w:rsidRPr="001D6194" w:rsidRDefault="001B6A2E" w:rsidP="001B6A2E">
      <w:pPr>
        <w:shd w:val="clear" w:color="auto" w:fill="FFFFFF"/>
        <w:spacing w:after="100" w:afterAutospacing="1"/>
        <w:jc w:val="both"/>
        <w:rPr>
          <w:rFonts w:ascii="Segoe UI Semilight" w:hAnsi="Segoe UI Semilight" w:cs="Segoe UI Semilight"/>
          <w:color w:val="212529"/>
          <w:sz w:val="24"/>
          <w:szCs w:val="24"/>
          <w:lang w:eastAsia="el-GR"/>
        </w:rPr>
      </w:pPr>
    </w:p>
    <w:p w14:paraId="7769F9A8" w14:textId="69051279" w:rsidR="008048D1" w:rsidRPr="001B6A2E" w:rsidRDefault="008048D1" w:rsidP="00F55CE4">
      <w:pPr>
        <w:jc w:val="both"/>
        <w:rPr>
          <w:rFonts w:ascii="Century Gothic" w:hAnsi="Century Gothic" w:cs="Arial"/>
        </w:rPr>
      </w:pPr>
    </w:p>
    <w:p w14:paraId="379BA588" w14:textId="77777777" w:rsidR="0040045A" w:rsidRPr="00C62363" w:rsidRDefault="0040045A" w:rsidP="00AD5A18">
      <w:pPr>
        <w:jc w:val="both"/>
        <w:rPr>
          <w:rFonts w:ascii="Century Gothic" w:hAnsi="Century Gothic" w:cs="Arial"/>
          <w:lang w:val="en-US"/>
        </w:rPr>
      </w:pPr>
    </w:p>
    <w:p w14:paraId="692A23DA" w14:textId="77777777" w:rsidR="005C4DD4" w:rsidRPr="00C62363" w:rsidRDefault="005C4DD4" w:rsidP="00AD5A18">
      <w:pPr>
        <w:jc w:val="both"/>
        <w:rPr>
          <w:rFonts w:ascii="Century Gothic" w:hAnsi="Century Gothic" w:cs="Arial"/>
          <w:lang w:val="en-US"/>
        </w:rPr>
      </w:pPr>
    </w:p>
    <w:p w14:paraId="10AE4D0C" w14:textId="77777777" w:rsidR="005C4DD4" w:rsidRPr="00C62363" w:rsidRDefault="005C4DD4" w:rsidP="005C4DD4">
      <w:pPr>
        <w:rPr>
          <w:rFonts w:ascii="Century Gothic" w:hAnsi="Century Gothic" w:cs="Arial"/>
          <w:lang w:val="en-US"/>
        </w:rPr>
      </w:pPr>
    </w:p>
    <w:p w14:paraId="09CE7997" w14:textId="77777777" w:rsidR="005C4DD4" w:rsidRPr="00C62363" w:rsidRDefault="005C4DD4" w:rsidP="005C4DD4">
      <w:pPr>
        <w:rPr>
          <w:rFonts w:ascii="Century Gothic" w:hAnsi="Century Gothic" w:cs="Arial"/>
          <w:lang w:val="en-US"/>
        </w:rPr>
      </w:pPr>
    </w:p>
    <w:p w14:paraId="511B3A1F" w14:textId="77777777" w:rsidR="005C4DD4" w:rsidRPr="00C62363" w:rsidRDefault="005C4DD4" w:rsidP="005C4DD4">
      <w:pPr>
        <w:rPr>
          <w:rFonts w:ascii="Century Gothic" w:hAnsi="Century Gothic" w:cs="Arial"/>
          <w:lang w:val="en-US"/>
        </w:rPr>
      </w:pPr>
    </w:p>
    <w:p w14:paraId="1C918DCE" w14:textId="77777777" w:rsidR="005C4DD4" w:rsidRPr="00C62363" w:rsidRDefault="005C4DD4" w:rsidP="005C4DD4">
      <w:pPr>
        <w:rPr>
          <w:rFonts w:ascii="Century Gothic" w:hAnsi="Century Gothic" w:cs="Arial"/>
          <w:lang w:val="en-US"/>
        </w:rPr>
      </w:pPr>
    </w:p>
    <w:p w14:paraId="16F9E9CF" w14:textId="77777777" w:rsidR="005C4DD4" w:rsidRPr="00C62363" w:rsidRDefault="005C4DD4" w:rsidP="005C4DD4">
      <w:pPr>
        <w:rPr>
          <w:rFonts w:ascii="Century Gothic" w:hAnsi="Century Gothic" w:cs="Arial"/>
          <w:lang w:val="en-US"/>
        </w:rPr>
      </w:pPr>
    </w:p>
    <w:p w14:paraId="0C8B791A" w14:textId="77777777" w:rsidR="005C4DD4" w:rsidRPr="00C62363" w:rsidRDefault="005C4DD4" w:rsidP="005C4DD4">
      <w:pPr>
        <w:rPr>
          <w:rFonts w:ascii="Century Gothic" w:hAnsi="Century Gothic" w:cs="Arial"/>
          <w:lang w:val="en-US"/>
        </w:rPr>
      </w:pPr>
    </w:p>
    <w:p w14:paraId="5DB1982F" w14:textId="77777777" w:rsidR="0040045A" w:rsidRPr="00C62363" w:rsidRDefault="0040045A" w:rsidP="005C4DD4">
      <w:pPr>
        <w:rPr>
          <w:rFonts w:ascii="Century Gothic" w:hAnsi="Century Gothic" w:cs="Arial"/>
          <w:lang w:val="en-US"/>
        </w:rPr>
      </w:pPr>
    </w:p>
    <w:sectPr w:rsidR="0040045A" w:rsidRPr="00C62363" w:rsidSect="00DE6EA3">
      <w:headerReference w:type="default" r:id="rId8"/>
      <w:footerReference w:type="even" r:id="rId9"/>
      <w:footerReference w:type="default" r:id="rId10"/>
      <w:footerReference w:type="first" r:id="rId11"/>
      <w:pgSz w:w="11906" w:h="16838"/>
      <w:pgMar w:top="1440" w:right="1646" w:bottom="1440" w:left="1418" w:header="737"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BA40" w14:textId="77777777" w:rsidR="0031228C" w:rsidRDefault="0031228C">
      <w:r>
        <w:separator/>
      </w:r>
    </w:p>
  </w:endnote>
  <w:endnote w:type="continuationSeparator" w:id="0">
    <w:p w14:paraId="6C8504ED" w14:textId="77777777" w:rsidR="0031228C" w:rsidRDefault="0031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2636" w14:textId="77777777" w:rsidR="00F44405" w:rsidRDefault="00F44405">
    <w:pPr>
      <w:pStyle w:val="Footer"/>
    </w:pPr>
    <w:r>
      <w:rPr>
        <w:noProof/>
        <w:lang w:val="en-US"/>
      </w:rPr>
      <mc:AlternateContent>
        <mc:Choice Requires="wps">
          <w:drawing>
            <wp:anchor distT="0" distB="0" distL="0" distR="0" simplePos="0" relativeHeight="251659264" behindDoc="0" locked="0" layoutInCell="1" allowOverlap="1" wp14:anchorId="7C3862E9" wp14:editId="1A377796">
              <wp:simplePos x="635" y="635"/>
              <wp:positionH relativeFrom="leftMargin">
                <wp:align>left</wp:align>
              </wp:positionH>
              <wp:positionV relativeFrom="paragraph">
                <wp:posOffset>635</wp:posOffset>
              </wp:positionV>
              <wp:extent cx="443865" cy="443865"/>
              <wp:effectExtent l="0" t="0" r="12065" b="16510"/>
              <wp:wrapSquare wrapText="bothSides"/>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5CBA32" w14:textId="77777777" w:rsidR="00F44405" w:rsidRPr="00F44405" w:rsidRDefault="00F44405">
                          <w:pPr>
                            <w:rPr>
                              <w:rFonts w:ascii="Calibri" w:eastAsia="Calibri" w:hAnsi="Calibri" w:cs="Calibri"/>
                              <w:color w:val="000000"/>
                              <w:sz w:val="20"/>
                            </w:rPr>
                          </w:pPr>
                          <w:r w:rsidRPr="00F44405">
                            <w:rPr>
                              <w:rFonts w:ascii="Calibri" w:eastAsia="Calibri" w:hAnsi="Calibri" w:cs="Calibri"/>
                              <w:color w:val="000000"/>
                              <w:sz w:val="20"/>
                            </w:rPr>
                            <w:t>Classification: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C3862E9" id="_x0000_t202" coordsize="21600,21600" o:spt="202" path="m,l,21600r21600,l21600,xe">
              <v:stroke joinstyle="miter"/>
              <v:path gradientshapeok="t" o:connecttype="rect"/>
            </v:shapetype>
            <v:shape id="Text Box 3" o:spid="_x0000_s1026" type="#_x0000_t202" alt="Classification: Public"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B5CBA32" w14:textId="77777777" w:rsidR="00F44405" w:rsidRPr="00F44405" w:rsidRDefault="00F44405">
                    <w:pPr>
                      <w:rPr>
                        <w:rFonts w:ascii="Calibri" w:eastAsia="Calibri" w:hAnsi="Calibri" w:cs="Calibri"/>
                        <w:color w:val="000000"/>
                        <w:sz w:val="20"/>
                      </w:rPr>
                    </w:pPr>
                    <w:r w:rsidRPr="00F44405">
                      <w:rPr>
                        <w:rFonts w:ascii="Calibri" w:eastAsia="Calibri" w:hAnsi="Calibri" w:cs="Calibri"/>
                        <w:color w:val="000000"/>
                        <w:sz w:val="20"/>
                      </w:rPr>
                      <w:t>Classification: 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305D" w14:textId="1BA4ED32" w:rsidR="004641C6" w:rsidRPr="00E72D7F" w:rsidRDefault="004641C6" w:rsidP="004641C6">
    <w:pPr>
      <w:pStyle w:val="Footer"/>
      <w:pBdr>
        <w:top w:val="single" w:sz="4" w:space="1" w:color="auto"/>
      </w:pBdr>
      <w:tabs>
        <w:tab w:val="center" w:pos="8647"/>
        <w:tab w:val="right" w:pos="8931"/>
      </w:tabs>
      <w:spacing w:after="60"/>
      <w:ind w:left="-567" w:right="-514"/>
      <w:jc w:val="center"/>
      <w:rPr>
        <w:b/>
        <w:color w:val="002060"/>
        <w:sz w:val="16"/>
        <w:szCs w:val="14"/>
        <w:lang w:val="en-US"/>
      </w:rPr>
    </w:pPr>
    <w:r>
      <w:rPr>
        <w:b/>
        <w:color w:val="002060"/>
        <w:sz w:val="16"/>
        <w:szCs w:val="14"/>
        <w:lang w:val="en-US"/>
      </w:rPr>
      <w:t>S</w:t>
    </w:r>
    <w:r w:rsidRPr="00E72D7F">
      <w:rPr>
        <w:b/>
        <w:color w:val="002060"/>
        <w:sz w:val="16"/>
        <w:szCs w:val="14"/>
        <w:lang w:val="en-US"/>
      </w:rPr>
      <w:t>pace Hellas S.A.</w:t>
    </w:r>
  </w:p>
  <w:p w14:paraId="64694E61" w14:textId="77777777" w:rsidR="004641C6" w:rsidRPr="00E72D7F" w:rsidRDefault="004641C6" w:rsidP="004641C6">
    <w:pPr>
      <w:pStyle w:val="Footer"/>
      <w:pBdr>
        <w:top w:val="single" w:sz="4" w:space="1" w:color="auto"/>
      </w:pBdr>
      <w:tabs>
        <w:tab w:val="center" w:pos="8647"/>
        <w:tab w:val="right" w:pos="8931"/>
      </w:tabs>
      <w:spacing w:after="60"/>
      <w:ind w:left="-567" w:right="-514"/>
      <w:jc w:val="center"/>
      <w:rPr>
        <w:color w:val="002060"/>
        <w:sz w:val="16"/>
        <w:szCs w:val="14"/>
        <w:lang w:val="en-US"/>
      </w:rPr>
    </w:pPr>
    <w:r w:rsidRPr="00E72D7F">
      <w:rPr>
        <w:color w:val="002060"/>
        <w:sz w:val="16"/>
        <w:szCs w:val="14"/>
        <w:lang w:val="en-US"/>
      </w:rPr>
      <w:t>Telecommunications, IT, Security Systems and Services – Private Enterprise for Provision of Security Services</w:t>
    </w:r>
  </w:p>
  <w:p w14:paraId="36F0BCF9" w14:textId="77777777" w:rsidR="004641C6" w:rsidRPr="00E72D7F" w:rsidRDefault="004641C6" w:rsidP="004641C6">
    <w:pPr>
      <w:pStyle w:val="Footer"/>
      <w:pBdr>
        <w:top w:val="single" w:sz="4" w:space="1" w:color="auto"/>
      </w:pBdr>
      <w:tabs>
        <w:tab w:val="center" w:pos="8647"/>
        <w:tab w:val="right" w:pos="8931"/>
      </w:tabs>
      <w:spacing w:after="60"/>
      <w:ind w:left="-567" w:right="-514"/>
      <w:jc w:val="center"/>
      <w:rPr>
        <w:color w:val="002060"/>
        <w:sz w:val="16"/>
        <w:szCs w:val="14"/>
        <w:lang w:val="en-US"/>
      </w:rPr>
    </w:pPr>
    <w:r w:rsidRPr="00E72D7F">
      <w:rPr>
        <w:color w:val="002060"/>
        <w:sz w:val="16"/>
        <w:szCs w:val="14"/>
        <w:lang w:val="en-US"/>
      </w:rPr>
      <w:t>312 Messogion Avenue, 153 41 Ag. Paraskevi, Athens, Greece – General Commercial Registry Number: 375501000</w:t>
    </w:r>
  </w:p>
  <w:p w14:paraId="02D52EB7" w14:textId="4C8E7F36" w:rsidR="000A1290" w:rsidRPr="004641C6" w:rsidRDefault="004641C6" w:rsidP="004641C6">
    <w:pPr>
      <w:pStyle w:val="Footer"/>
      <w:spacing w:after="60"/>
      <w:ind w:left="-567" w:right="-514"/>
      <w:jc w:val="center"/>
      <w:rPr>
        <w:rFonts w:ascii="Century Gothic" w:hAnsi="Century Gothic"/>
        <w:i/>
        <w:color w:val="002060"/>
        <w:sz w:val="16"/>
        <w:lang w:val="en-US"/>
      </w:rPr>
    </w:pPr>
    <w:r w:rsidRPr="00E72D7F">
      <w:rPr>
        <w:color w:val="002060"/>
        <w:sz w:val="16"/>
        <w:szCs w:val="14"/>
        <w:lang w:val="en-US"/>
      </w:rPr>
      <w:t>Classification ISO27001: Public</w:t>
    </w:r>
  </w:p>
  <w:p w14:paraId="476DD8F4" w14:textId="77777777" w:rsidR="005C4DD4" w:rsidRPr="004641C6" w:rsidRDefault="005C4DD4" w:rsidP="000A1290">
    <w:pPr>
      <w:pStyle w:val="Footer"/>
      <w:spacing w:after="60"/>
      <w:ind w:left="-567" w:right="-514"/>
      <w:jc w:val="center"/>
      <w:rPr>
        <w:i/>
        <w:color w:val="002060"/>
        <w:sz w:val="16"/>
        <w:lang w:val="en-US"/>
      </w:rPr>
    </w:pPr>
  </w:p>
  <w:p w14:paraId="5C28E481" w14:textId="41BE9752" w:rsidR="004B5CFA" w:rsidRPr="004641C6" w:rsidRDefault="005C4DD4" w:rsidP="009A6FF3">
    <w:pPr>
      <w:pStyle w:val="Footer"/>
      <w:tabs>
        <w:tab w:val="center" w:pos="8647"/>
        <w:tab w:val="right" w:pos="8931"/>
      </w:tabs>
      <w:spacing w:after="60"/>
      <w:ind w:left="-567" w:right="-514"/>
      <w:jc w:val="center"/>
      <w:rPr>
        <w:b/>
        <w:lang w:val="en-US"/>
      </w:rPr>
    </w:pPr>
    <w:r w:rsidRPr="009A6FF3">
      <w:rPr>
        <w:rStyle w:val="Strong"/>
        <w:rFonts w:ascii="Century Gothic" w:hAnsi="Century Gothic"/>
        <w:b w:val="0"/>
        <w:color w:val="002060"/>
        <w:sz w:val="18"/>
        <w:szCs w:val="18"/>
        <w:lang w:val="en-GB"/>
      </w:rPr>
      <w:t>Space</w:t>
    </w:r>
    <w:r w:rsidRPr="004641C6">
      <w:rPr>
        <w:rStyle w:val="Strong"/>
        <w:rFonts w:ascii="Century Gothic" w:hAnsi="Century Gothic"/>
        <w:b w:val="0"/>
        <w:color w:val="002060"/>
        <w:sz w:val="18"/>
        <w:szCs w:val="18"/>
        <w:lang w:val="en-US"/>
      </w:rPr>
      <w:t xml:space="preserve"> </w:t>
    </w:r>
    <w:r w:rsidRPr="009A6FF3">
      <w:rPr>
        <w:rStyle w:val="Strong"/>
        <w:rFonts w:ascii="Century Gothic" w:hAnsi="Century Gothic"/>
        <w:b w:val="0"/>
        <w:color w:val="002060"/>
        <w:sz w:val="18"/>
        <w:szCs w:val="18"/>
        <w:lang w:val="en-GB"/>
      </w:rPr>
      <w:t>Hellas</w:t>
    </w:r>
    <w:r w:rsidR="004641C6">
      <w:rPr>
        <w:rStyle w:val="Strong"/>
        <w:rFonts w:ascii="Century Gothic" w:hAnsi="Century Gothic"/>
        <w:b w:val="0"/>
        <w:color w:val="002060"/>
        <w:sz w:val="18"/>
        <w:szCs w:val="18"/>
        <w:lang w:val="en-GB"/>
      </w:rPr>
      <w:t xml:space="preserve"> Press Office</w:t>
    </w:r>
    <w:r w:rsidRPr="004641C6">
      <w:rPr>
        <w:rStyle w:val="Strong"/>
        <w:rFonts w:ascii="Century Gothic" w:hAnsi="Century Gothic"/>
        <w:b w:val="0"/>
        <w:color w:val="002060"/>
        <w:sz w:val="18"/>
        <w:szCs w:val="18"/>
        <w:lang w:val="en-US"/>
      </w:rPr>
      <w:t xml:space="preserve"> </w:t>
    </w:r>
    <w:r w:rsidRPr="009A6FF3">
      <w:rPr>
        <w:rStyle w:val="Strong"/>
        <w:rFonts w:ascii="Century Gothic" w:hAnsi="Century Gothic"/>
        <w:b w:val="0"/>
        <w:color w:val="002060"/>
        <w:sz w:val="18"/>
        <w:szCs w:val="18"/>
        <w:lang w:val="el-GR"/>
      </w:rPr>
      <w:t>Τ</w:t>
    </w:r>
    <w:r w:rsidRPr="004641C6">
      <w:rPr>
        <w:rStyle w:val="Strong"/>
        <w:rFonts w:ascii="Century Gothic" w:hAnsi="Century Gothic"/>
        <w:b w:val="0"/>
        <w:color w:val="002060"/>
        <w:sz w:val="18"/>
        <w:szCs w:val="18"/>
        <w:lang w:val="en-US"/>
      </w:rPr>
      <w:t xml:space="preserve">: 210 6504293 </w:t>
    </w:r>
    <w:r w:rsidRPr="009A6FF3">
      <w:rPr>
        <w:rStyle w:val="Strong"/>
        <w:rFonts w:ascii="Century Gothic" w:hAnsi="Century Gothic"/>
        <w:b w:val="0"/>
        <w:color w:val="002060"/>
        <w:sz w:val="18"/>
        <w:szCs w:val="18"/>
        <w:lang w:val="en-GB"/>
      </w:rPr>
      <w:t>e</w:t>
    </w:r>
    <w:r w:rsidRPr="004641C6">
      <w:rPr>
        <w:rStyle w:val="Strong"/>
        <w:rFonts w:ascii="Century Gothic" w:hAnsi="Century Gothic"/>
        <w:b w:val="0"/>
        <w:color w:val="002060"/>
        <w:sz w:val="18"/>
        <w:szCs w:val="18"/>
        <w:lang w:val="en-US"/>
      </w:rPr>
      <w:t>-</w:t>
    </w:r>
    <w:r w:rsidRPr="009A6FF3">
      <w:rPr>
        <w:rStyle w:val="Strong"/>
        <w:rFonts w:ascii="Century Gothic" w:hAnsi="Century Gothic"/>
        <w:b w:val="0"/>
        <w:color w:val="002060"/>
        <w:sz w:val="18"/>
        <w:szCs w:val="18"/>
        <w:lang w:val="en-GB"/>
      </w:rPr>
      <w:t>mail</w:t>
    </w:r>
    <w:r w:rsidRPr="004641C6">
      <w:rPr>
        <w:rStyle w:val="Strong"/>
        <w:rFonts w:ascii="Century Gothic" w:hAnsi="Century Gothic"/>
        <w:b w:val="0"/>
        <w:color w:val="002060"/>
        <w:sz w:val="18"/>
        <w:szCs w:val="18"/>
        <w:lang w:val="en-US"/>
      </w:rPr>
      <w:t xml:space="preserve">: </w:t>
    </w:r>
    <w:r w:rsidRPr="009A6FF3">
      <w:rPr>
        <w:rStyle w:val="Strong"/>
        <w:rFonts w:ascii="Century Gothic" w:hAnsi="Century Gothic"/>
        <w:b w:val="0"/>
        <w:color w:val="002060"/>
        <w:sz w:val="18"/>
        <w:szCs w:val="18"/>
        <w:lang w:val="en-GB"/>
      </w:rPr>
      <w:t>press</w:t>
    </w:r>
    <w:r w:rsidRPr="004641C6">
      <w:rPr>
        <w:rStyle w:val="Strong"/>
        <w:rFonts w:ascii="Century Gothic" w:hAnsi="Century Gothic"/>
        <w:b w:val="0"/>
        <w:color w:val="002060"/>
        <w:sz w:val="18"/>
        <w:szCs w:val="18"/>
        <w:lang w:val="en-US"/>
      </w:rPr>
      <w:t>@</w:t>
    </w:r>
    <w:r w:rsidRPr="009A6FF3">
      <w:rPr>
        <w:rStyle w:val="Strong"/>
        <w:rFonts w:ascii="Century Gothic" w:hAnsi="Century Gothic"/>
        <w:b w:val="0"/>
        <w:color w:val="002060"/>
        <w:sz w:val="18"/>
        <w:szCs w:val="18"/>
        <w:lang w:val="en-GB"/>
      </w:rPr>
      <w:t>space</w:t>
    </w:r>
    <w:r w:rsidRPr="004641C6">
      <w:rPr>
        <w:rStyle w:val="Strong"/>
        <w:rFonts w:ascii="Century Gothic" w:hAnsi="Century Gothic"/>
        <w:b w:val="0"/>
        <w:color w:val="002060"/>
        <w:sz w:val="18"/>
        <w:szCs w:val="18"/>
        <w:lang w:val="en-US"/>
      </w:rPr>
      <w:t>.</w:t>
    </w:r>
    <w:r w:rsidRPr="009A6FF3">
      <w:rPr>
        <w:rStyle w:val="Strong"/>
        <w:rFonts w:ascii="Century Gothic" w:hAnsi="Century Gothic"/>
        <w:b w:val="0"/>
        <w:color w:val="002060"/>
        <w:sz w:val="18"/>
        <w:szCs w:val="18"/>
        <w:lang w:val="en-GB"/>
      </w:rPr>
      <w:t>gr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D1CA" w14:textId="77777777" w:rsidR="00F44405" w:rsidRDefault="00F44405">
    <w:pPr>
      <w:pStyle w:val="Footer"/>
    </w:pPr>
    <w:r>
      <w:rPr>
        <w:noProof/>
        <w:lang w:val="en-US"/>
      </w:rPr>
      <mc:AlternateContent>
        <mc:Choice Requires="wps">
          <w:drawing>
            <wp:anchor distT="0" distB="0" distL="0" distR="0" simplePos="0" relativeHeight="251658240" behindDoc="0" locked="0" layoutInCell="1" allowOverlap="1" wp14:anchorId="78B0BBBA" wp14:editId="2F1ECAF4">
              <wp:simplePos x="635" y="635"/>
              <wp:positionH relativeFrom="leftMargin">
                <wp:align>left</wp:align>
              </wp:positionH>
              <wp:positionV relativeFrom="paragraph">
                <wp:posOffset>635</wp:posOffset>
              </wp:positionV>
              <wp:extent cx="443865" cy="443865"/>
              <wp:effectExtent l="0" t="0" r="12065" b="16510"/>
              <wp:wrapSquare wrapText="bothSides"/>
              <wp:docPr id="2"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F7616" w14:textId="77777777" w:rsidR="00F44405" w:rsidRPr="00F44405" w:rsidRDefault="00F44405">
                          <w:pPr>
                            <w:rPr>
                              <w:rFonts w:ascii="Calibri" w:eastAsia="Calibri" w:hAnsi="Calibri" w:cs="Calibri"/>
                              <w:color w:val="000000"/>
                              <w:sz w:val="20"/>
                            </w:rPr>
                          </w:pPr>
                          <w:r w:rsidRPr="00F44405">
                            <w:rPr>
                              <w:rFonts w:ascii="Calibri" w:eastAsia="Calibri" w:hAnsi="Calibri" w:cs="Calibri"/>
                              <w:color w:val="000000"/>
                              <w:sz w:val="20"/>
                            </w:rPr>
                            <w:t>Classification: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B0BBBA" id="_x0000_t202" coordsize="21600,21600" o:spt="202" path="m,l,21600r21600,l21600,xe">
              <v:stroke joinstyle="miter"/>
              <v:path gradientshapeok="t" o:connecttype="rect"/>
            </v:shapetype>
            <v:shape id="Text Box 2" o:spid="_x0000_s1027" type="#_x0000_t202" alt="Classification: Public"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0EF7616" w14:textId="77777777" w:rsidR="00F44405" w:rsidRPr="00F44405" w:rsidRDefault="00F44405">
                    <w:pPr>
                      <w:rPr>
                        <w:rFonts w:ascii="Calibri" w:eastAsia="Calibri" w:hAnsi="Calibri" w:cs="Calibri"/>
                        <w:color w:val="000000"/>
                        <w:sz w:val="20"/>
                      </w:rPr>
                    </w:pPr>
                    <w:r w:rsidRPr="00F44405">
                      <w:rPr>
                        <w:rFonts w:ascii="Calibri" w:eastAsia="Calibri" w:hAnsi="Calibri" w:cs="Calibri"/>
                        <w:color w:val="000000"/>
                        <w:sz w:val="20"/>
                      </w:rPr>
                      <w:t>Classification: Public</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C922" w14:textId="77777777" w:rsidR="0031228C" w:rsidRDefault="0031228C">
      <w:r>
        <w:separator/>
      </w:r>
    </w:p>
  </w:footnote>
  <w:footnote w:type="continuationSeparator" w:id="0">
    <w:p w14:paraId="278D7466" w14:textId="77777777" w:rsidR="0031228C" w:rsidRDefault="00312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50F1" w14:textId="77777777" w:rsidR="005A3CCD" w:rsidRDefault="005A3CCD" w:rsidP="005A3CCD">
    <w:pPr>
      <w:jc w:val="right"/>
    </w:pPr>
    <w:r w:rsidRPr="00A8405E">
      <w:rPr>
        <w:rFonts w:ascii="Tahoma" w:hAnsi="Tahoma" w:cs="Tahoma"/>
        <w:b/>
        <w:noProof/>
        <w:color w:val="000080"/>
        <w:sz w:val="48"/>
        <w:lang w:val="en-US"/>
      </w:rPr>
      <w:drawing>
        <wp:inline distT="0" distB="0" distL="0" distR="0" wp14:anchorId="75CD49A1" wp14:editId="5F8E96B4">
          <wp:extent cx="2207622" cy="525843"/>
          <wp:effectExtent l="0" t="0" r="2540" b="7620"/>
          <wp:docPr id="5"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4650" cy="534663"/>
                  </a:xfrm>
                  <a:prstGeom prst="rect">
                    <a:avLst/>
                  </a:prstGeom>
                  <a:noFill/>
                  <a:ln>
                    <a:noFill/>
                  </a:ln>
                </pic:spPr>
              </pic:pic>
            </a:graphicData>
          </a:graphic>
        </wp:inline>
      </w:drawing>
    </w:r>
  </w:p>
  <w:tbl>
    <w:tblPr>
      <w:tblW w:w="15311" w:type="dxa"/>
      <w:tblInd w:w="-176" w:type="dxa"/>
      <w:tblLook w:val="0000" w:firstRow="0" w:lastRow="0" w:firstColumn="0" w:lastColumn="0" w:noHBand="0" w:noVBand="0"/>
    </w:tblPr>
    <w:tblGrid>
      <w:gridCol w:w="4253"/>
      <w:gridCol w:w="5529"/>
      <w:gridCol w:w="5529"/>
    </w:tblGrid>
    <w:tr w:rsidR="005A3CCD" w:rsidRPr="004B5CFA" w14:paraId="4E81E597" w14:textId="77777777" w:rsidTr="005A3CCD">
      <w:tc>
        <w:tcPr>
          <w:tcW w:w="4253" w:type="dxa"/>
        </w:tcPr>
        <w:p w14:paraId="599A2D27" w14:textId="3D7B5B6F" w:rsidR="005A3CCD" w:rsidRPr="005A3CCD" w:rsidRDefault="005A3CCD" w:rsidP="000A1290">
          <w:pPr>
            <w:pStyle w:val="Contact"/>
            <w:framePr w:w="0" w:hSpace="0" w:wrap="auto" w:vAnchor="margin" w:hAnchor="text" w:xAlign="left" w:yAlign="inline"/>
            <w:spacing w:line="240" w:lineRule="auto"/>
            <w:rPr>
              <w:rStyle w:val="Emphasis"/>
              <w:rFonts w:ascii="Century Gothic" w:hAnsi="Century Gothic" w:cs="Arial"/>
              <w:b/>
              <w:color w:val="002060"/>
              <w:sz w:val="32"/>
              <w:szCs w:val="32"/>
              <w:lang w:val="el-GR"/>
            </w:rPr>
          </w:pPr>
          <w:r>
            <w:rPr>
              <w:rStyle w:val="Emphasis"/>
              <w:rFonts w:ascii="Century Gothic" w:hAnsi="Century Gothic" w:cs="Arial"/>
              <w:b/>
              <w:color w:val="002060"/>
              <w:sz w:val="32"/>
              <w:szCs w:val="32"/>
              <w:lang w:val="el-GR"/>
            </w:rPr>
            <w:t xml:space="preserve"> </w:t>
          </w:r>
          <w:r w:rsidR="00C55280">
            <w:rPr>
              <w:rStyle w:val="Emphasis"/>
              <w:rFonts w:ascii="Century Gothic" w:hAnsi="Century Gothic" w:cs="Arial"/>
              <w:b/>
              <w:color w:val="002060"/>
              <w:sz w:val="32"/>
              <w:szCs w:val="32"/>
              <w:lang w:val="en-US"/>
            </w:rPr>
            <w:t>P</w:t>
          </w:r>
          <w:r w:rsidR="00C55280">
            <w:rPr>
              <w:rStyle w:val="Emphasis"/>
              <w:rFonts w:ascii="Century Gothic" w:hAnsi="Century Gothic" w:cs="Arial"/>
              <w:b/>
              <w:color w:val="002060"/>
              <w:sz w:val="32"/>
              <w:szCs w:val="32"/>
            </w:rPr>
            <w:t>ress Release</w:t>
          </w:r>
          <w:r w:rsidRPr="005A3CCD">
            <w:rPr>
              <w:rStyle w:val="Emphasis"/>
              <w:rFonts w:ascii="Century Gothic" w:hAnsi="Century Gothic" w:cs="Arial"/>
              <w:b/>
              <w:color w:val="002060"/>
              <w:sz w:val="32"/>
              <w:szCs w:val="32"/>
              <w:lang w:val="el-GR"/>
            </w:rPr>
            <w:t xml:space="preserve"> </w:t>
          </w:r>
        </w:p>
        <w:p w14:paraId="0AC317E6" w14:textId="77777777" w:rsidR="005A3CCD" w:rsidRPr="000A1290" w:rsidRDefault="005A3CCD" w:rsidP="005A3CCD">
          <w:pPr>
            <w:pStyle w:val="Contact"/>
            <w:framePr w:wrap="notBeside"/>
          </w:pPr>
        </w:p>
      </w:tc>
      <w:tc>
        <w:tcPr>
          <w:tcW w:w="5529" w:type="dxa"/>
        </w:tcPr>
        <w:p w14:paraId="79788727" w14:textId="77777777" w:rsidR="005A3CCD" w:rsidRDefault="005A3CCD">
          <w:pPr>
            <w:pStyle w:val="Contact"/>
            <w:framePr w:w="0" w:hSpace="0" w:wrap="auto" w:vAnchor="margin" w:hAnchor="text" w:xAlign="left" w:yAlign="inline"/>
            <w:spacing w:line="240" w:lineRule="auto"/>
            <w:jc w:val="right"/>
            <w:rPr>
              <w:rStyle w:val="Emphasis"/>
              <w:lang w:val="el-GR"/>
            </w:rPr>
          </w:pPr>
        </w:p>
      </w:tc>
      <w:tc>
        <w:tcPr>
          <w:tcW w:w="5529" w:type="dxa"/>
        </w:tcPr>
        <w:p w14:paraId="1FE5D0A4" w14:textId="77777777" w:rsidR="005A3CCD" w:rsidRDefault="005A3CCD">
          <w:pPr>
            <w:pStyle w:val="Contact"/>
            <w:framePr w:w="0" w:hSpace="0" w:wrap="auto" w:vAnchor="margin" w:hAnchor="text" w:xAlign="left" w:yAlign="inline"/>
            <w:spacing w:line="240" w:lineRule="auto"/>
            <w:jc w:val="right"/>
            <w:rPr>
              <w:rStyle w:val="Emphasis"/>
              <w:lang w:val="el-GR"/>
            </w:rPr>
          </w:pPr>
        </w:p>
      </w:tc>
    </w:tr>
  </w:tbl>
  <w:p w14:paraId="6851ACAB" w14:textId="77777777" w:rsidR="004B5CFA" w:rsidRPr="004B5CFA" w:rsidRDefault="004B5CFA" w:rsidP="00741D03">
    <w:pPr>
      <w:pStyle w:val="Contact"/>
      <w:framePr w:w="0" w:hSpace="0" w:wrap="auto" w:vAnchor="margin" w:hAnchor="text" w:xAlign="left" w:yAlign="inline"/>
      <w:spacing w:line="240" w:lineRule="auto"/>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0EA3"/>
    <w:multiLevelType w:val="hybridMultilevel"/>
    <w:tmpl w:val="69B22A70"/>
    <w:lvl w:ilvl="0" w:tplc="B8BEE6B8">
      <w:start w:val="1"/>
      <w:numFmt w:val="lowerRoman"/>
      <w:lvlText w:val="%1."/>
      <w:lvlJc w:val="right"/>
      <w:pPr>
        <w:tabs>
          <w:tab w:val="num" w:pos="1080"/>
        </w:tabs>
        <w:ind w:left="1080" w:hanging="360"/>
      </w:pPr>
      <w:rPr>
        <w:rFonts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1" w15:restartNumberingAfterBreak="0">
    <w:nsid w:val="413E33C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98D47B5"/>
    <w:multiLevelType w:val="hybridMultilevel"/>
    <w:tmpl w:val="09B26834"/>
    <w:lvl w:ilvl="0" w:tplc="C228EC7A">
      <w:start w:val="1"/>
      <w:numFmt w:val="bullet"/>
      <w:pStyle w:val="Style2"/>
      <w:lvlText w:val=""/>
      <w:lvlJc w:val="left"/>
      <w:pPr>
        <w:tabs>
          <w:tab w:val="num" w:pos="1800"/>
        </w:tabs>
        <w:ind w:left="1800" w:hanging="360"/>
      </w:pPr>
      <w:rPr>
        <w:rFonts w:ascii="Symbol" w:hAnsi="Symbol" w:hint="default"/>
      </w:rPr>
    </w:lvl>
    <w:lvl w:ilvl="1" w:tplc="13C61A96">
      <w:numFmt w:val="bullet"/>
      <w:lvlText w:val=""/>
      <w:lvlJc w:val="left"/>
      <w:pPr>
        <w:tabs>
          <w:tab w:val="num" w:pos="1440"/>
        </w:tabs>
        <w:ind w:left="1440" w:hanging="360"/>
      </w:pPr>
      <w:rPr>
        <w:rFonts w:ascii="Symbol" w:eastAsia="Times New Roman" w:hAnsi="Symbol"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ED2E4F"/>
    <w:multiLevelType w:val="hybridMultilevel"/>
    <w:tmpl w:val="25A69A1E"/>
    <w:lvl w:ilvl="0" w:tplc="FFFFFFFF">
      <w:start w:val="1"/>
      <w:numFmt w:val="decimal"/>
      <w:lvlText w:val="%1."/>
      <w:lvlJc w:val="left"/>
      <w:pPr>
        <w:tabs>
          <w:tab w:val="num" w:pos="795"/>
        </w:tabs>
        <w:ind w:left="795" w:hanging="360"/>
      </w:pPr>
    </w:lvl>
    <w:lvl w:ilvl="1" w:tplc="13C61A96">
      <w:start w:val="1"/>
      <w:numFmt w:val="lowerLetter"/>
      <w:lvlText w:val="%2."/>
      <w:lvlJc w:val="left"/>
      <w:pPr>
        <w:tabs>
          <w:tab w:val="num" w:pos="1515"/>
        </w:tabs>
        <w:ind w:left="1515" w:hanging="360"/>
      </w:pPr>
    </w:lvl>
    <w:lvl w:ilvl="2" w:tplc="FFFFFFFF">
      <w:numFmt w:val="bullet"/>
      <w:lvlText w:val="-"/>
      <w:lvlJc w:val="left"/>
      <w:pPr>
        <w:tabs>
          <w:tab w:val="num" w:pos="2415"/>
        </w:tabs>
        <w:ind w:left="2415" w:hanging="360"/>
      </w:pPr>
      <w:rPr>
        <w:rFonts w:ascii="Tahoma" w:eastAsia="Times New Roman" w:hAnsi="Tahoma" w:cs="Tahoma" w:hint="default"/>
      </w:r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4" w15:restartNumberingAfterBreak="0">
    <w:nsid w:val="7C6E4DB7"/>
    <w:multiLevelType w:val="multilevel"/>
    <w:tmpl w:val="676E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78"/>
    <w:rsid w:val="000004E3"/>
    <w:rsid w:val="0001012F"/>
    <w:rsid w:val="00012CCA"/>
    <w:rsid w:val="0001576B"/>
    <w:rsid w:val="00023302"/>
    <w:rsid w:val="000344BA"/>
    <w:rsid w:val="000367A5"/>
    <w:rsid w:val="00044514"/>
    <w:rsid w:val="0005678D"/>
    <w:rsid w:val="00060592"/>
    <w:rsid w:val="000801D6"/>
    <w:rsid w:val="00081494"/>
    <w:rsid w:val="00083FB1"/>
    <w:rsid w:val="00084CC7"/>
    <w:rsid w:val="000854C0"/>
    <w:rsid w:val="000960E8"/>
    <w:rsid w:val="000A1290"/>
    <w:rsid w:val="000A2CDD"/>
    <w:rsid w:val="000B5E32"/>
    <w:rsid w:val="000B705C"/>
    <w:rsid w:val="000B7C7E"/>
    <w:rsid w:val="000D323C"/>
    <w:rsid w:val="000E1089"/>
    <w:rsid w:val="000E7008"/>
    <w:rsid w:val="0012461F"/>
    <w:rsid w:val="00126CB8"/>
    <w:rsid w:val="001329AF"/>
    <w:rsid w:val="001351A1"/>
    <w:rsid w:val="001354C5"/>
    <w:rsid w:val="001429D9"/>
    <w:rsid w:val="00146662"/>
    <w:rsid w:val="001505C0"/>
    <w:rsid w:val="00155AD8"/>
    <w:rsid w:val="00161AA3"/>
    <w:rsid w:val="00164846"/>
    <w:rsid w:val="001937A1"/>
    <w:rsid w:val="00196A8B"/>
    <w:rsid w:val="001A1A79"/>
    <w:rsid w:val="001B6A2E"/>
    <w:rsid w:val="001D1E3B"/>
    <w:rsid w:val="001D7137"/>
    <w:rsid w:val="001F25C1"/>
    <w:rsid w:val="00201D96"/>
    <w:rsid w:val="00202685"/>
    <w:rsid w:val="002045F4"/>
    <w:rsid w:val="00204722"/>
    <w:rsid w:val="002049D9"/>
    <w:rsid w:val="00206295"/>
    <w:rsid w:val="00210699"/>
    <w:rsid w:val="00211C37"/>
    <w:rsid w:val="002207A2"/>
    <w:rsid w:val="002223A5"/>
    <w:rsid w:val="002329E5"/>
    <w:rsid w:val="0023340F"/>
    <w:rsid w:val="002405A6"/>
    <w:rsid w:val="00244954"/>
    <w:rsid w:val="002462D3"/>
    <w:rsid w:val="00246AAB"/>
    <w:rsid w:val="0024721E"/>
    <w:rsid w:val="00272B33"/>
    <w:rsid w:val="00273657"/>
    <w:rsid w:val="00273981"/>
    <w:rsid w:val="002749CD"/>
    <w:rsid w:val="002753CF"/>
    <w:rsid w:val="00284836"/>
    <w:rsid w:val="002917EF"/>
    <w:rsid w:val="002A5C1C"/>
    <w:rsid w:val="002B38AC"/>
    <w:rsid w:val="002C090F"/>
    <w:rsid w:val="002C552F"/>
    <w:rsid w:val="002D0461"/>
    <w:rsid w:val="002D78D9"/>
    <w:rsid w:val="002F447E"/>
    <w:rsid w:val="003018DF"/>
    <w:rsid w:val="0031228C"/>
    <w:rsid w:val="003145F5"/>
    <w:rsid w:val="003154A5"/>
    <w:rsid w:val="003178C1"/>
    <w:rsid w:val="00323CC3"/>
    <w:rsid w:val="003327FF"/>
    <w:rsid w:val="00344AB5"/>
    <w:rsid w:val="00352D29"/>
    <w:rsid w:val="00355218"/>
    <w:rsid w:val="00357B98"/>
    <w:rsid w:val="00364251"/>
    <w:rsid w:val="003700FF"/>
    <w:rsid w:val="00373FD2"/>
    <w:rsid w:val="00391F05"/>
    <w:rsid w:val="00392B7B"/>
    <w:rsid w:val="003939EA"/>
    <w:rsid w:val="0039651B"/>
    <w:rsid w:val="003977E9"/>
    <w:rsid w:val="003A25E3"/>
    <w:rsid w:val="003B78D6"/>
    <w:rsid w:val="003C5AB2"/>
    <w:rsid w:val="003D035A"/>
    <w:rsid w:val="003D1C3F"/>
    <w:rsid w:val="003D719A"/>
    <w:rsid w:val="003E36A6"/>
    <w:rsid w:val="004003BF"/>
    <w:rsid w:val="0040045A"/>
    <w:rsid w:val="0040114E"/>
    <w:rsid w:val="00405D81"/>
    <w:rsid w:val="0040646E"/>
    <w:rsid w:val="0041200A"/>
    <w:rsid w:val="00435181"/>
    <w:rsid w:val="00441419"/>
    <w:rsid w:val="004445EE"/>
    <w:rsid w:val="00450F73"/>
    <w:rsid w:val="004641C6"/>
    <w:rsid w:val="00471FDA"/>
    <w:rsid w:val="00472B05"/>
    <w:rsid w:val="004760FB"/>
    <w:rsid w:val="00477486"/>
    <w:rsid w:val="0049179E"/>
    <w:rsid w:val="004B5CFA"/>
    <w:rsid w:val="004B7D6B"/>
    <w:rsid w:val="004D3C6F"/>
    <w:rsid w:val="004D71CC"/>
    <w:rsid w:val="004E01D6"/>
    <w:rsid w:val="004E4475"/>
    <w:rsid w:val="004F7284"/>
    <w:rsid w:val="00505307"/>
    <w:rsid w:val="00532171"/>
    <w:rsid w:val="00545D0F"/>
    <w:rsid w:val="00550D54"/>
    <w:rsid w:val="00555C3A"/>
    <w:rsid w:val="00563F56"/>
    <w:rsid w:val="005643E8"/>
    <w:rsid w:val="00564FF5"/>
    <w:rsid w:val="005660B6"/>
    <w:rsid w:val="00570019"/>
    <w:rsid w:val="00596C3E"/>
    <w:rsid w:val="005A12C4"/>
    <w:rsid w:val="005A3CCD"/>
    <w:rsid w:val="005B0DC9"/>
    <w:rsid w:val="005B1666"/>
    <w:rsid w:val="005B5A2F"/>
    <w:rsid w:val="005C4DD4"/>
    <w:rsid w:val="005C5E85"/>
    <w:rsid w:val="005D0363"/>
    <w:rsid w:val="005D4606"/>
    <w:rsid w:val="005F27D9"/>
    <w:rsid w:val="00602867"/>
    <w:rsid w:val="00604461"/>
    <w:rsid w:val="006107A0"/>
    <w:rsid w:val="006227B0"/>
    <w:rsid w:val="00627E95"/>
    <w:rsid w:val="006459F9"/>
    <w:rsid w:val="00651BDB"/>
    <w:rsid w:val="00657018"/>
    <w:rsid w:val="00660B39"/>
    <w:rsid w:val="006627CC"/>
    <w:rsid w:val="006831B1"/>
    <w:rsid w:val="00684842"/>
    <w:rsid w:val="00684D44"/>
    <w:rsid w:val="006A0862"/>
    <w:rsid w:val="006A3509"/>
    <w:rsid w:val="006D5D0A"/>
    <w:rsid w:val="006E4EA8"/>
    <w:rsid w:val="006F150D"/>
    <w:rsid w:val="006F6268"/>
    <w:rsid w:val="00703B56"/>
    <w:rsid w:val="007059DA"/>
    <w:rsid w:val="007121A3"/>
    <w:rsid w:val="00713701"/>
    <w:rsid w:val="00715D1A"/>
    <w:rsid w:val="0071684F"/>
    <w:rsid w:val="0072028E"/>
    <w:rsid w:val="00720BD7"/>
    <w:rsid w:val="0072593F"/>
    <w:rsid w:val="00741D03"/>
    <w:rsid w:val="007616BD"/>
    <w:rsid w:val="00762603"/>
    <w:rsid w:val="00763200"/>
    <w:rsid w:val="007743E8"/>
    <w:rsid w:val="00777ED6"/>
    <w:rsid w:val="0079022B"/>
    <w:rsid w:val="00794D43"/>
    <w:rsid w:val="00795108"/>
    <w:rsid w:val="007A4A11"/>
    <w:rsid w:val="007B23BD"/>
    <w:rsid w:val="007B3478"/>
    <w:rsid w:val="007B3B61"/>
    <w:rsid w:val="007B3F6D"/>
    <w:rsid w:val="007B4E97"/>
    <w:rsid w:val="007B64CD"/>
    <w:rsid w:val="007C058A"/>
    <w:rsid w:val="007E0521"/>
    <w:rsid w:val="007E5186"/>
    <w:rsid w:val="0080128E"/>
    <w:rsid w:val="008048D1"/>
    <w:rsid w:val="00805F17"/>
    <w:rsid w:val="00810579"/>
    <w:rsid w:val="00814249"/>
    <w:rsid w:val="008146A8"/>
    <w:rsid w:val="008153FD"/>
    <w:rsid w:val="008160B8"/>
    <w:rsid w:val="0082470B"/>
    <w:rsid w:val="00832B03"/>
    <w:rsid w:val="008421B3"/>
    <w:rsid w:val="00864248"/>
    <w:rsid w:val="00884727"/>
    <w:rsid w:val="00894B6C"/>
    <w:rsid w:val="008A3A9F"/>
    <w:rsid w:val="008B5197"/>
    <w:rsid w:val="008B779C"/>
    <w:rsid w:val="008D1149"/>
    <w:rsid w:val="008D25A8"/>
    <w:rsid w:val="008E3C94"/>
    <w:rsid w:val="008E4C47"/>
    <w:rsid w:val="008E4E19"/>
    <w:rsid w:val="008F7001"/>
    <w:rsid w:val="00901FB8"/>
    <w:rsid w:val="00925D80"/>
    <w:rsid w:val="009270C2"/>
    <w:rsid w:val="00932794"/>
    <w:rsid w:val="00943831"/>
    <w:rsid w:val="00957084"/>
    <w:rsid w:val="00974E8B"/>
    <w:rsid w:val="0097711E"/>
    <w:rsid w:val="009828CF"/>
    <w:rsid w:val="00991EBE"/>
    <w:rsid w:val="009A6FF3"/>
    <w:rsid w:val="009A7664"/>
    <w:rsid w:val="009C2BFE"/>
    <w:rsid w:val="009D1CD0"/>
    <w:rsid w:val="009D1F08"/>
    <w:rsid w:val="009D4875"/>
    <w:rsid w:val="009D6D0D"/>
    <w:rsid w:val="009E1DDE"/>
    <w:rsid w:val="009E6F04"/>
    <w:rsid w:val="009F1CBA"/>
    <w:rsid w:val="009F478C"/>
    <w:rsid w:val="009F7411"/>
    <w:rsid w:val="00A00874"/>
    <w:rsid w:val="00A00FF5"/>
    <w:rsid w:val="00A1161E"/>
    <w:rsid w:val="00A15F7C"/>
    <w:rsid w:val="00A17D2B"/>
    <w:rsid w:val="00A17DCA"/>
    <w:rsid w:val="00A22D3E"/>
    <w:rsid w:val="00A34C81"/>
    <w:rsid w:val="00A34C8E"/>
    <w:rsid w:val="00A4417F"/>
    <w:rsid w:val="00A5259F"/>
    <w:rsid w:val="00A551CF"/>
    <w:rsid w:val="00A619AF"/>
    <w:rsid w:val="00A61A3E"/>
    <w:rsid w:val="00A6466E"/>
    <w:rsid w:val="00A64E81"/>
    <w:rsid w:val="00A7090E"/>
    <w:rsid w:val="00A8114D"/>
    <w:rsid w:val="00AA2E87"/>
    <w:rsid w:val="00AA429E"/>
    <w:rsid w:val="00AA7B44"/>
    <w:rsid w:val="00AB176B"/>
    <w:rsid w:val="00AC2E11"/>
    <w:rsid w:val="00AC7ECB"/>
    <w:rsid w:val="00AD2F9B"/>
    <w:rsid w:val="00AD3F43"/>
    <w:rsid w:val="00AD485D"/>
    <w:rsid w:val="00AD5A18"/>
    <w:rsid w:val="00AF5097"/>
    <w:rsid w:val="00B1010B"/>
    <w:rsid w:val="00B11EC5"/>
    <w:rsid w:val="00B22B55"/>
    <w:rsid w:val="00B22C72"/>
    <w:rsid w:val="00B27139"/>
    <w:rsid w:val="00B31B0C"/>
    <w:rsid w:val="00B33829"/>
    <w:rsid w:val="00B45ACA"/>
    <w:rsid w:val="00B47527"/>
    <w:rsid w:val="00B6383F"/>
    <w:rsid w:val="00B63F09"/>
    <w:rsid w:val="00B6633C"/>
    <w:rsid w:val="00B66A7B"/>
    <w:rsid w:val="00B80226"/>
    <w:rsid w:val="00B83A14"/>
    <w:rsid w:val="00B83FA6"/>
    <w:rsid w:val="00B864CC"/>
    <w:rsid w:val="00B96292"/>
    <w:rsid w:val="00BA3CD2"/>
    <w:rsid w:val="00BA4ACE"/>
    <w:rsid w:val="00BB253E"/>
    <w:rsid w:val="00BB3992"/>
    <w:rsid w:val="00BC6262"/>
    <w:rsid w:val="00BD3410"/>
    <w:rsid w:val="00BE3D98"/>
    <w:rsid w:val="00BE4AEE"/>
    <w:rsid w:val="00BF19AF"/>
    <w:rsid w:val="00C020F9"/>
    <w:rsid w:val="00C03692"/>
    <w:rsid w:val="00C103E6"/>
    <w:rsid w:val="00C10785"/>
    <w:rsid w:val="00C13930"/>
    <w:rsid w:val="00C25D7A"/>
    <w:rsid w:val="00C31C90"/>
    <w:rsid w:val="00C41C75"/>
    <w:rsid w:val="00C43C75"/>
    <w:rsid w:val="00C54B33"/>
    <w:rsid w:val="00C55280"/>
    <w:rsid w:val="00C62363"/>
    <w:rsid w:val="00C6284F"/>
    <w:rsid w:val="00C768AC"/>
    <w:rsid w:val="00C80AA4"/>
    <w:rsid w:val="00C811FD"/>
    <w:rsid w:val="00C92CBC"/>
    <w:rsid w:val="00CA1347"/>
    <w:rsid w:val="00CA6318"/>
    <w:rsid w:val="00CA6798"/>
    <w:rsid w:val="00CB2FBC"/>
    <w:rsid w:val="00CB4F9C"/>
    <w:rsid w:val="00CC2A2A"/>
    <w:rsid w:val="00CE5C01"/>
    <w:rsid w:val="00CE6754"/>
    <w:rsid w:val="00CF03CF"/>
    <w:rsid w:val="00CF64FF"/>
    <w:rsid w:val="00D06DB5"/>
    <w:rsid w:val="00D07D98"/>
    <w:rsid w:val="00D11EDD"/>
    <w:rsid w:val="00D158B1"/>
    <w:rsid w:val="00D23DDF"/>
    <w:rsid w:val="00D30401"/>
    <w:rsid w:val="00D35F26"/>
    <w:rsid w:val="00D46620"/>
    <w:rsid w:val="00D63299"/>
    <w:rsid w:val="00D77327"/>
    <w:rsid w:val="00D928C5"/>
    <w:rsid w:val="00D95FF8"/>
    <w:rsid w:val="00D97AB0"/>
    <w:rsid w:val="00DB0198"/>
    <w:rsid w:val="00DB7691"/>
    <w:rsid w:val="00DC159A"/>
    <w:rsid w:val="00DD3F95"/>
    <w:rsid w:val="00DE61E5"/>
    <w:rsid w:val="00DE6EA3"/>
    <w:rsid w:val="00DF0FBD"/>
    <w:rsid w:val="00DF1905"/>
    <w:rsid w:val="00DF2331"/>
    <w:rsid w:val="00DF7A8D"/>
    <w:rsid w:val="00E02BDD"/>
    <w:rsid w:val="00E043FE"/>
    <w:rsid w:val="00E04B28"/>
    <w:rsid w:val="00E157A1"/>
    <w:rsid w:val="00E240A9"/>
    <w:rsid w:val="00E26421"/>
    <w:rsid w:val="00E30EE7"/>
    <w:rsid w:val="00E370F9"/>
    <w:rsid w:val="00E41F62"/>
    <w:rsid w:val="00E4417D"/>
    <w:rsid w:val="00E53962"/>
    <w:rsid w:val="00E80C0E"/>
    <w:rsid w:val="00E81D64"/>
    <w:rsid w:val="00E855A6"/>
    <w:rsid w:val="00EA2BD4"/>
    <w:rsid w:val="00EB2A02"/>
    <w:rsid w:val="00EB56DC"/>
    <w:rsid w:val="00EB58A8"/>
    <w:rsid w:val="00ED2CDD"/>
    <w:rsid w:val="00EE1228"/>
    <w:rsid w:val="00EE72F2"/>
    <w:rsid w:val="00F02E67"/>
    <w:rsid w:val="00F11704"/>
    <w:rsid w:val="00F2609E"/>
    <w:rsid w:val="00F44405"/>
    <w:rsid w:val="00F51C0A"/>
    <w:rsid w:val="00F5589B"/>
    <w:rsid w:val="00F55CE4"/>
    <w:rsid w:val="00F94D18"/>
    <w:rsid w:val="00FA01DE"/>
    <w:rsid w:val="00FA6CBD"/>
    <w:rsid w:val="00FB05AE"/>
    <w:rsid w:val="00FB37FC"/>
    <w:rsid w:val="00FB5D99"/>
    <w:rsid w:val="00FC4EFA"/>
    <w:rsid w:val="00FD0775"/>
    <w:rsid w:val="00FD2160"/>
    <w:rsid w:val="00FD3D50"/>
    <w:rsid w:val="00FF2522"/>
    <w:rsid w:val="0110B711"/>
    <w:rsid w:val="0265974A"/>
    <w:rsid w:val="02AC8772"/>
    <w:rsid w:val="03B875A8"/>
    <w:rsid w:val="2F6DD230"/>
    <w:rsid w:val="32A572F2"/>
    <w:rsid w:val="390DF6DB"/>
    <w:rsid w:val="570A02F4"/>
    <w:rsid w:val="5816EE44"/>
    <w:rsid w:val="6A207F93"/>
    <w:rsid w:val="744A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E1B65"/>
  <w15:chartTrackingRefBased/>
  <w15:docId w15:val="{CCFCFA8E-515E-4849-9D8D-656CD2A4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95"/>
    <w:rPr>
      <w:rFonts w:ascii="Arial" w:hAnsi="Arial"/>
      <w:sz w:val="22"/>
      <w:lang w:val="en-AU"/>
    </w:rPr>
  </w:style>
  <w:style w:type="paragraph" w:styleId="Heading1">
    <w:name w:val="heading 1"/>
    <w:basedOn w:val="Normal"/>
    <w:next w:val="Normal"/>
    <w:qFormat/>
    <w:rsid w:val="00DD3F95"/>
    <w:pPr>
      <w:keepNext/>
      <w:outlineLvl w:val="0"/>
    </w:pPr>
    <w:rPr>
      <w:rFonts w:ascii="Times New Roman" w:hAnsi="Times New Roman"/>
      <w:i/>
      <w:iCs/>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D3F95"/>
    <w:pPr>
      <w:tabs>
        <w:tab w:val="center" w:pos="4153"/>
        <w:tab w:val="right" w:pos="8306"/>
      </w:tabs>
    </w:pPr>
  </w:style>
  <w:style w:type="paragraph" w:styleId="Footer">
    <w:name w:val="footer"/>
    <w:basedOn w:val="Normal"/>
    <w:link w:val="FooterChar"/>
    <w:semiHidden/>
    <w:rsid w:val="00DD3F95"/>
    <w:pPr>
      <w:tabs>
        <w:tab w:val="center" w:pos="4153"/>
        <w:tab w:val="right" w:pos="8306"/>
      </w:tabs>
    </w:pPr>
  </w:style>
  <w:style w:type="character" w:styleId="PageNumber">
    <w:name w:val="page number"/>
    <w:basedOn w:val="DefaultParagraphFont"/>
    <w:semiHidden/>
    <w:rsid w:val="00DD3F95"/>
  </w:style>
  <w:style w:type="paragraph" w:customStyle="1" w:styleId="Contact">
    <w:name w:val="Contact"/>
    <w:basedOn w:val="BodyText"/>
    <w:rsid w:val="00DD3F95"/>
    <w:pPr>
      <w:framePr w:w="2520" w:hSpace="180" w:wrap="notBeside" w:vAnchor="page" w:hAnchor="page" w:x="1801" w:y="961" w:anchorLock="1"/>
      <w:spacing w:after="0" w:line="200" w:lineRule="atLeast"/>
    </w:pPr>
    <w:rPr>
      <w:spacing w:val="-5"/>
      <w:sz w:val="16"/>
      <w:lang w:val="en-GB"/>
    </w:rPr>
  </w:style>
  <w:style w:type="character" w:styleId="Emphasis">
    <w:name w:val="Emphasis"/>
    <w:qFormat/>
    <w:rsid w:val="00DD3F95"/>
    <w:rPr>
      <w:rFonts w:ascii="Arial Black" w:hAnsi="Arial Black"/>
      <w:spacing w:val="-10"/>
    </w:rPr>
  </w:style>
  <w:style w:type="paragraph" w:styleId="BodyText3">
    <w:name w:val="Body Text 3"/>
    <w:basedOn w:val="Normal"/>
    <w:semiHidden/>
    <w:rsid w:val="00DD3F95"/>
    <w:pPr>
      <w:jc w:val="right"/>
    </w:pPr>
    <w:rPr>
      <w:rFonts w:ascii="Tahoma" w:hAnsi="Tahoma" w:cs="Tahoma"/>
      <w:sz w:val="21"/>
      <w:lang w:val="el-GR"/>
    </w:rPr>
  </w:style>
  <w:style w:type="paragraph" w:styleId="BodyText">
    <w:name w:val="Body Text"/>
    <w:basedOn w:val="Normal"/>
    <w:semiHidden/>
    <w:rsid w:val="00DD3F95"/>
    <w:pPr>
      <w:spacing w:after="120"/>
    </w:pPr>
  </w:style>
  <w:style w:type="paragraph" w:styleId="BodyText2">
    <w:name w:val="Body Text 2"/>
    <w:basedOn w:val="Normal"/>
    <w:semiHidden/>
    <w:rsid w:val="00DD3F95"/>
    <w:pPr>
      <w:jc w:val="both"/>
    </w:pPr>
    <w:rPr>
      <w:rFonts w:ascii="Tahoma" w:hAnsi="Tahoma" w:cs="Tahoma"/>
      <w:lang w:val="el-GR"/>
    </w:rPr>
  </w:style>
  <w:style w:type="paragraph" w:styleId="NormalWeb">
    <w:name w:val="Normal (Web)"/>
    <w:basedOn w:val="Normal"/>
    <w:uiPriority w:val="99"/>
    <w:semiHidden/>
    <w:rsid w:val="00DD3F95"/>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style11">
    <w:name w:val="style11"/>
    <w:rsid w:val="00DD3F95"/>
    <w:rPr>
      <w:color w:val="000000"/>
    </w:rPr>
  </w:style>
  <w:style w:type="character" w:customStyle="1" w:styleId="text11">
    <w:name w:val="text11"/>
    <w:rsid w:val="00DD3F95"/>
    <w:rPr>
      <w:rFonts w:ascii="Verdana" w:hAnsi="Verdana" w:hint="default"/>
      <w:b/>
      <w:bCs/>
      <w:color w:val="550203"/>
      <w:sz w:val="15"/>
      <w:szCs w:val="15"/>
    </w:rPr>
  </w:style>
  <w:style w:type="paragraph" w:styleId="BalloonText">
    <w:name w:val="Balloon Text"/>
    <w:basedOn w:val="Normal"/>
    <w:semiHidden/>
    <w:rsid w:val="00DD3F95"/>
    <w:rPr>
      <w:rFonts w:ascii="Tahoma" w:hAnsi="Tahoma" w:cs="Tahoma"/>
      <w:sz w:val="16"/>
      <w:szCs w:val="16"/>
    </w:rPr>
  </w:style>
  <w:style w:type="paragraph" w:customStyle="1" w:styleId="Style2">
    <w:name w:val="Style2"/>
    <w:basedOn w:val="Normal"/>
    <w:rsid w:val="00DD3F95"/>
    <w:pPr>
      <w:numPr>
        <w:numId w:val="1"/>
      </w:numPr>
      <w:spacing w:before="120" w:line="360" w:lineRule="auto"/>
      <w:jc w:val="both"/>
    </w:pPr>
    <w:rPr>
      <w:rFonts w:ascii="Tahoma" w:hAnsi="Tahoma" w:cs="Arial"/>
      <w:bCs/>
      <w:kern w:val="32"/>
      <w:sz w:val="20"/>
      <w:szCs w:val="28"/>
      <w:lang w:val="el-GR"/>
    </w:rPr>
  </w:style>
  <w:style w:type="paragraph" w:customStyle="1" w:styleId="1">
    <w:name w:val="Κείμενο πλαισίου1"/>
    <w:basedOn w:val="Normal"/>
    <w:semiHidden/>
    <w:rsid w:val="00DD3F95"/>
    <w:rPr>
      <w:rFonts w:ascii="Tahoma" w:hAnsi="Tahoma" w:cs="Tahoma"/>
      <w:sz w:val="16"/>
      <w:szCs w:val="16"/>
    </w:rPr>
  </w:style>
  <w:style w:type="character" w:styleId="CommentReference">
    <w:name w:val="annotation reference"/>
    <w:semiHidden/>
    <w:rsid w:val="00DD3F95"/>
    <w:rPr>
      <w:sz w:val="16"/>
      <w:szCs w:val="16"/>
    </w:rPr>
  </w:style>
  <w:style w:type="paragraph" w:styleId="CommentText">
    <w:name w:val="annotation text"/>
    <w:basedOn w:val="Normal"/>
    <w:link w:val="CommentTextChar"/>
    <w:semiHidden/>
    <w:rsid w:val="00DD3F95"/>
    <w:rPr>
      <w:sz w:val="20"/>
    </w:rPr>
  </w:style>
  <w:style w:type="character" w:styleId="Strong">
    <w:name w:val="Strong"/>
    <w:qFormat/>
    <w:rsid w:val="00DD3F95"/>
    <w:rPr>
      <w:b/>
      <w:bCs/>
    </w:rPr>
  </w:style>
  <w:style w:type="character" w:styleId="Hyperlink">
    <w:name w:val="Hyperlink"/>
    <w:semiHidden/>
    <w:rsid w:val="00DD3F95"/>
    <w:rPr>
      <w:color w:val="0000FF"/>
      <w:u w:val="single"/>
    </w:rPr>
  </w:style>
  <w:style w:type="character" w:styleId="FollowedHyperlink">
    <w:name w:val="FollowedHyperlink"/>
    <w:semiHidden/>
    <w:rsid w:val="00DD3F95"/>
    <w:rPr>
      <w:color w:val="800080"/>
      <w:u w:val="single"/>
    </w:rPr>
  </w:style>
  <w:style w:type="paragraph" w:styleId="CommentSubject">
    <w:name w:val="annotation subject"/>
    <w:basedOn w:val="CommentText"/>
    <w:next w:val="CommentText"/>
    <w:link w:val="CommentSubjectChar"/>
    <w:uiPriority w:val="99"/>
    <w:semiHidden/>
    <w:unhideWhenUsed/>
    <w:rsid w:val="007B3478"/>
    <w:rPr>
      <w:b/>
      <w:bCs/>
    </w:rPr>
  </w:style>
  <w:style w:type="character" w:customStyle="1" w:styleId="CommentTextChar">
    <w:name w:val="Comment Text Char"/>
    <w:link w:val="CommentText"/>
    <w:semiHidden/>
    <w:rsid w:val="007B3478"/>
    <w:rPr>
      <w:rFonts w:ascii="Arial" w:hAnsi="Arial"/>
      <w:lang w:val="en-AU" w:eastAsia="en-US"/>
    </w:rPr>
  </w:style>
  <w:style w:type="character" w:customStyle="1" w:styleId="CommentSubjectChar">
    <w:name w:val="Comment Subject Char"/>
    <w:basedOn w:val="CommentTextChar"/>
    <w:link w:val="CommentSubject"/>
    <w:rsid w:val="007B3478"/>
    <w:rPr>
      <w:rFonts w:ascii="Arial" w:hAnsi="Arial"/>
      <w:lang w:val="en-AU" w:eastAsia="en-US"/>
    </w:rPr>
  </w:style>
  <w:style w:type="character" w:customStyle="1" w:styleId="FooterChar">
    <w:name w:val="Footer Char"/>
    <w:link w:val="Footer"/>
    <w:semiHidden/>
    <w:rsid w:val="007B3F6D"/>
    <w:rPr>
      <w:rFonts w:ascii="Arial" w:hAnsi="Arial"/>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4106">
      <w:bodyDiv w:val="1"/>
      <w:marLeft w:val="0"/>
      <w:marRight w:val="0"/>
      <w:marTop w:val="0"/>
      <w:marBottom w:val="0"/>
      <w:divBdr>
        <w:top w:val="none" w:sz="0" w:space="0" w:color="auto"/>
        <w:left w:val="none" w:sz="0" w:space="0" w:color="auto"/>
        <w:bottom w:val="none" w:sz="0" w:space="0" w:color="auto"/>
        <w:right w:val="none" w:sz="0" w:space="0" w:color="auto"/>
      </w:divBdr>
    </w:div>
    <w:div w:id="1207058598">
      <w:bodyDiv w:val="1"/>
      <w:marLeft w:val="0"/>
      <w:marRight w:val="0"/>
      <w:marTop w:val="0"/>
      <w:marBottom w:val="0"/>
      <w:divBdr>
        <w:top w:val="none" w:sz="0" w:space="0" w:color="auto"/>
        <w:left w:val="none" w:sz="0" w:space="0" w:color="auto"/>
        <w:bottom w:val="none" w:sz="0" w:space="0" w:color="auto"/>
        <w:right w:val="none" w:sz="0" w:space="0" w:color="auto"/>
      </w:divBdr>
    </w:div>
    <w:div w:id="14789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A507C-A863-44FC-8056-18C4C71C7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Company>Vivodi Telecom S.A.</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Space Hellas S.A.</dc:creator>
  <cp:keywords/>
  <cp:lastModifiedBy>Roumpini Ioannou</cp:lastModifiedBy>
  <cp:revision>2</cp:revision>
  <cp:lastPrinted>2022-04-14T10:31:00Z</cp:lastPrinted>
  <dcterms:created xsi:type="dcterms:W3CDTF">2022-04-20T15:02:00Z</dcterms:created>
  <dcterms:modified xsi:type="dcterms:W3CDTF">2022-04-20T15:02:00Z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Classification: Public</vt:lpwstr>
  </property>
  <property fmtid="{D5CDD505-2E9C-101B-9397-08002B2CF9AE}" pid="6" name="MSIP_Label_c1b68620-7369-4132-a741-1c9b431f2750_Enabled">
    <vt:lpwstr>true</vt:lpwstr>
  </property>
  <property fmtid="{D5CDD505-2E9C-101B-9397-08002B2CF9AE}" pid="7" name="MSIP_Label_c1b68620-7369-4132-a741-1c9b431f2750_SetDate">
    <vt:lpwstr>2022-04-13T15:30:55Z</vt:lpwstr>
  </property>
  <property fmtid="{D5CDD505-2E9C-101B-9397-08002B2CF9AE}" pid="8" name="MSIP_Label_c1b68620-7369-4132-a741-1c9b431f2750_Method">
    <vt:lpwstr>Privileged</vt:lpwstr>
  </property>
  <property fmtid="{D5CDD505-2E9C-101B-9397-08002B2CF9AE}" pid="9" name="MSIP_Label_c1b68620-7369-4132-a741-1c9b431f2750_Name">
    <vt:lpwstr>Public</vt:lpwstr>
  </property>
  <property fmtid="{D5CDD505-2E9C-101B-9397-08002B2CF9AE}" pid="10" name="MSIP_Label_c1b68620-7369-4132-a741-1c9b431f2750_SiteId">
    <vt:lpwstr>16aebab9-7ae0-41ca-aa2e-1922d8efc264</vt:lpwstr>
  </property>
  <property fmtid="{D5CDD505-2E9C-101B-9397-08002B2CF9AE}" pid="11" name="MSIP_Label_c1b68620-7369-4132-a741-1c9b431f2750_ActionId">
    <vt:lpwstr>01c081a8-96ce-495a-a10e-6ada7951cf17</vt:lpwstr>
  </property>
  <property fmtid="{D5CDD505-2E9C-101B-9397-08002B2CF9AE}" pid="12" name="MSIP_Label_c1b68620-7369-4132-a741-1c9b431f2750_ContentBits">
    <vt:lpwstr>2</vt:lpwstr>
  </property>
</Properties>
</file>