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F58B" w14:textId="77777777" w:rsidR="00F31578" w:rsidRPr="00F31578" w:rsidRDefault="00F31578" w:rsidP="00B448B1">
      <w:pPr>
        <w:spacing w:after="360"/>
        <w:ind w:left="-567" w:right="-613"/>
        <w:jc w:val="center"/>
        <w:rPr>
          <w:rFonts w:cs="Arial"/>
          <w:b/>
          <w:sz w:val="8"/>
          <w:szCs w:val="4"/>
        </w:rPr>
      </w:pPr>
    </w:p>
    <w:p w14:paraId="517B31B6" w14:textId="1EF14230" w:rsidR="00E40281" w:rsidRDefault="00E40281" w:rsidP="00B448B1">
      <w:pPr>
        <w:spacing w:after="360"/>
        <w:ind w:left="-567" w:right="-613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ΔΕΛΤΙΟ ΤΥΠΟΥ</w:t>
      </w:r>
    </w:p>
    <w:p w14:paraId="1F11C83A" w14:textId="76A66706" w:rsidR="00A3325C" w:rsidRDefault="00387536" w:rsidP="00B448B1">
      <w:pPr>
        <w:spacing w:before="120" w:line="360" w:lineRule="exact"/>
        <w:ind w:left="-567" w:right="-613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Οικονομικά Αποτελέσματα Χρήσεως 20</w:t>
      </w:r>
      <w:r w:rsidR="0060510A" w:rsidRPr="007C6B39">
        <w:rPr>
          <w:rFonts w:cs="Arial"/>
          <w:b/>
          <w:bCs/>
          <w:sz w:val="24"/>
        </w:rPr>
        <w:t>21</w:t>
      </w:r>
      <w:r w:rsidR="009D0FFF">
        <w:rPr>
          <w:rFonts w:cs="Arial"/>
          <w:b/>
          <w:bCs/>
          <w:sz w:val="24"/>
        </w:rPr>
        <w:t xml:space="preserve"> </w:t>
      </w:r>
      <w:r w:rsidR="009D0FFF" w:rsidRPr="009D0FFF">
        <w:rPr>
          <w:rFonts w:cs="Arial"/>
          <w:b/>
          <w:bCs/>
          <w:sz w:val="24"/>
        </w:rPr>
        <w:t>Unibios</w:t>
      </w:r>
      <w:r w:rsidR="00961E23" w:rsidRPr="00961E23">
        <w:rPr>
          <w:rFonts w:cs="Arial"/>
          <w:b/>
          <w:bCs/>
          <w:sz w:val="24"/>
        </w:rPr>
        <w:t xml:space="preserve"> </w:t>
      </w:r>
      <w:r w:rsidR="00961E23">
        <w:rPr>
          <w:rFonts w:cs="Arial"/>
          <w:b/>
          <w:bCs/>
          <w:sz w:val="24"/>
        </w:rPr>
        <w:t>Συμμετοχώ</w:t>
      </w:r>
      <w:r w:rsidR="00A3325C">
        <w:rPr>
          <w:rFonts w:cs="Arial"/>
          <w:b/>
          <w:bCs/>
          <w:sz w:val="24"/>
        </w:rPr>
        <w:t>ν</w:t>
      </w:r>
    </w:p>
    <w:p w14:paraId="09C54D17" w14:textId="0C4FFFFD" w:rsidR="00F31578" w:rsidRPr="00A3325C" w:rsidRDefault="00B448B1" w:rsidP="00B448B1">
      <w:pPr>
        <w:spacing w:line="360" w:lineRule="exact"/>
        <w:ind w:left="-567" w:right="-613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Ισχυρή</w:t>
      </w:r>
      <w:r w:rsidR="00A3325C" w:rsidRPr="00A3325C">
        <w:rPr>
          <w:rFonts w:cs="Arial"/>
          <w:b/>
          <w:bCs/>
          <w:sz w:val="24"/>
        </w:rPr>
        <w:t xml:space="preserve"> Κερδοφορία</w:t>
      </w:r>
    </w:p>
    <w:p w14:paraId="174E2B8D" w14:textId="5532E71C" w:rsidR="00B429C7" w:rsidRDefault="00387536" w:rsidP="00B448B1">
      <w:pPr>
        <w:spacing w:before="240" w:line="360" w:lineRule="exact"/>
        <w:ind w:left="-567" w:right="-613"/>
        <w:jc w:val="both"/>
        <w:rPr>
          <w:rFonts w:cs="Arial"/>
          <w:sz w:val="24"/>
        </w:rPr>
      </w:pPr>
      <w:r w:rsidRPr="00387536">
        <w:rPr>
          <w:rFonts w:cs="Arial"/>
          <w:sz w:val="24"/>
        </w:rPr>
        <w:t xml:space="preserve">Ο Όμιλος εταιρειών </w:t>
      </w:r>
      <w:r w:rsidRPr="00387536">
        <w:rPr>
          <w:rFonts w:cs="Arial"/>
          <w:b/>
          <w:bCs/>
          <w:sz w:val="24"/>
        </w:rPr>
        <w:t>UNIBIOS Α.Ε. Συμμετοχών</w:t>
      </w:r>
      <w:r w:rsidRPr="00387536">
        <w:rPr>
          <w:rFonts w:cs="Arial"/>
          <w:sz w:val="24"/>
        </w:rPr>
        <w:t xml:space="preserve"> ανακοίνωσε τα οικονομικά αποτελέσματα Χρήσεως 20</w:t>
      </w:r>
      <w:r w:rsidR="0060510A">
        <w:rPr>
          <w:rFonts w:cs="Arial"/>
          <w:sz w:val="24"/>
        </w:rPr>
        <w:t>21</w:t>
      </w:r>
      <w:r w:rsidRPr="00387536">
        <w:rPr>
          <w:rFonts w:cs="Arial"/>
          <w:sz w:val="24"/>
        </w:rPr>
        <w:t xml:space="preserve"> με βάση τα Διεθνή Πρότυπα Χρηματοοικονομικής Αναφοράς (Δ.Π.Χ.Α.).</w:t>
      </w:r>
    </w:p>
    <w:p w14:paraId="3B4322B1" w14:textId="3FFC5044" w:rsidR="00387536" w:rsidRPr="006D2549" w:rsidRDefault="00387536" w:rsidP="00B448B1">
      <w:pPr>
        <w:spacing w:before="240" w:line="360" w:lineRule="exact"/>
        <w:ind w:left="-567" w:right="-613"/>
        <w:jc w:val="both"/>
        <w:rPr>
          <w:rFonts w:cs="Arial"/>
          <w:sz w:val="24"/>
        </w:rPr>
      </w:pPr>
      <w:r w:rsidRPr="00387536">
        <w:rPr>
          <w:rFonts w:cs="Arial"/>
          <w:sz w:val="24"/>
        </w:rPr>
        <w:t>Κατά την Χρήση 20</w:t>
      </w:r>
      <w:r w:rsidR="005E7AA5">
        <w:rPr>
          <w:rFonts w:cs="Arial"/>
          <w:sz w:val="24"/>
        </w:rPr>
        <w:t>21</w:t>
      </w:r>
      <w:r>
        <w:rPr>
          <w:rFonts w:cs="Arial"/>
          <w:sz w:val="24"/>
        </w:rPr>
        <w:t>,</w:t>
      </w:r>
      <w:r w:rsidRPr="00387536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οι ενοποιημένες </w:t>
      </w:r>
      <w:r w:rsidRPr="00387536">
        <w:rPr>
          <w:rFonts w:cs="Arial"/>
          <w:sz w:val="24"/>
        </w:rPr>
        <w:t>πωλήσεις</w:t>
      </w:r>
      <w:r>
        <w:rPr>
          <w:rFonts w:cs="Arial"/>
          <w:sz w:val="24"/>
        </w:rPr>
        <w:t xml:space="preserve"> του</w:t>
      </w:r>
      <w:r w:rsidRPr="00387536">
        <w:rPr>
          <w:rFonts w:cs="Arial"/>
          <w:sz w:val="24"/>
        </w:rPr>
        <w:t xml:space="preserve"> </w:t>
      </w:r>
      <w:r>
        <w:rPr>
          <w:rFonts w:cs="Arial"/>
          <w:sz w:val="24"/>
        </w:rPr>
        <w:t>Ομίλου</w:t>
      </w:r>
      <w:r w:rsidRPr="00387536">
        <w:rPr>
          <w:rFonts w:cs="Arial"/>
          <w:sz w:val="24"/>
        </w:rPr>
        <w:t xml:space="preserve"> UNIBIOS α</w:t>
      </w:r>
      <w:r>
        <w:rPr>
          <w:rFonts w:cs="Arial"/>
          <w:sz w:val="24"/>
        </w:rPr>
        <w:t xml:space="preserve">υξήθηκαν </w:t>
      </w:r>
      <w:r w:rsidRPr="00387536">
        <w:rPr>
          <w:rFonts w:cs="Arial"/>
          <w:sz w:val="24"/>
        </w:rPr>
        <w:t xml:space="preserve">κατά </w:t>
      </w:r>
      <w:r w:rsidR="006170E1">
        <w:rPr>
          <w:rFonts w:cs="Arial"/>
          <w:sz w:val="24"/>
        </w:rPr>
        <w:t>16,1</w:t>
      </w:r>
      <w:r w:rsidRPr="00387536">
        <w:rPr>
          <w:rFonts w:cs="Arial"/>
          <w:sz w:val="24"/>
        </w:rPr>
        <w:t xml:space="preserve">% </w:t>
      </w:r>
      <w:r>
        <w:rPr>
          <w:rFonts w:cs="Arial"/>
          <w:sz w:val="24"/>
        </w:rPr>
        <w:t xml:space="preserve">ήτοι από </w:t>
      </w:r>
      <w:r w:rsidR="0060510A">
        <w:rPr>
          <w:rFonts w:cs="Arial"/>
          <w:sz w:val="24"/>
        </w:rPr>
        <w:t>€7.300 χιλ.</w:t>
      </w:r>
      <w:r w:rsidR="008B0DA3">
        <w:rPr>
          <w:rFonts w:cs="Arial"/>
          <w:sz w:val="24"/>
        </w:rPr>
        <w:t xml:space="preserve"> </w:t>
      </w:r>
      <w:r>
        <w:rPr>
          <w:rFonts w:cs="Arial"/>
          <w:sz w:val="24"/>
        </w:rPr>
        <w:t>σε €</w:t>
      </w:r>
      <w:r w:rsidR="00B238CC" w:rsidRPr="00B238CC">
        <w:rPr>
          <w:rFonts w:cs="Arial"/>
          <w:sz w:val="24"/>
        </w:rPr>
        <w:t>8.</w:t>
      </w:r>
      <w:r w:rsidR="006170E1">
        <w:rPr>
          <w:rFonts w:cs="Arial"/>
          <w:sz w:val="24"/>
        </w:rPr>
        <w:t>478</w:t>
      </w:r>
      <w:r>
        <w:rPr>
          <w:rFonts w:cs="Arial"/>
          <w:sz w:val="24"/>
        </w:rPr>
        <w:t xml:space="preserve"> χιλ. Η</w:t>
      </w:r>
      <w:r w:rsidRPr="00387536">
        <w:rPr>
          <w:rFonts w:cs="Arial"/>
          <w:sz w:val="24"/>
        </w:rPr>
        <w:t xml:space="preserve"> άνοδος αυτή </w:t>
      </w:r>
      <w:r>
        <w:rPr>
          <w:rFonts w:cs="Arial"/>
          <w:sz w:val="24"/>
        </w:rPr>
        <w:t xml:space="preserve">αποδίδεται κυρίως </w:t>
      </w:r>
      <w:r w:rsidRPr="00387536">
        <w:rPr>
          <w:rFonts w:cs="Arial"/>
          <w:sz w:val="24"/>
        </w:rPr>
        <w:t xml:space="preserve">στην </w:t>
      </w:r>
      <w:r w:rsidR="0060510A">
        <w:rPr>
          <w:rFonts w:cs="Arial"/>
          <w:sz w:val="24"/>
        </w:rPr>
        <w:t>ενίσχυση</w:t>
      </w:r>
      <w:r>
        <w:rPr>
          <w:rFonts w:cs="Arial"/>
          <w:sz w:val="24"/>
        </w:rPr>
        <w:t xml:space="preserve"> των πωλήσεων του κλάδου της </w:t>
      </w:r>
      <w:r w:rsidR="00B238CC">
        <w:rPr>
          <w:rFonts w:cs="Arial"/>
          <w:sz w:val="24"/>
        </w:rPr>
        <w:t>ε</w:t>
      </w:r>
      <w:r>
        <w:rPr>
          <w:rFonts w:cs="Arial"/>
          <w:sz w:val="24"/>
        </w:rPr>
        <w:t>πεξεργασίας νερού</w:t>
      </w:r>
      <w:r w:rsidR="006D2549">
        <w:rPr>
          <w:rFonts w:cs="Arial"/>
          <w:sz w:val="24"/>
        </w:rPr>
        <w:t xml:space="preserve"> δηλαδή</w:t>
      </w:r>
      <w:r w:rsidR="008B0DA3">
        <w:rPr>
          <w:rFonts w:cs="Arial"/>
          <w:sz w:val="24"/>
        </w:rPr>
        <w:t>,</w:t>
      </w:r>
      <w:r w:rsidR="006D2549">
        <w:rPr>
          <w:rFonts w:cs="Arial"/>
          <w:sz w:val="24"/>
        </w:rPr>
        <w:t xml:space="preserve"> των πωλήσεων του Ομίλου </w:t>
      </w:r>
      <w:r w:rsidR="006D2549">
        <w:rPr>
          <w:rFonts w:cs="Arial"/>
          <w:sz w:val="24"/>
          <w:lang w:val="en-US"/>
        </w:rPr>
        <w:t>Watera</w:t>
      </w:r>
      <w:r w:rsidR="006D2549" w:rsidRPr="006D2549">
        <w:rPr>
          <w:rFonts w:cs="Arial"/>
          <w:sz w:val="24"/>
        </w:rPr>
        <w:t xml:space="preserve"> </w:t>
      </w:r>
      <w:r w:rsidR="006D2549">
        <w:rPr>
          <w:rFonts w:cs="Arial"/>
          <w:sz w:val="24"/>
          <w:lang w:val="en-US"/>
        </w:rPr>
        <w:t>International</w:t>
      </w:r>
      <w:r w:rsidR="006D2549" w:rsidRPr="006D2549">
        <w:rPr>
          <w:rFonts w:cs="Arial"/>
          <w:sz w:val="24"/>
        </w:rPr>
        <w:t>.</w:t>
      </w:r>
    </w:p>
    <w:p w14:paraId="47F0F76C" w14:textId="129A461F" w:rsidR="00387536" w:rsidRPr="00387536" w:rsidRDefault="00387536" w:rsidP="00B448B1">
      <w:pPr>
        <w:spacing w:before="240" w:line="360" w:lineRule="exact"/>
        <w:ind w:left="-567" w:right="-613"/>
        <w:jc w:val="both"/>
        <w:rPr>
          <w:rFonts w:cs="Arial"/>
          <w:sz w:val="24"/>
        </w:rPr>
      </w:pPr>
      <w:r w:rsidRPr="00387536">
        <w:rPr>
          <w:rFonts w:cs="Arial"/>
          <w:sz w:val="24"/>
        </w:rPr>
        <w:t>Τα μικτά κέρδη του Ομίλου</w:t>
      </w:r>
      <w:r w:rsidR="006D2549">
        <w:rPr>
          <w:rFonts w:cs="Arial"/>
          <w:sz w:val="24"/>
        </w:rPr>
        <w:t xml:space="preserve"> </w:t>
      </w:r>
      <w:r w:rsidR="006D2549">
        <w:rPr>
          <w:rFonts w:cs="Arial"/>
          <w:sz w:val="24"/>
          <w:lang w:val="en-US"/>
        </w:rPr>
        <w:t>Unibios</w:t>
      </w:r>
      <w:r w:rsidRPr="00387536">
        <w:rPr>
          <w:rFonts w:cs="Arial"/>
          <w:sz w:val="24"/>
        </w:rPr>
        <w:t>, σημείωσαν αύξηση κατά 1</w:t>
      </w:r>
      <w:r w:rsidR="006170E1">
        <w:rPr>
          <w:rFonts w:cs="Arial"/>
          <w:sz w:val="24"/>
        </w:rPr>
        <w:t>5</w:t>
      </w:r>
      <w:r w:rsidRPr="00387536">
        <w:rPr>
          <w:rFonts w:cs="Arial"/>
          <w:sz w:val="24"/>
        </w:rPr>
        <w:t>,</w:t>
      </w:r>
      <w:r w:rsidR="006170E1">
        <w:rPr>
          <w:rFonts w:cs="Arial"/>
          <w:sz w:val="24"/>
        </w:rPr>
        <w:t>2</w:t>
      </w:r>
      <w:r w:rsidRPr="00387536">
        <w:rPr>
          <w:rFonts w:cs="Arial"/>
          <w:sz w:val="24"/>
        </w:rPr>
        <w:t>% σε σχέση με αυτά της προηγούμενης χρήσ</w:t>
      </w:r>
      <w:r w:rsidR="00B238CC">
        <w:rPr>
          <w:rFonts w:cs="Arial"/>
          <w:sz w:val="24"/>
        </w:rPr>
        <w:t>ης</w:t>
      </w:r>
      <w:r w:rsidRPr="00387536">
        <w:rPr>
          <w:rFonts w:cs="Arial"/>
          <w:sz w:val="24"/>
        </w:rPr>
        <w:t xml:space="preserve"> και διαμορφώθηκαν σε €3.</w:t>
      </w:r>
      <w:r w:rsidR="006170E1">
        <w:rPr>
          <w:rFonts w:cs="Arial"/>
          <w:sz w:val="24"/>
        </w:rPr>
        <w:t>115</w:t>
      </w:r>
      <w:r w:rsidRPr="00387536">
        <w:rPr>
          <w:rFonts w:cs="Arial"/>
          <w:sz w:val="24"/>
        </w:rPr>
        <w:t xml:space="preserve"> χιλ., έναντι </w:t>
      </w:r>
      <w:r w:rsidR="0060510A">
        <w:rPr>
          <w:rFonts w:cs="Arial"/>
          <w:sz w:val="24"/>
        </w:rPr>
        <w:t>€</w:t>
      </w:r>
      <w:r w:rsidR="006170E1">
        <w:rPr>
          <w:rFonts w:cs="Arial"/>
          <w:sz w:val="24"/>
        </w:rPr>
        <w:t>2.703</w:t>
      </w:r>
      <w:r w:rsidR="0060510A">
        <w:rPr>
          <w:rFonts w:cs="Arial"/>
          <w:sz w:val="24"/>
        </w:rPr>
        <w:t xml:space="preserve"> χιλ</w:t>
      </w:r>
      <w:r w:rsidRPr="00387536">
        <w:rPr>
          <w:rFonts w:cs="Arial"/>
          <w:sz w:val="24"/>
        </w:rPr>
        <w:t>.</w:t>
      </w:r>
      <w:r w:rsidR="000D1539">
        <w:rPr>
          <w:rFonts w:cs="Arial"/>
          <w:sz w:val="24"/>
        </w:rPr>
        <w:t xml:space="preserve"> Τ</w:t>
      </w:r>
      <w:r w:rsidRPr="00387536">
        <w:rPr>
          <w:rFonts w:cs="Arial"/>
          <w:sz w:val="24"/>
        </w:rPr>
        <w:t xml:space="preserve">ο περιθώριο μικτού κέρδους </w:t>
      </w:r>
      <w:r w:rsidR="000D1539">
        <w:rPr>
          <w:rFonts w:cs="Arial"/>
          <w:sz w:val="24"/>
        </w:rPr>
        <w:t>μεταβλήθηκε</w:t>
      </w:r>
      <w:r w:rsidR="00F31578">
        <w:rPr>
          <w:rFonts w:cs="Arial"/>
          <w:sz w:val="24"/>
        </w:rPr>
        <w:t xml:space="preserve"> οριακά</w:t>
      </w:r>
      <w:r w:rsidR="000D1539">
        <w:rPr>
          <w:rFonts w:cs="Arial"/>
          <w:sz w:val="24"/>
        </w:rPr>
        <w:t>,</w:t>
      </w:r>
      <w:r w:rsidR="00F31578">
        <w:rPr>
          <w:rFonts w:cs="Arial"/>
          <w:sz w:val="24"/>
        </w:rPr>
        <w:t xml:space="preserve"> από 37,0% σε 36,7%</w:t>
      </w:r>
      <w:r w:rsidRPr="00387536">
        <w:rPr>
          <w:rFonts w:cs="Arial"/>
          <w:sz w:val="24"/>
        </w:rPr>
        <w:t>.</w:t>
      </w:r>
    </w:p>
    <w:p w14:paraId="6D28F979" w14:textId="27694385" w:rsidR="00387536" w:rsidRPr="00387536" w:rsidRDefault="00387536" w:rsidP="00B448B1">
      <w:pPr>
        <w:spacing w:before="240" w:line="360" w:lineRule="exact"/>
        <w:ind w:left="-567" w:right="-613"/>
        <w:jc w:val="both"/>
        <w:rPr>
          <w:rFonts w:cs="Arial"/>
          <w:sz w:val="24"/>
        </w:rPr>
      </w:pPr>
      <w:r w:rsidRPr="00387536">
        <w:rPr>
          <w:rFonts w:cs="Arial"/>
          <w:sz w:val="24"/>
        </w:rPr>
        <w:t>Τα αποτελέσματα προ φόρων (EBT) του Ομίλου</w:t>
      </w:r>
      <w:r w:rsidR="00B238CC" w:rsidRPr="00B238CC">
        <w:rPr>
          <w:rFonts w:cs="Arial"/>
          <w:sz w:val="24"/>
        </w:rPr>
        <w:t xml:space="preserve"> </w:t>
      </w:r>
      <w:r w:rsidR="00B238CC" w:rsidRPr="00387536">
        <w:rPr>
          <w:rFonts w:cs="Arial"/>
          <w:sz w:val="24"/>
        </w:rPr>
        <w:t>στην Χρήση 20</w:t>
      </w:r>
      <w:r w:rsidR="000D1539">
        <w:rPr>
          <w:rFonts w:cs="Arial"/>
          <w:sz w:val="24"/>
        </w:rPr>
        <w:t>21</w:t>
      </w:r>
      <w:r w:rsidRPr="00387536">
        <w:rPr>
          <w:rFonts w:cs="Arial"/>
          <w:sz w:val="24"/>
        </w:rPr>
        <w:t xml:space="preserve"> </w:t>
      </w:r>
      <w:r w:rsidR="00852F74">
        <w:rPr>
          <w:rFonts w:cs="Arial"/>
          <w:sz w:val="24"/>
        </w:rPr>
        <w:t xml:space="preserve">αυξήθηκαν </w:t>
      </w:r>
      <w:r w:rsidR="00852F74" w:rsidRPr="00387536">
        <w:rPr>
          <w:rFonts w:cs="Arial"/>
          <w:sz w:val="24"/>
        </w:rPr>
        <w:t>κατά €5</w:t>
      </w:r>
      <w:r w:rsidR="00852F74">
        <w:rPr>
          <w:rFonts w:cs="Arial"/>
          <w:sz w:val="24"/>
        </w:rPr>
        <w:t>10</w:t>
      </w:r>
      <w:r w:rsidR="00852F74" w:rsidRPr="00387536">
        <w:rPr>
          <w:rFonts w:cs="Arial"/>
          <w:sz w:val="24"/>
        </w:rPr>
        <w:t xml:space="preserve"> χιλ</w:t>
      </w:r>
      <w:r w:rsidR="00852F74">
        <w:rPr>
          <w:rFonts w:cs="Arial"/>
          <w:sz w:val="24"/>
        </w:rPr>
        <w:t xml:space="preserve">. σε σχέση με τη Χρήση του 2020 και διαμορφώθηκαν </w:t>
      </w:r>
      <w:r w:rsidRPr="00387536">
        <w:rPr>
          <w:rFonts w:cs="Arial"/>
          <w:sz w:val="24"/>
        </w:rPr>
        <w:t>σε κέρδη €</w:t>
      </w:r>
      <w:r w:rsidR="0060510A">
        <w:rPr>
          <w:rFonts w:cs="Arial"/>
          <w:sz w:val="24"/>
        </w:rPr>
        <w:t>55</w:t>
      </w:r>
      <w:r w:rsidR="00F31578">
        <w:rPr>
          <w:rFonts w:cs="Arial"/>
          <w:sz w:val="24"/>
        </w:rPr>
        <w:t>2</w:t>
      </w:r>
      <w:r w:rsidRPr="00387536">
        <w:rPr>
          <w:rFonts w:cs="Arial"/>
          <w:sz w:val="24"/>
        </w:rPr>
        <w:t xml:space="preserve"> χιλ</w:t>
      </w:r>
      <w:r w:rsidR="00B429C7">
        <w:rPr>
          <w:rFonts w:cs="Arial"/>
          <w:sz w:val="24"/>
        </w:rPr>
        <w:t>.</w:t>
      </w:r>
      <w:r w:rsidRPr="00387536">
        <w:rPr>
          <w:rFonts w:cs="Arial"/>
          <w:sz w:val="24"/>
        </w:rPr>
        <w:t xml:space="preserve"> έναντι </w:t>
      </w:r>
      <w:r w:rsidR="0060510A">
        <w:rPr>
          <w:rFonts w:cs="Arial"/>
          <w:sz w:val="24"/>
        </w:rPr>
        <w:t xml:space="preserve">κερδών </w:t>
      </w:r>
      <w:r w:rsidR="0060510A" w:rsidRPr="00387536">
        <w:rPr>
          <w:rFonts w:cs="Arial"/>
          <w:sz w:val="24"/>
        </w:rPr>
        <w:t>€</w:t>
      </w:r>
      <w:r w:rsidR="00B448B1">
        <w:rPr>
          <w:rFonts w:cs="Arial"/>
          <w:sz w:val="24"/>
        </w:rPr>
        <w:t>4</w:t>
      </w:r>
      <w:r w:rsidR="00F31578">
        <w:rPr>
          <w:rFonts w:cs="Arial"/>
          <w:sz w:val="24"/>
        </w:rPr>
        <w:t>2</w:t>
      </w:r>
      <w:r w:rsidR="0060510A" w:rsidRPr="00387536">
        <w:rPr>
          <w:rFonts w:cs="Arial"/>
          <w:sz w:val="24"/>
        </w:rPr>
        <w:t xml:space="preserve"> χιλ</w:t>
      </w:r>
      <w:r w:rsidR="0060510A">
        <w:rPr>
          <w:rFonts w:cs="Arial"/>
          <w:sz w:val="24"/>
        </w:rPr>
        <w:t>.</w:t>
      </w:r>
      <w:r w:rsidR="0060510A" w:rsidRPr="00387536">
        <w:rPr>
          <w:rFonts w:cs="Arial"/>
          <w:sz w:val="24"/>
        </w:rPr>
        <w:t xml:space="preserve"> </w:t>
      </w:r>
      <w:r w:rsidRPr="00387536">
        <w:rPr>
          <w:rFonts w:cs="Arial"/>
          <w:sz w:val="24"/>
        </w:rPr>
        <w:t>κατά την προηγούμενη Χρήση</w:t>
      </w:r>
      <w:r w:rsidR="00852F74">
        <w:rPr>
          <w:rFonts w:cs="Arial"/>
          <w:sz w:val="24"/>
        </w:rPr>
        <w:t>.</w:t>
      </w:r>
    </w:p>
    <w:p w14:paraId="57F77D89" w14:textId="3CA33C60" w:rsidR="00387536" w:rsidRPr="00387536" w:rsidRDefault="00B238CC" w:rsidP="00B448B1">
      <w:pPr>
        <w:spacing w:before="240" w:line="360" w:lineRule="exact"/>
        <w:ind w:left="-567" w:right="-613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Το σημαντικότερο όμως είναι </w:t>
      </w:r>
      <w:r w:rsidRPr="00852F74">
        <w:rPr>
          <w:rFonts w:cs="Arial"/>
          <w:sz w:val="24"/>
        </w:rPr>
        <w:t>ότι ο Όμιλος UNIBIOS</w:t>
      </w:r>
      <w:r w:rsidR="00852F74" w:rsidRPr="00852F74">
        <w:rPr>
          <w:rFonts w:cs="Arial"/>
          <w:sz w:val="24"/>
        </w:rPr>
        <w:t>, το 2021</w:t>
      </w:r>
      <w:r w:rsidR="00852F74">
        <w:rPr>
          <w:rFonts w:cs="Arial"/>
          <w:sz w:val="24"/>
        </w:rPr>
        <w:t>,</w:t>
      </w:r>
      <w:r w:rsidRPr="00852F74">
        <w:rPr>
          <w:rFonts w:cs="Arial"/>
          <w:sz w:val="24"/>
        </w:rPr>
        <w:t xml:space="preserve"> παρου</w:t>
      </w:r>
      <w:r w:rsidR="00852F74" w:rsidRPr="00852F74">
        <w:rPr>
          <w:rFonts w:cs="Arial"/>
          <w:sz w:val="24"/>
        </w:rPr>
        <w:t xml:space="preserve">σίασε </w:t>
      </w:r>
      <w:r w:rsidRPr="00852F74">
        <w:rPr>
          <w:rFonts w:cs="Arial"/>
          <w:sz w:val="24"/>
        </w:rPr>
        <w:t>συνολικό κερδοφόρο αποτέλεσμα μετά από φόρους (</w:t>
      </w:r>
      <w:r w:rsidR="00B429C7" w:rsidRPr="00852F74">
        <w:rPr>
          <w:rFonts w:cs="Arial"/>
          <w:sz w:val="24"/>
          <w:lang w:val="en-US"/>
        </w:rPr>
        <w:t>PAT</w:t>
      </w:r>
      <w:r w:rsidRPr="00852F74">
        <w:rPr>
          <w:rFonts w:cs="Arial"/>
          <w:sz w:val="24"/>
        </w:rPr>
        <w:t>).</w:t>
      </w:r>
      <w:r w:rsidR="00B429C7">
        <w:rPr>
          <w:rFonts w:cs="Arial"/>
          <w:sz w:val="24"/>
        </w:rPr>
        <w:t xml:space="preserve">  </w:t>
      </w:r>
      <w:r w:rsidR="00B429C7" w:rsidRPr="000D1539">
        <w:rPr>
          <w:rFonts w:cs="Arial"/>
          <w:b/>
          <w:bCs/>
          <w:sz w:val="24"/>
        </w:rPr>
        <w:t>Ειδικότερα, το 20</w:t>
      </w:r>
      <w:r w:rsidR="00B448B1" w:rsidRPr="000D1539">
        <w:rPr>
          <w:rFonts w:cs="Arial"/>
          <w:b/>
          <w:bCs/>
          <w:sz w:val="24"/>
        </w:rPr>
        <w:t>21</w:t>
      </w:r>
      <w:r w:rsidR="00B429C7" w:rsidRPr="000D1539">
        <w:rPr>
          <w:rFonts w:cs="Arial"/>
          <w:b/>
          <w:bCs/>
          <w:sz w:val="24"/>
        </w:rPr>
        <w:t>, τ</w:t>
      </w:r>
      <w:r w:rsidR="00387536" w:rsidRPr="000D1539">
        <w:rPr>
          <w:rFonts w:cs="Arial"/>
          <w:b/>
          <w:bCs/>
          <w:sz w:val="24"/>
        </w:rPr>
        <w:t xml:space="preserve">α καθαρά κέρδη της εταιρίας </w:t>
      </w:r>
      <w:r w:rsidR="00B429C7" w:rsidRPr="000D1539">
        <w:rPr>
          <w:rFonts w:cs="Arial"/>
          <w:b/>
          <w:bCs/>
          <w:sz w:val="24"/>
        </w:rPr>
        <w:t>μ</w:t>
      </w:r>
      <w:r w:rsidR="00387536" w:rsidRPr="000D1539">
        <w:rPr>
          <w:rFonts w:cs="Arial"/>
          <w:b/>
          <w:bCs/>
          <w:sz w:val="24"/>
        </w:rPr>
        <w:t xml:space="preserve">ετά από </w:t>
      </w:r>
      <w:r w:rsidR="00B429C7" w:rsidRPr="000D1539">
        <w:rPr>
          <w:rFonts w:cs="Arial"/>
          <w:b/>
          <w:bCs/>
          <w:sz w:val="24"/>
        </w:rPr>
        <w:t>φ</w:t>
      </w:r>
      <w:r w:rsidR="00387536" w:rsidRPr="000D1539">
        <w:rPr>
          <w:rFonts w:cs="Arial"/>
          <w:b/>
          <w:bCs/>
          <w:sz w:val="24"/>
        </w:rPr>
        <w:t>όρους ανήλθαν σε €</w:t>
      </w:r>
      <w:r w:rsidR="00B448B1" w:rsidRPr="000D1539">
        <w:rPr>
          <w:rFonts w:cs="Arial"/>
          <w:b/>
          <w:bCs/>
          <w:sz w:val="24"/>
        </w:rPr>
        <w:t>3</w:t>
      </w:r>
      <w:r w:rsidR="00F31578" w:rsidRPr="000D1539">
        <w:rPr>
          <w:rFonts w:cs="Arial"/>
          <w:b/>
          <w:bCs/>
          <w:sz w:val="24"/>
        </w:rPr>
        <w:t>34</w:t>
      </w:r>
      <w:r w:rsidR="00387536" w:rsidRPr="000D1539">
        <w:rPr>
          <w:rFonts w:cs="Arial"/>
          <w:b/>
          <w:bCs/>
          <w:sz w:val="24"/>
        </w:rPr>
        <w:t xml:space="preserve"> χιλ</w:t>
      </w:r>
      <w:r w:rsidR="00B429C7" w:rsidRPr="000D1539">
        <w:rPr>
          <w:rFonts w:cs="Arial"/>
          <w:b/>
          <w:bCs/>
          <w:sz w:val="24"/>
        </w:rPr>
        <w:t>.</w:t>
      </w:r>
      <w:r w:rsidR="00387536" w:rsidRPr="00387536">
        <w:rPr>
          <w:rFonts w:cs="Arial"/>
          <w:sz w:val="24"/>
        </w:rPr>
        <w:t xml:space="preserve"> έναντι ζημ</w:t>
      </w:r>
      <w:r w:rsidR="00852F74">
        <w:rPr>
          <w:rFonts w:cs="Arial"/>
          <w:sz w:val="24"/>
        </w:rPr>
        <w:t>ίας</w:t>
      </w:r>
      <w:r w:rsidR="00AB775F">
        <w:rPr>
          <w:rFonts w:cs="Arial"/>
          <w:sz w:val="24"/>
        </w:rPr>
        <w:t xml:space="preserve"> μετά από φόρους</w:t>
      </w:r>
      <w:r w:rsidR="00387536" w:rsidRPr="00387536">
        <w:rPr>
          <w:rFonts w:cs="Arial"/>
          <w:sz w:val="24"/>
        </w:rPr>
        <w:t xml:space="preserve"> €9</w:t>
      </w:r>
      <w:r w:rsidR="00F31578">
        <w:rPr>
          <w:rFonts w:cs="Arial"/>
          <w:sz w:val="24"/>
        </w:rPr>
        <w:t>1</w:t>
      </w:r>
      <w:r w:rsidR="00387536" w:rsidRPr="00387536">
        <w:rPr>
          <w:rFonts w:cs="Arial"/>
          <w:sz w:val="24"/>
        </w:rPr>
        <w:t xml:space="preserve"> χιλ</w:t>
      </w:r>
      <w:r w:rsidR="00B429C7">
        <w:rPr>
          <w:rFonts w:cs="Arial"/>
          <w:sz w:val="24"/>
        </w:rPr>
        <w:t>. κατά την προηγούμενη χρήση</w:t>
      </w:r>
      <w:r w:rsidR="00387536" w:rsidRPr="00387536">
        <w:rPr>
          <w:rFonts w:cs="Arial"/>
          <w:sz w:val="24"/>
        </w:rPr>
        <w:t>.</w:t>
      </w:r>
    </w:p>
    <w:p w14:paraId="5AB0FB48" w14:textId="664A8B22" w:rsidR="00387536" w:rsidRPr="00387536" w:rsidRDefault="00B429C7" w:rsidP="00B448B1">
      <w:pPr>
        <w:spacing w:before="240" w:line="360" w:lineRule="exact"/>
        <w:ind w:left="-567" w:right="-613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Τέλος, </w:t>
      </w:r>
      <w:r w:rsidR="00786799">
        <w:rPr>
          <w:rFonts w:cs="Arial"/>
          <w:b/>
          <w:bCs/>
          <w:sz w:val="24"/>
        </w:rPr>
        <w:t>τ</w:t>
      </w:r>
      <w:r w:rsidR="00B448B1" w:rsidRPr="00F31578">
        <w:rPr>
          <w:rFonts w:cs="Arial"/>
          <w:b/>
          <w:bCs/>
          <w:sz w:val="24"/>
        </w:rPr>
        <w:t xml:space="preserve">ο συνολικό EBITDA του Ομίλου το 2021, </w:t>
      </w:r>
      <w:r w:rsidR="00AB775F" w:rsidRPr="00F31578">
        <w:rPr>
          <w:rFonts w:cs="Arial"/>
          <w:b/>
          <w:bCs/>
          <w:sz w:val="24"/>
        </w:rPr>
        <w:t>ενισχύθηκε περ</w:t>
      </w:r>
      <w:r w:rsidR="007C6B39">
        <w:rPr>
          <w:rFonts w:cs="Arial"/>
          <w:b/>
          <w:bCs/>
          <w:sz w:val="24"/>
        </w:rPr>
        <w:t>αι</w:t>
      </w:r>
      <w:r w:rsidR="00AB775F" w:rsidRPr="00F31578">
        <w:rPr>
          <w:rFonts w:cs="Arial"/>
          <w:b/>
          <w:bCs/>
          <w:sz w:val="24"/>
        </w:rPr>
        <w:t>τ</w:t>
      </w:r>
      <w:r w:rsidR="000201A4">
        <w:rPr>
          <w:rFonts w:cs="Arial"/>
          <w:b/>
          <w:bCs/>
          <w:sz w:val="24"/>
        </w:rPr>
        <w:t>έ</w:t>
      </w:r>
      <w:r w:rsidR="00AB775F" w:rsidRPr="00F31578">
        <w:rPr>
          <w:rFonts w:cs="Arial"/>
          <w:b/>
          <w:bCs/>
          <w:sz w:val="24"/>
        </w:rPr>
        <w:t xml:space="preserve">ρω και </w:t>
      </w:r>
      <w:r w:rsidR="00B448B1" w:rsidRPr="00F31578">
        <w:rPr>
          <w:rFonts w:cs="Arial"/>
          <w:b/>
          <w:bCs/>
          <w:sz w:val="24"/>
        </w:rPr>
        <w:t>διαμορφώθηκε σε €1.</w:t>
      </w:r>
      <w:r w:rsidR="00F31578" w:rsidRPr="00F31578">
        <w:rPr>
          <w:rFonts w:cs="Arial"/>
          <w:b/>
          <w:bCs/>
          <w:sz w:val="24"/>
        </w:rPr>
        <w:t>287</w:t>
      </w:r>
      <w:r w:rsidR="00B448B1" w:rsidRPr="00F31578">
        <w:rPr>
          <w:rFonts w:cs="Arial"/>
          <w:b/>
          <w:bCs/>
          <w:sz w:val="24"/>
        </w:rPr>
        <w:t xml:space="preserve"> χιλ. ή ποσοστό 1</w:t>
      </w:r>
      <w:r w:rsidR="00F31578" w:rsidRPr="00F31578">
        <w:rPr>
          <w:rFonts w:cs="Arial"/>
          <w:b/>
          <w:bCs/>
          <w:sz w:val="24"/>
        </w:rPr>
        <w:t>5</w:t>
      </w:r>
      <w:r w:rsidR="00B448B1" w:rsidRPr="00F31578">
        <w:rPr>
          <w:rFonts w:cs="Arial"/>
          <w:b/>
          <w:bCs/>
          <w:sz w:val="24"/>
        </w:rPr>
        <w:t>.</w:t>
      </w:r>
      <w:r w:rsidR="00F31578" w:rsidRPr="00F31578">
        <w:rPr>
          <w:rFonts w:cs="Arial"/>
          <w:b/>
          <w:bCs/>
          <w:sz w:val="24"/>
        </w:rPr>
        <w:t>2</w:t>
      </w:r>
      <w:r w:rsidR="00B448B1" w:rsidRPr="00F31578">
        <w:rPr>
          <w:rFonts w:cs="Arial"/>
          <w:b/>
          <w:bCs/>
          <w:sz w:val="24"/>
        </w:rPr>
        <w:t>% επί του κύκλου εργασιών</w:t>
      </w:r>
      <w:r w:rsidR="00B448B1">
        <w:rPr>
          <w:rFonts w:cs="Arial"/>
          <w:sz w:val="24"/>
        </w:rPr>
        <w:t xml:space="preserve">, </w:t>
      </w:r>
      <w:r w:rsidR="00B448B1" w:rsidRPr="00387536">
        <w:rPr>
          <w:rFonts w:cs="Arial"/>
          <w:sz w:val="24"/>
        </w:rPr>
        <w:t xml:space="preserve">έναντι </w:t>
      </w:r>
      <w:r w:rsidR="00B448B1">
        <w:rPr>
          <w:rFonts w:cs="Arial"/>
          <w:sz w:val="24"/>
        </w:rPr>
        <w:t>€81</w:t>
      </w:r>
      <w:r w:rsidR="00F31578">
        <w:rPr>
          <w:rFonts w:cs="Arial"/>
          <w:sz w:val="24"/>
        </w:rPr>
        <w:t>1</w:t>
      </w:r>
      <w:r w:rsidR="00B448B1">
        <w:rPr>
          <w:rFonts w:cs="Arial"/>
          <w:sz w:val="24"/>
        </w:rPr>
        <w:t xml:space="preserve"> </w:t>
      </w:r>
      <w:r w:rsidR="00B448B1" w:rsidRPr="00387536">
        <w:rPr>
          <w:rFonts w:cs="Arial"/>
          <w:sz w:val="24"/>
        </w:rPr>
        <w:t>χιλ</w:t>
      </w:r>
      <w:r w:rsidR="00B448B1">
        <w:rPr>
          <w:rFonts w:cs="Arial"/>
          <w:sz w:val="24"/>
        </w:rPr>
        <w:t>. ή ποσοστό 11.1% επί του κύκλου εργασιών</w:t>
      </w:r>
      <w:r w:rsidR="00B448B1" w:rsidRPr="00387536">
        <w:rPr>
          <w:rFonts w:cs="Arial"/>
          <w:sz w:val="24"/>
        </w:rPr>
        <w:t xml:space="preserve"> </w:t>
      </w:r>
      <w:r w:rsidR="00B448B1">
        <w:rPr>
          <w:rFonts w:cs="Arial"/>
          <w:sz w:val="24"/>
        </w:rPr>
        <w:t xml:space="preserve">της </w:t>
      </w:r>
      <w:r w:rsidR="00B448B1" w:rsidRPr="00387536">
        <w:rPr>
          <w:rFonts w:cs="Arial"/>
          <w:sz w:val="24"/>
        </w:rPr>
        <w:t>προηγούμενη</w:t>
      </w:r>
      <w:r w:rsidR="00B448B1">
        <w:rPr>
          <w:rFonts w:cs="Arial"/>
          <w:sz w:val="24"/>
        </w:rPr>
        <w:t>ς</w:t>
      </w:r>
      <w:r w:rsidR="00B448B1" w:rsidRPr="00387536">
        <w:rPr>
          <w:rFonts w:cs="Arial"/>
          <w:sz w:val="24"/>
        </w:rPr>
        <w:t xml:space="preserve"> χρήση</w:t>
      </w:r>
      <w:r w:rsidR="00B448B1">
        <w:rPr>
          <w:rFonts w:cs="Arial"/>
          <w:sz w:val="24"/>
        </w:rPr>
        <w:t>ς</w:t>
      </w:r>
      <w:r w:rsidR="00B448B1" w:rsidRPr="00387536">
        <w:rPr>
          <w:rFonts w:cs="Arial"/>
          <w:sz w:val="24"/>
        </w:rPr>
        <w:t>.</w:t>
      </w:r>
    </w:p>
    <w:p w14:paraId="78CC6551" w14:textId="51454D88" w:rsidR="000521A5" w:rsidRPr="000521A5" w:rsidRDefault="000521A5" w:rsidP="00B448B1">
      <w:pPr>
        <w:spacing w:before="240" w:line="360" w:lineRule="exact"/>
        <w:ind w:left="-567" w:right="-613"/>
        <w:jc w:val="right"/>
        <w:rPr>
          <w:rFonts w:cs="Arial"/>
          <w:sz w:val="24"/>
        </w:rPr>
      </w:pPr>
      <w:r w:rsidRPr="001E5C97">
        <w:rPr>
          <w:rFonts w:cs="Arial"/>
          <w:sz w:val="24"/>
        </w:rPr>
        <w:t>2</w:t>
      </w:r>
      <w:r w:rsidR="00B448B1">
        <w:rPr>
          <w:rFonts w:cs="Arial"/>
          <w:sz w:val="24"/>
        </w:rPr>
        <w:t>0</w:t>
      </w:r>
      <w:r w:rsidR="00B429C7">
        <w:rPr>
          <w:rFonts w:cs="Arial"/>
          <w:sz w:val="24"/>
        </w:rPr>
        <w:t xml:space="preserve"> </w:t>
      </w:r>
      <w:r w:rsidR="00B448B1">
        <w:rPr>
          <w:rFonts w:cs="Arial"/>
          <w:sz w:val="24"/>
        </w:rPr>
        <w:t>Απριλίου</w:t>
      </w:r>
      <w:r>
        <w:rPr>
          <w:rFonts w:cs="Arial"/>
          <w:sz w:val="24"/>
        </w:rPr>
        <w:t xml:space="preserve"> 202</w:t>
      </w:r>
      <w:r w:rsidR="00B448B1">
        <w:rPr>
          <w:rFonts w:cs="Arial"/>
          <w:sz w:val="24"/>
        </w:rPr>
        <w:t>2</w:t>
      </w:r>
    </w:p>
    <w:p w14:paraId="3D80B15D" w14:textId="25266893" w:rsidR="00B429C7" w:rsidRDefault="00B429C7" w:rsidP="00B448B1">
      <w:pPr>
        <w:spacing w:line="276" w:lineRule="auto"/>
        <w:ind w:left="-567" w:right="-613"/>
        <w:jc w:val="both"/>
        <w:rPr>
          <w:i/>
          <w:sz w:val="20"/>
          <w:szCs w:val="20"/>
        </w:rPr>
      </w:pPr>
    </w:p>
    <w:p w14:paraId="13DA33CC" w14:textId="3501CF0F" w:rsidR="00B448B1" w:rsidRDefault="00B448B1" w:rsidP="00B448B1">
      <w:pPr>
        <w:spacing w:line="276" w:lineRule="auto"/>
        <w:ind w:left="-567" w:right="-613"/>
        <w:jc w:val="both"/>
        <w:rPr>
          <w:i/>
          <w:sz w:val="20"/>
          <w:szCs w:val="20"/>
        </w:rPr>
      </w:pPr>
      <w:r w:rsidRPr="00507E7F">
        <w:rPr>
          <w:i/>
          <w:sz w:val="20"/>
          <w:szCs w:val="20"/>
        </w:rPr>
        <w:t xml:space="preserve">Ο </w:t>
      </w:r>
      <w:r w:rsidRPr="00507E7F">
        <w:rPr>
          <w:b/>
          <w:i/>
          <w:sz w:val="20"/>
          <w:szCs w:val="20"/>
        </w:rPr>
        <w:t>Όμιλος U</w:t>
      </w:r>
      <w:r w:rsidRPr="00507E7F">
        <w:rPr>
          <w:b/>
          <w:i/>
          <w:sz w:val="20"/>
          <w:szCs w:val="20"/>
          <w:lang w:val="en-US"/>
        </w:rPr>
        <w:t>NIBIOS</w:t>
      </w:r>
      <w:r w:rsidRPr="00507E7F">
        <w:rPr>
          <w:i/>
          <w:sz w:val="20"/>
          <w:szCs w:val="20"/>
        </w:rPr>
        <w:t xml:space="preserve"> είναι εταιρ</w:t>
      </w:r>
      <w:r w:rsidRPr="001E5C97">
        <w:rPr>
          <w:i/>
          <w:sz w:val="20"/>
          <w:szCs w:val="20"/>
        </w:rPr>
        <w:t>εί</w:t>
      </w:r>
      <w:r w:rsidRPr="00507E7F">
        <w:rPr>
          <w:i/>
          <w:sz w:val="20"/>
          <w:szCs w:val="20"/>
        </w:rPr>
        <w:t>α συμμετοχών εισηγμένη στο Χρηματιστήριο</w:t>
      </w:r>
      <w:r>
        <w:rPr>
          <w:i/>
          <w:sz w:val="20"/>
          <w:szCs w:val="20"/>
        </w:rPr>
        <w:t xml:space="preserve"> Αξιών</w:t>
      </w:r>
      <w:r w:rsidRPr="00507E7F">
        <w:rPr>
          <w:i/>
          <w:sz w:val="20"/>
          <w:szCs w:val="20"/>
        </w:rPr>
        <w:t xml:space="preserve"> Αθηνών.  Μέσω των θυγατρικών της, η </w:t>
      </w:r>
      <w:r w:rsidRPr="00507E7F">
        <w:rPr>
          <w:b/>
          <w:i/>
          <w:sz w:val="20"/>
          <w:szCs w:val="20"/>
        </w:rPr>
        <w:t>U</w:t>
      </w:r>
      <w:r w:rsidRPr="00507E7F">
        <w:rPr>
          <w:b/>
          <w:i/>
          <w:sz w:val="20"/>
          <w:szCs w:val="20"/>
          <w:lang w:val="en-US"/>
        </w:rPr>
        <w:t>NIBIOS</w:t>
      </w:r>
      <w:r w:rsidRPr="00507E7F">
        <w:rPr>
          <w:b/>
          <w:i/>
          <w:sz w:val="20"/>
          <w:szCs w:val="20"/>
        </w:rPr>
        <w:t xml:space="preserve"> Συμμετοχών ΑΕ</w:t>
      </w:r>
      <w:r w:rsidRPr="00507E7F">
        <w:rPr>
          <w:i/>
          <w:sz w:val="20"/>
          <w:szCs w:val="20"/>
        </w:rPr>
        <w:t xml:space="preserve"> δραστηριοποιείται στις ταχέως αναπτυσσόμενες αγορές της Επεξεργασίας και Ανακύκλωσης Νερού καθώς και της Εκτέλεσης Ειδικών Τεχνικών Έργων.</w:t>
      </w:r>
    </w:p>
    <w:p w14:paraId="217143E6" w14:textId="77777777" w:rsidR="00B448B1" w:rsidRPr="00507E7F" w:rsidRDefault="00B448B1" w:rsidP="00B448B1">
      <w:pPr>
        <w:spacing w:line="276" w:lineRule="auto"/>
        <w:ind w:left="-567" w:right="-613"/>
        <w:jc w:val="both"/>
        <w:rPr>
          <w:i/>
          <w:sz w:val="20"/>
          <w:szCs w:val="20"/>
        </w:rPr>
      </w:pPr>
    </w:p>
    <w:p w14:paraId="1F1A5D54" w14:textId="5AB0AD70" w:rsidR="00E40281" w:rsidRDefault="00E40281" w:rsidP="00B448B1">
      <w:pPr>
        <w:spacing w:line="276" w:lineRule="auto"/>
        <w:ind w:left="-567" w:right="-613"/>
        <w:jc w:val="both"/>
        <w:rPr>
          <w:i/>
          <w:sz w:val="20"/>
          <w:szCs w:val="20"/>
        </w:rPr>
      </w:pPr>
      <w:r w:rsidRPr="001E5C97">
        <w:rPr>
          <w:i/>
          <w:sz w:val="20"/>
          <w:szCs w:val="20"/>
        </w:rPr>
        <w:t xml:space="preserve">Η </w:t>
      </w:r>
      <w:r w:rsidRPr="001E5C97">
        <w:rPr>
          <w:b/>
          <w:i/>
          <w:sz w:val="20"/>
          <w:szCs w:val="20"/>
        </w:rPr>
        <w:t>W</w:t>
      </w:r>
      <w:r w:rsidR="004D1240" w:rsidRPr="001E5C97">
        <w:rPr>
          <w:b/>
          <w:i/>
          <w:sz w:val="20"/>
          <w:szCs w:val="20"/>
          <w:lang w:val="en-US"/>
        </w:rPr>
        <w:t>ATERA</w:t>
      </w:r>
      <w:r w:rsidRPr="001E5C97">
        <w:rPr>
          <w:b/>
          <w:i/>
          <w:sz w:val="20"/>
          <w:szCs w:val="20"/>
        </w:rPr>
        <w:t xml:space="preserve"> </w:t>
      </w:r>
      <w:r w:rsidR="00507E7F" w:rsidRPr="001E5C97">
        <w:rPr>
          <w:b/>
          <w:i/>
          <w:sz w:val="20"/>
          <w:szCs w:val="20"/>
          <w:lang w:val="en-US"/>
        </w:rPr>
        <w:t>International</w:t>
      </w:r>
      <w:r w:rsidR="00507E7F" w:rsidRPr="001E5C97">
        <w:rPr>
          <w:b/>
          <w:i/>
          <w:sz w:val="20"/>
          <w:szCs w:val="20"/>
        </w:rPr>
        <w:t xml:space="preserve"> </w:t>
      </w:r>
      <w:r w:rsidR="00507E7F" w:rsidRPr="001E5C97">
        <w:rPr>
          <w:b/>
          <w:i/>
          <w:sz w:val="20"/>
          <w:szCs w:val="20"/>
          <w:lang w:val="en-US"/>
        </w:rPr>
        <w:t>SA</w:t>
      </w:r>
      <w:r w:rsidRPr="001E5C97">
        <w:rPr>
          <w:i/>
          <w:sz w:val="20"/>
          <w:szCs w:val="20"/>
        </w:rPr>
        <w:t xml:space="preserve"> είναι</w:t>
      </w:r>
      <w:r w:rsidR="006D2549" w:rsidRPr="006D2549">
        <w:rPr>
          <w:i/>
          <w:sz w:val="20"/>
          <w:szCs w:val="20"/>
        </w:rPr>
        <w:t xml:space="preserve"> </w:t>
      </w:r>
      <w:r w:rsidR="006D2549">
        <w:rPr>
          <w:i/>
          <w:sz w:val="20"/>
          <w:szCs w:val="20"/>
        </w:rPr>
        <w:t>κατά 100%</w:t>
      </w:r>
      <w:r w:rsidRPr="001E5C97">
        <w:rPr>
          <w:b/>
          <w:i/>
          <w:sz w:val="20"/>
          <w:szCs w:val="20"/>
        </w:rPr>
        <w:t xml:space="preserve"> </w:t>
      </w:r>
      <w:r w:rsidRPr="001E5C97">
        <w:rPr>
          <w:i/>
          <w:sz w:val="20"/>
          <w:szCs w:val="20"/>
        </w:rPr>
        <w:t xml:space="preserve">θυγατρική της Unibios Συμμετοχών, και  </w:t>
      </w:r>
      <w:r w:rsidR="00507E7F" w:rsidRPr="001E5C97">
        <w:rPr>
          <w:i/>
          <w:sz w:val="20"/>
          <w:szCs w:val="20"/>
        </w:rPr>
        <w:t xml:space="preserve">μέσω της </w:t>
      </w:r>
      <w:r w:rsidR="00507E7F" w:rsidRPr="00B448B1">
        <w:rPr>
          <w:b/>
          <w:bCs/>
          <w:i/>
          <w:sz w:val="20"/>
          <w:szCs w:val="20"/>
          <w:lang w:val="en-US"/>
        </w:rPr>
        <w:t>Watera</w:t>
      </w:r>
      <w:r w:rsidR="00507E7F" w:rsidRPr="00B448B1">
        <w:rPr>
          <w:b/>
          <w:bCs/>
          <w:i/>
          <w:sz w:val="20"/>
          <w:szCs w:val="20"/>
        </w:rPr>
        <w:t xml:space="preserve"> Ελλάς ΑΒΕΕ</w:t>
      </w:r>
      <w:r w:rsidR="00507E7F" w:rsidRPr="001E5C97">
        <w:rPr>
          <w:i/>
          <w:sz w:val="20"/>
          <w:szCs w:val="20"/>
        </w:rPr>
        <w:t xml:space="preserve">, </w:t>
      </w:r>
      <w:r w:rsidRPr="001E5C97">
        <w:rPr>
          <w:i/>
          <w:sz w:val="20"/>
          <w:szCs w:val="20"/>
        </w:rPr>
        <w:t xml:space="preserve">κορυφαία εταιρεία στον τομέα της Επεξεργασίας νερού στην Ελλάδα. </w:t>
      </w:r>
      <w:r w:rsidR="00507E7F" w:rsidRPr="001E5C97">
        <w:rPr>
          <w:i/>
          <w:sz w:val="20"/>
          <w:szCs w:val="20"/>
        </w:rPr>
        <w:t xml:space="preserve">Η </w:t>
      </w:r>
      <w:r w:rsidR="00507E7F" w:rsidRPr="001E5C97">
        <w:rPr>
          <w:i/>
          <w:sz w:val="20"/>
          <w:szCs w:val="20"/>
          <w:lang w:val="en-US"/>
        </w:rPr>
        <w:t>Watera</w:t>
      </w:r>
      <w:r w:rsidR="00507E7F" w:rsidRPr="001E5C97">
        <w:rPr>
          <w:i/>
          <w:sz w:val="20"/>
          <w:szCs w:val="20"/>
        </w:rPr>
        <w:t xml:space="preserve"> Ελλάς ι</w:t>
      </w:r>
      <w:r w:rsidRPr="001E5C97">
        <w:rPr>
          <w:i/>
          <w:sz w:val="20"/>
          <w:szCs w:val="20"/>
        </w:rPr>
        <w:t xml:space="preserve">δρύθηκε το 1963 και είναι πρώτη αναφορικά με την εγκατεστημένη δυναμικότητα </w:t>
      </w:r>
      <w:r w:rsidRPr="00507E7F">
        <w:rPr>
          <w:i/>
          <w:sz w:val="20"/>
          <w:szCs w:val="20"/>
        </w:rPr>
        <w:t xml:space="preserve">αφαλατώσεων στην Ελλάδα.  Επίσης, μέσω </w:t>
      </w:r>
      <w:r w:rsidR="00431B01">
        <w:rPr>
          <w:i/>
          <w:sz w:val="20"/>
          <w:szCs w:val="20"/>
        </w:rPr>
        <w:t xml:space="preserve">άλλων θυγατρικών </w:t>
      </w:r>
      <w:r w:rsidRPr="00507E7F">
        <w:rPr>
          <w:i/>
          <w:sz w:val="20"/>
          <w:szCs w:val="20"/>
        </w:rPr>
        <w:t>της εταιρειών</w:t>
      </w:r>
      <w:r w:rsidR="00B448B1">
        <w:rPr>
          <w:i/>
          <w:sz w:val="20"/>
          <w:szCs w:val="20"/>
        </w:rPr>
        <w:t>,</w:t>
      </w:r>
      <w:r w:rsidRPr="00507E7F">
        <w:rPr>
          <w:i/>
          <w:sz w:val="20"/>
          <w:szCs w:val="20"/>
        </w:rPr>
        <w:t xml:space="preserve"> η Watera </w:t>
      </w:r>
      <w:r w:rsidR="00431B01">
        <w:rPr>
          <w:i/>
          <w:sz w:val="20"/>
          <w:szCs w:val="20"/>
          <w:lang w:val="en-US"/>
        </w:rPr>
        <w:t>International</w:t>
      </w:r>
      <w:r w:rsidR="00431B01" w:rsidRPr="00431B01">
        <w:rPr>
          <w:i/>
          <w:sz w:val="20"/>
          <w:szCs w:val="20"/>
        </w:rPr>
        <w:t xml:space="preserve"> </w:t>
      </w:r>
      <w:r w:rsidRPr="00507E7F">
        <w:rPr>
          <w:i/>
          <w:sz w:val="20"/>
          <w:szCs w:val="20"/>
        </w:rPr>
        <w:t>δραστηριοποιείται με επιτυχία</w:t>
      </w:r>
      <w:r w:rsidR="00431B01">
        <w:rPr>
          <w:i/>
          <w:sz w:val="20"/>
          <w:szCs w:val="20"/>
        </w:rPr>
        <w:t>,</w:t>
      </w:r>
      <w:r w:rsidRPr="00507E7F">
        <w:rPr>
          <w:i/>
          <w:sz w:val="20"/>
          <w:szCs w:val="20"/>
        </w:rPr>
        <w:t xml:space="preserve"> </w:t>
      </w:r>
      <w:r w:rsidR="00431B01">
        <w:rPr>
          <w:i/>
          <w:sz w:val="20"/>
          <w:szCs w:val="20"/>
        </w:rPr>
        <w:t xml:space="preserve">εκτός από την Ελλάδα, </w:t>
      </w:r>
      <w:r w:rsidRPr="00507E7F">
        <w:rPr>
          <w:i/>
          <w:sz w:val="20"/>
          <w:szCs w:val="20"/>
        </w:rPr>
        <w:t>στην Τσεχία,  Βουλγαρία και Ιταλία</w:t>
      </w:r>
      <w:r w:rsidR="00185129" w:rsidRPr="00FF3743">
        <w:rPr>
          <w:i/>
          <w:sz w:val="20"/>
          <w:szCs w:val="20"/>
        </w:rPr>
        <w:t>,</w:t>
      </w:r>
      <w:r w:rsidRPr="00507E7F">
        <w:rPr>
          <w:i/>
          <w:sz w:val="20"/>
          <w:szCs w:val="20"/>
        </w:rPr>
        <w:t xml:space="preserve"> ενώ </w:t>
      </w:r>
      <w:r w:rsidR="00735AE7" w:rsidRPr="00507E7F">
        <w:rPr>
          <w:i/>
          <w:sz w:val="20"/>
          <w:szCs w:val="20"/>
        </w:rPr>
        <w:t xml:space="preserve">παράλληλα </w:t>
      </w:r>
      <w:r w:rsidRPr="00507E7F">
        <w:rPr>
          <w:i/>
          <w:sz w:val="20"/>
          <w:szCs w:val="20"/>
        </w:rPr>
        <w:t xml:space="preserve">έχει </w:t>
      </w:r>
      <w:r w:rsidR="00D01A76" w:rsidRPr="00507E7F">
        <w:rPr>
          <w:i/>
          <w:sz w:val="20"/>
          <w:szCs w:val="20"/>
        </w:rPr>
        <w:t>αναπτύξει</w:t>
      </w:r>
      <w:r w:rsidRPr="00507E7F">
        <w:rPr>
          <w:i/>
          <w:sz w:val="20"/>
          <w:szCs w:val="20"/>
        </w:rPr>
        <w:t xml:space="preserve"> σημαντική εξαγωγική δραστηριότατα στην </w:t>
      </w:r>
      <w:r w:rsidR="00997A16">
        <w:rPr>
          <w:i/>
          <w:sz w:val="20"/>
          <w:szCs w:val="20"/>
        </w:rPr>
        <w:t xml:space="preserve">Ανατολική και </w:t>
      </w:r>
      <w:r w:rsidRPr="00507E7F">
        <w:rPr>
          <w:i/>
          <w:sz w:val="20"/>
          <w:szCs w:val="20"/>
        </w:rPr>
        <w:t xml:space="preserve">Δυτική Ευρώπη, </w:t>
      </w:r>
      <w:r w:rsidR="00185129" w:rsidRPr="00FF3743">
        <w:rPr>
          <w:i/>
          <w:sz w:val="20"/>
          <w:szCs w:val="20"/>
        </w:rPr>
        <w:t>τη</w:t>
      </w:r>
      <w:r w:rsidR="00185129">
        <w:rPr>
          <w:i/>
          <w:sz w:val="20"/>
          <w:szCs w:val="20"/>
        </w:rPr>
        <w:t xml:space="preserve"> </w:t>
      </w:r>
      <w:r w:rsidRPr="00507E7F">
        <w:rPr>
          <w:i/>
          <w:sz w:val="20"/>
          <w:szCs w:val="20"/>
        </w:rPr>
        <w:t xml:space="preserve">Μέση Ανατολή και </w:t>
      </w:r>
      <w:r w:rsidR="00185129" w:rsidRPr="00FF3743">
        <w:rPr>
          <w:i/>
          <w:sz w:val="20"/>
          <w:szCs w:val="20"/>
        </w:rPr>
        <w:t xml:space="preserve">την </w:t>
      </w:r>
      <w:r w:rsidRPr="00507E7F">
        <w:rPr>
          <w:i/>
          <w:sz w:val="20"/>
          <w:szCs w:val="20"/>
        </w:rPr>
        <w:t>Αφρική.</w:t>
      </w:r>
      <w:r w:rsidR="000201A4">
        <w:rPr>
          <w:i/>
          <w:sz w:val="20"/>
          <w:szCs w:val="20"/>
        </w:rPr>
        <w:t xml:space="preserve">  </w:t>
      </w:r>
    </w:p>
    <w:p w14:paraId="09BA74B9" w14:textId="77777777" w:rsidR="007C6B39" w:rsidRPr="00507E7F" w:rsidRDefault="007C6B39" w:rsidP="00B448B1">
      <w:pPr>
        <w:spacing w:line="276" w:lineRule="auto"/>
        <w:ind w:left="-567" w:right="-613"/>
        <w:jc w:val="both"/>
        <w:rPr>
          <w:sz w:val="20"/>
          <w:szCs w:val="20"/>
        </w:rPr>
      </w:pPr>
    </w:p>
    <w:sectPr w:rsidR="007C6B39" w:rsidRPr="00507E7F" w:rsidSect="00E402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57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CFA8" w14:textId="77777777" w:rsidR="00C45110" w:rsidRDefault="00C45110">
      <w:r>
        <w:separator/>
      </w:r>
    </w:p>
  </w:endnote>
  <w:endnote w:type="continuationSeparator" w:id="0">
    <w:p w14:paraId="6A231B11" w14:textId="77777777" w:rsidR="00C45110" w:rsidRDefault="00C4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2D2A" w14:textId="19BA45C8" w:rsidR="00CD4FF4" w:rsidRDefault="00CD4FF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2141FE" w14:textId="32ECA59C" w:rsidR="00A30171" w:rsidRPr="00734B0F" w:rsidRDefault="00A30171" w:rsidP="004518D2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5298" w14:textId="77777777" w:rsidR="00203887" w:rsidRPr="00240B94" w:rsidRDefault="00203887" w:rsidP="00203887">
    <w:pPr>
      <w:pStyle w:val="aa"/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</w:pP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Unibios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Συμμετοχών </w:t>
    </w: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ΑΕ</w:t>
    </w:r>
  </w:p>
  <w:p w14:paraId="359120B1" w14:textId="1960978F" w:rsidR="00203887" w:rsidRPr="00240B94" w:rsidRDefault="00203887" w:rsidP="00203887">
    <w:pPr>
      <w:pStyle w:val="aa"/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</w:pP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1η &amp; 18η Οδός, ΒΙΟ.ΠΑ. </w:t>
    </w:r>
    <w:r w:rsidR="009B721D"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</w:t>
    </w: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133 41  Άνω Λιόσια</w:t>
    </w:r>
  </w:p>
  <w:p w14:paraId="63B0DC91" w14:textId="665158E8" w:rsidR="00203887" w:rsidRPr="009B721D" w:rsidRDefault="00203887" w:rsidP="00203887">
    <w:pPr>
      <w:pStyle w:val="aa"/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</w:pPr>
    <w:proofErr w:type="spellStart"/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Τηλ</w:t>
    </w:r>
    <w:proofErr w:type="spellEnd"/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. : +30 210 3413 444  </w:t>
    </w:r>
    <w:r w:rsidR="009B721D"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  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E</w:t>
    </w:r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-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mail</w:t>
    </w:r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: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 </w:t>
    </w:r>
    <w:r w:rsidR="00C45110">
      <w:fldChar w:fldCharType="begin"/>
    </w:r>
    <w:r w:rsidR="00C45110" w:rsidRPr="007C6B39">
      <w:rPr>
        <w:lang w:val="el-GR"/>
      </w:rPr>
      <w:instrText xml:space="preserve"> </w:instrText>
    </w:r>
    <w:r w:rsidR="00C45110">
      <w:instrText>HYPERLINK</w:instrText>
    </w:r>
    <w:r w:rsidR="00C45110" w:rsidRPr="007C6B39">
      <w:rPr>
        <w:lang w:val="el-GR"/>
      </w:rPr>
      <w:instrText xml:space="preserve"> "</w:instrText>
    </w:r>
    <w:r w:rsidR="00C45110">
      <w:instrText>mailto</w:instrText>
    </w:r>
    <w:r w:rsidR="00C45110" w:rsidRPr="007C6B39">
      <w:rPr>
        <w:lang w:val="el-GR"/>
      </w:rPr>
      <w:instrText>:</w:instrText>
    </w:r>
    <w:r w:rsidR="00C45110">
      <w:instrText>unibios</w:instrText>
    </w:r>
    <w:r w:rsidR="00C45110" w:rsidRPr="007C6B39">
      <w:rPr>
        <w:lang w:val="el-GR"/>
      </w:rPr>
      <w:instrText>@</w:instrText>
    </w:r>
    <w:r w:rsidR="00C45110">
      <w:instrText>unibios</w:instrText>
    </w:r>
    <w:r w:rsidR="00C45110" w:rsidRPr="007C6B39">
      <w:rPr>
        <w:lang w:val="el-GR"/>
      </w:rPr>
      <w:instrText>.</w:instrText>
    </w:r>
    <w:r w:rsidR="00C45110">
      <w:instrText>gr</w:instrText>
    </w:r>
    <w:r w:rsidR="00C45110" w:rsidRPr="007C6B39">
      <w:rPr>
        <w:lang w:val="el-GR"/>
      </w:rPr>
      <w:instrText xml:space="preserve">" </w:instrText>
    </w:r>
    <w:r w:rsidR="00C45110">
      <w:fldChar w:fldCharType="separate"/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t>unibios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val="el-GR" w:eastAsia="fr-FR"/>
      </w:rPr>
      <w:t>@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t>unibios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val="el-GR" w:eastAsia="fr-FR"/>
      </w:rPr>
      <w:t>.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t>gr</w:t>
    </w:r>
    <w:r w:rsidR="00C45110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fldChar w:fldCharType="end"/>
    </w:r>
    <w:r w:rsidR="009B721D"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    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http</w:t>
    </w:r>
    <w:r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://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www</w:t>
    </w:r>
    <w:r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.</w:t>
    </w:r>
    <w:proofErr w:type="spellStart"/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unibios</w:t>
    </w:r>
    <w:proofErr w:type="spellEnd"/>
    <w:r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.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gr</w:t>
    </w:r>
  </w:p>
  <w:p w14:paraId="5EDE8950" w14:textId="253F6DE3" w:rsidR="00A30171" w:rsidRDefault="00A30171" w:rsidP="00203887">
    <w:pPr>
      <w:pStyle w:val="a4"/>
      <w:jc w:val="center"/>
    </w:pPr>
  </w:p>
  <w:p w14:paraId="1A46B3BB" w14:textId="77777777" w:rsidR="00A30171" w:rsidRPr="004518D2" w:rsidRDefault="00A30171" w:rsidP="004518D2">
    <w:pPr>
      <w:pStyle w:val="a4"/>
    </w:pPr>
    <w:r w:rsidRPr="00203887">
      <w:t xml:space="preserve">                 </w:t>
    </w:r>
    <w:r>
      <w:t xml:space="preserve">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D3FD" w14:textId="77777777" w:rsidR="00C45110" w:rsidRDefault="00C45110">
      <w:r>
        <w:separator/>
      </w:r>
    </w:p>
  </w:footnote>
  <w:footnote w:type="continuationSeparator" w:id="0">
    <w:p w14:paraId="1094C354" w14:textId="77777777" w:rsidR="00C45110" w:rsidRDefault="00C4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A77D" w14:textId="2183EB9B" w:rsidR="00A30171" w:rsidRDefault="00A30171" w:rsidP="002410DE">
    <w:pPr>
      <w:pStyle w:val="a3"/>
      <w:tabs>
        <w:tab w:val="clear" w:pos="8306"/>
        <w:tab w:val="right" w:pos="10440"/>
      </w:tabs>
      <w:ind w:hanging="180"/>
      <w:rPr>
        <w:lang w:val="en-US"/>
      </w:rPr>
    </w:pPr>
  </w:p>
  <w:p w14:paraId="1D041817" w14:textId="656FFF22" w:rsidR="00A30171" w:rsidRDefault="00203887" w:rsidP="002410DE">
    <w:pPr>
      <w:pStyle w:val="a3"/>
      <w:tabs>
        <w:tab w:val="clear" w:pos="8306"/>
        <w:tab w:val="right" w:pos="10440"/>
      </w:tabs>
      <w:ind w:hanging="180"/>
      <w:rPr>
        <w:lang w:val="en-US"/>
      </w:rPr>
    </w:pPr>
    <w:r w:rsidRPr="00775BE5">
      <w:rPr>
        <w:noProof/>
      </w:rPr>
      <w:drawing>
        <wp:inline distT="0" distB="0" distL="0" distR="0" wp14:anchorId="149BA9A6" wp14:editId="66A81774">
          <wp:extent cx="1685211" cy="596900"/>
          <wp:effectExtent l="0" t="0" r="0" b="0"/>
          <wp:docPr id="1" name="Picture 17" descr="UNIBIOSen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" name="Picture 17" descr="UNIBIOSeng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664" cy="614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1CEE3E" w14:textId="77777777" w:rsidR="00A30171" w:rsidRPr="00DA0F12" w:rsidRDefault="00A30171" w:rsidP="002410DE">
    <w:pPr>
      <w:pStyle w:val="a3"/>
      <w:tabs>
        <w:tab w:val="clear" w:pos="8306"/>
        <w:tab w:val="right" w:pos="10440"/>
      </w:tabs>
      <w:ind w:hanging="180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F066" w14:textId="2B51CF1B" w:rsidR="00A30171" w:rsidRPr="009B721D" w:rsidRDefault="009B721D" w:rsidP="009B721D">
    <w:pPr>
      <w:pStyle w:val="a3"/>
      <w:ind w:left="-709"/>
    </w:pPr>
    <w:r>
      <w:rPr>
        <w:rFonts w:cs="Arial"/>
        <w:b/>
        <w:noProof/>
        <w:sz w:val="28"/>
      </w:rPr>
      <w:drawing>
        <wp:inline distT="0" distB="0" distL="0" distR="0" wp14:anchorId="7C83101A" wp14:editId="4B0DB8B8">
          <wp:extent cx="2491740" cy="772699"/>
          <wp:effectExtent l="0" t="0" r="381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bio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003" cy="782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0EE"/>
    <w:multiLevelType w:val="hybridMultilevel"/>
    <w:tmpl w:val="5DE0D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847C0"/>
    <w:multiLevelType w:val="hybridMultilevel"/>
    <w:tmpl w:val="8B5823C2"/>
    <w:lvl w:ilvl="0" w:tplc="176A82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254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EB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2D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08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A6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4E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D4B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5ED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EE1"/>
    <w:multiLevelType w:val="hybridMultilevel"/>
    <w:tmpl w:val="3904D748"/>
    <w:lvl w:ilvl="0" w:tplc="6268B8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41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06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8E3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88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64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03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2E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CC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040"/>
    <w:multiLevelType w:val="hybridMultilevel"/>
    <w:tmpl w:val="85FCB152"/>
    <w:lvl w:ilvl="0" w:tplc="28D27A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031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47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25F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25B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C8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C7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649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A3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75370"/>
    <w:multiLevelType w:val="hybridMultilevel"/>
    <w:tmpl w:val="084CB9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27C8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2383645">
    <w:abstractNumId w:val="4"/>
  </w:num>
  <w:num w:numId="2" w16cid:durableId="950280537">
    <w:abstractNumId w:val="5"/>
  </w:num>
  <w:num w:numId="3" w16cid:durableId="1238590416">
    <w:abstractNumId w:val="2"/>
  </w:num>
  <w:num w:numId="4" w16cid:durableId="1074737487">
    <w:abstractNumId w:val="3"/>
  </w:num>
  <w:num w:numId="5" w16cid:durableId="1127352264">
    <w:abstractNumId w:val="0"/>
  </w:num>
  <w:num w:numId="6" w16cid:durableId="105546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5"/>
    <w:rsid w:val="00006900"/>
    <w:rsid w:val="00010BDB"/>
    <w:rsid w:val="00015966"/>
    <w:rsid w:val="000201A4"/>
    <w:rsid w:val="00022754"/>
    <w:rsid w:val="00051714"/>
    <w:rsid w:val="000521A5"/>
    <w:rsid w:val="0005381F"/>
    <w:rsid w:val="00072905"/>
    <w:rsid w:val="00076F71"/>
    <w:rsid w:val="000A1423"/>
    <w:rsid w:val="000B1380"/>
    <w:rsid w:val="000C7081"/>
    <w:rsid w:val="000D1539"/>
    <w:rsid w:val="000E7B98"/>
    <w:rsid w:val="000F1D0D"/>
    <w:rsid w:val="00116458"/>
    <w:rsid w:val="001213E1"/>
    <w:rsid w:val="00127508"/>
    <w:rsid w:val="0013315D"/>
    <w:rsid w:val="00157458"/>
    <w:rsid w:val="00165E56"/>
    <w:rsid w:val="001728E5"/>
    <w:rsid w:val="00185129"/>
    <w:rsid w:val="0019187E"/>
    <w:rsid w:val="00195803"/>
    <w:rsid w:val="001A4832"/>
    <w:rsid w:val="001B47A6"/>
    <w:rsid w:val="001C7AC2"/>
    <w:rsid w:val="001D1E77"/>
    <w:rsid w:val="001D79E8"/>
    <w:rsid w:val="001E3854"/>
    <w:rsid w:val="001E5C97"/>
    <w:rsid w:val="001F590E"/>
    <w:rsid w:val="00203887"/>
    <w:rsid w:val="00230FB9"/>
    <w:rsid w:val="002410DE"/>
    <w:rsid w:val="002628CB"/>
    <w:rsid w:val="00266FC9"/>
    <w:rsid w:val="002806B6"/>
    <w:rsid w:val="002C1545"/>
    <w:rsid w:val="002C1D85"/>
    <w:rsid w:val="002C3F09"/>
    <w:rsid w:val="002C78ED"/>
    <w:rsid w:val="002C7D35"/>
    <w:rsid w:val="002D4299"/>
    <w:rsid w:val="002E0CD8"/>
    <w:rsid w:val="002E4787"/>
    <w:rsid w:val="002E65D7"/>
    <w:rsid w:val="002E6CBE"/>
    <w:rsid w:val="00300705"/>
    <w:rsid w:val="00311209"/>
    <w:rsid w:val="00312811"/>
    <w:rsid w:val="003134D1"/>
    <w:rsid w:val="003305C5"/>
    <w:rsid w:val="0034573D"/>
    <w:rsid w:val="00361B0B"/>
    <w:rsid w:val="00367198"/>
    <w:rsid w:val="003722B3"/>
    <w:rsid w:val="00372A06"/>
    <w:rsid w:val="00385064"/>
    <w:rsid w:val="00385F3E"/>
    <w:rsid w:val="00387536"/>
    <w:rsid w:val="00392C42"/>
    <w:rsid w:val="00396A43"/>
    <w:rsid w:val="003A0865"/>
    <w:rsid w:val="003C3C2F"/>
    <w:rsid w:val="003D1DB4"/>
    <w:rsid w:val="003D5947"/>
    <w:rsid w:val="003E778A"/>
    <w:rsid w:val="003F3285"/>
    <w:rsid w:val="00424382"/>
    <w:rsid w:val="00431B01"/>
    <w:rsid w:val="00445F7B"/>
    <w:rsid w:val="004518D2"/>
    <w:rsid w:val="00453191"/>
    <w:rsid w:val="0045682C"/>
    <w:rsid w:val="00457E98"/>
    <w:rsid w:val="00460312"/>
    <w:rsid w:val="004722AF"/>
    <w:rsid w:val="004732A6"/>
    <w:rsid w:val="004812A5"/>
    <w:rsid w:val="004839DF"/>
    <w:rsid w:val="00483FF6"/>
    <w:rsid w:val="0049286D"/>
    <w:rsid w:val="004A1BC0"/>
    <w:rsid w:val="004A3731"/>
    <w:rsid w:val="004C34F7"/>
    <w:rsid w:val="004D02AB"/>
    <w:rsid w:val="004D1240"/>
    <w:rsid w:val="004E08FE"/>
    <w:rsid w:val="00500576"/>
    <w:rsid w:val="00507E7F"/>
    <w:rsid w:val="00522007"/>
    <w:rsid w:val="00540259"/>
    <w:rsid w:val="00556219"/>
    <w:rsid w:val="0056437D"/>
    <w:rsid w:val="005654E9"/>
    <w:rsid w:val="00572112"/>
    <w:rsid w:val="00573638"/>
    <w:rsid w:val="005852A7"/>
    <w:rsid w:val="0059511A"/>
    <w:rsid w:val="005B61D8"/>
    <w:rsid w:val="005B657F"/>
    <w:rsid w:val="005C3175"/>
    <w:rsid w:val="005C3DA0"/>
    <w:rsid w:val="005C676F"/>
    <w:rsid w:val="005E7AA5"/>
    <w:rsid w:val="005E7B2C"/>
    <w:rsid w:val="005F20CE"/>
    <w:rsid w:val="006035F5"/>
    <w:rsid w:val="0060510A"/>
    <w:rsid w:val="00616514"/>
    <w:rsid w:val="006170E1"/>
    <w:rsid w:val="00625A84"/>
    <w:rsid w:val="0065094E"/>
    <w:rsid w:val="006640C6"/>
    <w:rsid w:val="006757BB"/>
    <w:rsid w:val="0069217F"/>
    <w:rsid w:val="00692C2D"/>
    <w:rsid w:val="006A0486"/>
    <w:rsid w:val="006A4855"/>
    <w:rsid w:val="006B0A88"/>
    <w:rsid w:val="006B578D"/>
    <w:rsid w:val="006B5F61"/>
    <w:rsid w:val="006B7743"/>
    <w:rsid w:val="006D115E"/>
    <w:rsid w:val="006D2549"/>
    <w:rsid w:val="006E0848"/>
    <w:rsid w:val="006E27B1"/>
    <w:rsid w:val="006E6BE9"/>
    <w:rsid w:val="00702B23"/>
    <w:rsid w:val="00707C66"/>
    <w:rsid w:val="00716D42"/>
    <w:rsid w:val="0072045F"/>
    <w:rsid w:val="00720A89"/>
    <w:rsid w:val="00724CA8"/>
    <w:rsid w:val="00734B0F"/>
    <w:rsid w:val="00735AE7"/>
    <w:rsid w:val="00737C44"/>
    <w:rsid w:val="007409B9"/>
    <w:rsid w:val="007419F4"/>
    <w:rsid w:val="00745C0E"/>
    <w:rsid w:val="00746D47"/>
    <w:rsid w:val="00750003"/>
    <w:rsid w:val="007702EB"/>
    <w:rsid w:val="007720B2"/>
    <w:rsid w:val="00775BE5"/>
    <w:rsid w:val="00785E3A"/>
    <w:rsid w:val="00786619"/>
    <w:rsid w:val="00786799"/>
    <w:rsid w:val="007B6687"/>
    <w:rsid w:val="007C6B39"/>
    <w:rsid w:val="00800CFA"/>
    <w:rsid w:val="00805D08"/>
    <w:rsid w:val="00823742"/>
    <w:rsid w:val="008453B4"/>
    <w:rsid w:val="00851B36"/>
    <w:rsid w:val="00852F74"/>
    <w:rsid w:val="00856836"/>
    <w:rsid w:val="00865B03"/>
    <w:rsid w:val="00867A21"/>
    <w:rsid w:val="008775DF"/>
    <w:rsid w:val="008826CB"/>
    <w:rsid w:val="008A17F7"/>
    <w:rsid w:val="008A590C"/>
    <w:rsid w:val="008B0DA3"/>
    <w:rsid w:val="008D15D9"/>
    <w:rsid w:val="008F2FAE"/>
    <w:rsid w:val="00902BE4"/>
    <w:rsid w:val="009317F1"/>
    <w:rsid w:val="00961E23"/>
    <w:rsid w:val="00977CD3"/>
    <w:rsid w:val="00982D14"/>
    <w:rsid w:val="00992EB4"/>
    <w:rsid w:val="00995F22"/>
    <w:rsid w:val="00997A16"/>
    <w:rsid w:val="009B3EAB"/>
    <w:rsid w:val="009B5F3B"/>
    <w:rsid w:val="009B721D"/>
    <w:rsid w:val="009D0ADF"/>
    <w:rsid w:val="009D0FFF"/>
    <w:rsid w:val="00A109FD"/>
    <w:rsid w:val="00A1499A"/>
    <w:rsid w:val="00A30171"/>
    <w:rsid w:val="00A31734"/>
    <w:rsid w:val="00A31936"/>
    <w:rsid w:val="00A3325C"/>
    <w:rsid w:val="00A35754"/>
    <w:rsid w:val="00A4239A"/>
    <w:rsid w:val="00A57E7F"/>
    <w:rsid w:val="00A87940"/>
    <w:rsid w:val="00AA37EC"/>
    <w:rsid w:val="00AA7CC7"/>
    <w:rsid w:val="00AB61A8"/>
    <w:rsid w:val="00AB7747"/>
    <w:rsid w:val="00AB775F"/>
    <w:rsid w:val="00AC7B7B"/>
    <w:rsid w:val="00AD203B"/>
    <w:rsid w:val="00AE1202"/>
    <w:rsid w:val="00AF6623"/>
    <w:rsid w:val="00AF763C"/>
    <w:rsid w:val="00B145EC"/>
    <w:rsid w:val="00B14EB9"/>
    <w:rsid w:val="00B238CC"/>
    <w:rsid w:val="00B26E79"/>
    <w:rsid w:val="00B30063"/>
    <w:rsid w:val="00B34D4C"/>
    <w:rsid w:val="00B429C7"/>
    <w:rsid w:val="00B448B1"/>
    <w:rsid w:val="00B57327"/>
    <w:rsid w:val="00B653C8"/>
    <w:rsid w:val="00B66CF4"/>
    <w:rsid w:val="00B775C6"/>
    <w:rsid w:val="00B80560"/>
    <w:rsid w:val="00B94703"/>
    <w:rsid w:val="00BB142F"/>
    <w:rsid w:val="00BB5AF6"/>
    <w:rsid w:val="00BB6BD5"/>
    <w:rsid w:val="00BC5F77"/>
    <w:rsid w:val="00BC7005"/>
    <w:rsid w:val="00BD5ABF"/>
    <w:rsid w:val="00BF1F80"/>
    <w:rsid w:val="00BF5141"/>
    <w:rsid w:val="00C026BD"/>
    <w:rsid w:val="00C06871"/>
    <w:rsid w:val="00C244E8"/>
    <w:rsid w:val="00C45110"/>
    <w:rsid w:val="00C67049"/>
    <w:rsid w:val="00C756A6"/>
    <w:rsid w:val="00C8398B"/>
    <w:rsid w:val="00C8421B"/>
    <w:rsid w:val="00C842E4"/>
    <w:rsid w:val="00CB0328"/>
    <w:rsid w:val="00CD3281"/>
    <w:rsid w:val="00CD4001"/>
    <w:rsid w:val="00CD4FF4"/>
    <w:rsid w:val="00CD5A2D"/>
    <w:rsid w:val="00CE11FF"/>
    <w:rsid w:val="00CE640B"/>
    <w:rsid w:val="00D01A76"/>
    <w:rsid w:val="00D066D3"/>
    <w:rsid w:val="00D23C4B"/>
    <w:rsid w:val="00D25091"/>
    <w:rsid w:val="00D511B0"/>
    <w:rsid w:val="00D6542A"/>
    <w:rsid w:val="00D65D18"/>
    <w:rsid w:val="00D716A3"/>
    <w:rsid w:val="00D725E3"/>
    <w:rsid w:val="00D90D66"/>
    <w:rsid w:val="00DA0F12"/>
    <w:rsid w:val="00DC1E83"/>
    <w:rsid w:val="00DD6166"/>
    <w:rsid w:val="00DE1DE4"/>
    <w:rsid w:val="00DF7CB5"/>
    <w:rsid w:val="00DF7ED8"/>
    <w:rsid w:val="00E1503E"/>
    <w:rsid w:val="00E154A9"/>
    <w:rsid w:val="00E27542"/>
    <w:rsid w:val="00E34301"/>
    <w:rsid w:val="00E40281"/>
    <w:rsid w:val="00E41061"/>
    <w:rsid w:val="00E41E3D"/>
    <w:rsid w:val="00E55B22"/>
    <w:rsid w:val="00E56F8D"/>
    <w:rsid w:val="00E61BA6"/>
    <w:rsid w:val="00E67010"/>
    <w:rsid w:val="00E83E6A"/>
    <w:rsid w:val="00E846BF"/>
    <w:rsid w:val="00E84DBC"/>
    <w:rsid w:val="00E92B55"/>
    <w:rsid w:val="00E95732"/>
    <w:rsid w:val="00EA3768"/>
    <w:rsid w:val="00EA3FE7"/>
    <w:rsid w:val="00EA4646"/>
    <w:rsid w:val="00EC0C20"/>
    <w:rsid w:val="00EC146C"/>
    <w:rsid w:val="00EC6E23"/>
    <w:rsid w:val="00ED455B"/>
    <w:rsid w:val="00EF2139"/>
    <w:rsid w:val="00EF407D"/>
    <w:rsid w:val="00F2344B"/>
    <w:rsid w:val="00F31578"/>
    <w:rsid w:val="00F31747"/>
    <w:rsid w:val="00F50D84"/>
    <w:rsid w:val="00F53581"/>
    <w:rsid w:val="00F54185"/>
    <w:rsid w:val="00F553BE"/>
    <w:rsid w:val="00F57043"/>
    <w:rsid w:val="00F77F68"/>
    <w:rsid w:val="00F84E23"/>
    <w:rsid w:val="00F8539D"/>
    <w:rsid w:val="00F87714"/>
    <w:rsid w:val="00F961AC"/>
    <w:rsid w:val="00FA5CA4"/>
    <w:rsid w:val="00FB1BBF"/>
    <w:rsid w:val="00FC0322"/>
    <w:rsid w:val="00FD3166"/>
    <w:rsid w:val="00FD3DB6"/>
    <w:rsid w:val="00FD5A8E"/>
    <w:rsid w:val="00FF3401"/>
    <w:rsid w:val="00FF3743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1550B"/>
  <w15:docId w15:val="{79DBF295-D91A-4D73-A770-2BB3E91E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410D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2410DE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rsid w:val="004518D2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rsid w:val="004518D2"/>
    <w:rPr>
      <w:rFonts w:ascii="Tahoma" w:hAnsi="Tahoma" w:cs="Tahoma"/>
      <w:sz w:val="16"/>
      <w:szCs w:val="16"/>
    </w:rPr>
  </w:style>
  <w:style w:type="character" w:styleId="a6">
    <w:name w:val="annotation reference"/>
    <w:semiHidden/>
    <w:unhideWhenUsed/>
    <w:rsid w:val="007409B9"/>
    <w:rPr>
      <w:sz w:val="16"/>
      <w:szCs w:val="16"/>
    </w:rPr>
  </w:style>
  <w:style w:type="paragraph" w:styleId="a7">
    <w:name w:val="annotation text"/>
    <w:basedOn w:val="a"/>
    <w:link w:val="Char2"/>
    <w:semiHidden/>
    <w:unhideWhenUsed/>
    <w:rsid w:val="007409B9"/>
    <w:rPr>
      <w:sz w:val="20"/>
      <w:szCs w:val="20"/>
    </w:rPr>
  </w:style>
  <w:style w:type="character" w:customStyle="1" w:styleId="Char2">
    <w:name w:val="Κείμενο σχολίου Char"/>
    <w:link w:val="a7"/>
    <w:semiHidden/>
    <w:rsid w:val="007409B9"/>
    <w:rPr>
      <w:rFonts w:ascii="Arial" w:hAnsi="Arial"/>
      <w:lang w:val="el-GR" w:eastAsia="el-GR"/>
    </w:rPr>
  </w:style>
  <w:style w:type="paragraph" w:styleId="a8">
    <w:name w:val="annotation subject"/>
    <w:basedOn w:val="a7"/>
    <w:next w:val="a7"/>
    <w:link w:val="Char3"/>
    <w:semiHidden/>
    <w:unhideWhenUsed/>
    <w:rsid w:val="007409B9"/>
    <w:rPr>
      <w:b/>
      <w:bCs/>
    </w:rPr>
  </w:style>
  <w:style w:type="character" w:customStyle="1" w:styleId="Char3">
    <w:name w:val="Θέμα σχολίου Char"/>
    <w:link w:val="a8"/>
    <w:semiHidden/>
    <w:rsid w:val="007409B9"/>
    <w:rPr>
      <w:rFonts w:ascii="Arial" w:hAnsi="Arial"/>
      <w:b/>
      <w:bCs/>
      <w:lang w:val="el-GR" w:eastAsia="el-GR"/>
    </w:rPr>
  </w:style>
  <w:style w:type="paragraph" w:styleId="a9">
    <w:name w:val="List Paragraph"/>
    <w:basedOn w:val="a"/>
    <w:uiPriority w:val="34"/>
    <w:qFormat/>
    <w:rsid w:val="003134D1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har0">
    <w:name w:val="Υποσέλιδο Char"/>
    <w:link w:val="a4"/>
    <w:uiPriority w:val="99"/>
    <w:rsid w:val="00CD4FF4"/>
    <w:rPr>
      <w:rFonts w:ascii="Arial" w:hAnsi="Arial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203887"/>
    <w:rPr>
      <w:rFonts w:ascii="Arial" w:hAnsi="Arial"/>
      <w:sz w:val="22"/>
      <w:szCs w:val="22"/>
    </w:rPr>
  </w:style>
  <w:style w:type="paragraph" w:styleId="aa">
    <w:name w:val="Body Text"/>
    <w:basedOn w:val="a"/>
    <w:link w:val="Char4"/>
    <w:uiPriority w:val="99"/>
    <w:semiHidden/>
    <w:unhideWhenUsed/>
    <w:rsid w:val="00203887"/>
    <w:pPr>
      <w:spacing w:after="120" w:line="259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Char4">
    <w:name w:val="Σώμα κειμένου Char"/>
    <w:basedOn w:val="a0"/>
    <w:link w:val="aa"/>
    <w:uiPriority w:val="99"/>
    <w:semiHidden/>
    <w:rsid w:val="0020388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-">
    <w:name w:val="Hyperlink"/>
    <w:basedOn w:val="a0"/>
    <w:unhideWhenUsed/>
    <w:rsid w:val="009B721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B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0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1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2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911">
          <w:marLeft w:val="40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047">
          <w:marLeft w:val="40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olotas.culligan\AppData\Local\Microsoft\Windows\INetCache\Content.Outlook\8LH63PQ4\letter%20watera%20gree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BCB7-5A0D-4A1C-82A8-FE42143A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watera greece</Template>
  <TotalTime>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Aegis Media Hellas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Alexandros Zolotas</dc:creator>
  <cp:lastModifiedBy>Ερμής 2</cp:lastModifiedBy>
  <cp:revision>2</cp:revision>
  <cp:lastPrinted>2020-02-17T14:04:00Z</cp:lastPrinted>
  <dcterms:created xsi:type="dcterms:W3CDTF">2022-04-20T07:44:00Z</dcterms:created>
  <dcterms:modified xsi:type="dcterms:W3CDTF">2022-04-20T07:44:00Z</dcterms:modified>
</cp:coreProperties>
</file>