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1957B" w14:textId="65B10643" w:rsidR="007804BF" w:rsidRPr="00B3359B" w:rsidRDefault="0087770D">
      <w:pPr>
        <w:jc w:val="center"/>
        <w:rPr>
          <w:sz w:val="20"/>
          <w:szCs w:val="20"/>
          <w:lang w:val="el-GR"/>
        </w:rPr>
      </w:pPr>
      <w:r w:rsidRPr="00B3359B">
        <w:rPr>
          <w:rFonts w:ascii="Arial" w:eastAsia="Arial" w:hAnsi="Arial" w:cs="Arial"/>
          <w:b/>
          <w:bCs/>
          <w:sz w:val="20"/>
          <w:szCs w:val="20"/>
          <w:lang w:val="el-GR"/>
        </w:rPr>
        <w:t>Διορθωτική Σημείωση σύμφωνα με την παρ. 2 του άρθρου 23 του ν.3556/2007</w:t>
      </w:r>
    </w:p>
    <w:p w14:paraId="72107B47" w14:textId="77777777" w:rsidR="007804BF" w:rsidRPr="00B3359B" w:rsidRDefault="007804BF">
      <w:pPr>
        <w:spacing w:line="241" w:lineRule="exact"/>
        <w:rPr>
          <w:sz w:val="24"/>
          <w:szCs w:val="24"/>
          <w:lang w:val="el-GR"/>
        </w:rPr>
      </w:pPr>
    </w:p>
    <w:p w14:paraId="7D564CB3" w14:textId="05C38EA6" w:rsidR="007804BF" w:rsidRPr="00B3359B" w:rsidRDefault="0087770D">
      <w:pPr>
        <w:spacing w:line="271" w:lineRule="auto"/>
        <w:jc w:val="both"/>
        <w:rPr>
          <w:sz w:val="20"/>
          <w:szCs w:val="20"/>
          <w:lang w:val="el-GR"/>
        </w:rPr>
      </w:pPr>
      <w:r w:rsidRPr="00B3359B">
        <w:rPr>
          <w:rFonts w:ascii="Arial" w:eastAsia="Arial" w:hAnsi="Arial" w:cs="Arial"/>
          <w:sz w:val="20"/>
          <w:szCs w:val="20"/>
          <w:lang w:val="el-GR"/>
        </w:rPr>
        <w:t xml:space="preserve">Μετά από παρατηρήσεις της Επιτροπής Κεφαλαιαγοράς </w:t>
      </w:r>
      <w:r w:rsidR="00893CC8">
        <w:rPr>
          <w:rFonts w:ascii="Arial" w:eastAsia="Arial" w:hAnsi="Arial" w:cs="Arial"/>
          <w:sz w:val="20"/>
          <w:szCs w:val="20"/>
          <w:lang w:val="el-GR"/>
        </w:rPr>
        <w:t>-</w:t>
      </w:r>
      <w:r w:rsidRPr="00B3359B">
        <w:rPr>
          <w:rFonts w:ascii="Arial" w:eastAsia="Arial" w:hAnsi="Arial" w:cs="Arial"/>
          <w:sz w:val="20"/>
          <w:szCs w:val="20"/>
          <w:lang w:val="el-GR"/>
        </w:rPr>
        <w:t xml:space="preserve">δυνάμει της από 04.03.2022 επιστολής </w:t>
      </w:r>
      <w:r w:rsidR="00893CC8">
        <w:rPr>
          <w:rFonts w:ascii="Arial" w:eastAsia="Arial" w:hAnsi="Arial" w:cs="Arial"/>
          <w:sz w:val="20"/>
          <w:szCs w:val="20"/>
          <w:lang w:val="el-GR"/>
        </w:rPr>
        <w:t>της-,</w:t>
      </w:r>
      <w:r w:rsidRPr="00B3359B">
        <w:rPr>
          <w:rFonts w:ascii="Arial" w:eastAsia="Arial" w:hAnsi="Arial" w:cs="Arial"/>
          <w:sz w:val="20"/>
          <w:szCs w:val="20"/>
          <w:lang w:val="el-GR"/>
        </w:rPr>
        <w:t xml:space="preserve"> στο πλαίσιο της εξέτασης των ετήσιων οικονομικών καταστάσεων </w:t>
      </w:r>
      <w:r w:rsidR="00893CC8">
        <w:rPr>
          <w:rFonts w:ascii="Arial" w:eastAsia="Arial" w:hAnsi="Arial" w:cs="Arial"/>
          <w:sz w:val="20"/>
          <w:szCs w:val="20"/>
          <w:lang w:val="el-GR"/>
        </w:rPr>
        <w:t xml:space="preserve">της ΜΠΗΤΡΟΣ ΣΥΜΜΕΤΟΧΙΚΗ Α.Ε. (η «Εταιρεία») </w:t>
      </w:r>
      <w:r w:rsidRPr="00B3359B">
        <w:rPr>
          <w:rFonts w:ascii="Arial" w:eastAsia="Arial" w:hAnsi="Arial" w:cs="Arial"/>
          <w:sz w:val="20"/>
          <w:szCs w:val="20"/>
          <w:lang w:val="el-GR"/>
        </w:rPr>
        <w:t xml:space="preserve"> τη</w:t>
      </w:r>
      <w:r w:rsidR="00893CC8">
        <w:rPr>
          <w:rFonts w:ascii="Arial" w:eastAsia="Arial" w:hAnsi="Arial" w:cs="Arial"/>
          <w:sz w:val="20"/>
          <w:szCs w:val="20"/>
          <w:lang w:val="el-GR"/>
        </w:rPr>
        <w:t>ς</w:t>
      </w:r>
      <w:r w:rsidRPr="00B3359B">
        <w:rPr>
          <w:rFonts w:ascii="Arial" w:eastAsia="Arial" w:hAnsi="Arial" w:cs="Arial"/>
          <w:sz w:val="20"/>
          <w:szCs w:val="20"/>
          <w:lang w:val="el-GR"/>
        </w:rPr>
        <w:t xml:space="preserve"> χρήση</w:t>
      </w:r>
      <w:r w:rsidR="00893CC8">
        <w:rPr>
          <w:rFonts w:ascii="Arial" w:eastAsia="Arial" w:hAnsi="Arial" w:cs="Arial"/>
          <w:sz w:val="20"/>
          <w:szCs w:val="20"/>
          <w:lang w:val="el-GR"/>
        </w:rPr>
        <w:t>ς</w:t>
      </w:r>
      <w:r w:rsidRPr="00B3359B">
        <w:rPr>
          <w:rFonts w:ascii="Arial" w:eastAsia="Arial" w:hAnsi="Arial" w:cs="Arial"/>
          <w:sz w:val="20"/>
          <w:szCs w:val="20"/>
          <w:lang w:val="el-GR"/>
        </w:rPr>
        <w:t xml:space="preserve"> 2020</w:t>
      </w:r>
      <w:r w:rsidR="00893CC8">
        <w:rPr>
          <w:rFonts w:ascii="Arial" w:eastAsia="Arial" w:hAnsi="Arial" w:cs="Arial"/>
          <w:sz w:val="20"/>
          <w:szCs w:val="20"/>
          <w:lang w:val="el-GR"/>
        </w:rPr>
        <w:t>,</w:t>
      </w:r>
      <w:r w:rsidRPr="00B3359B">
        <w:rPr>
          <w:rFonts w:ascii="Arial" w:eastAsia="Arial" w:hAnsi="Arial" w:cs="Arial"/>
          <w:sz w:val="20"/>
          <w:szCs w:val="20"/>
          <w:lang w:val="el-GR"/>
        </w:rPr>
        <w:t xml:space="preserve"> αναφορικά με τον έλεγχο </w:t>
      </w:r>
      <w:proofErr w:type="spellStart"/>
      <w:r w:rsidRPr="00B3359B">
        <w:rPr>
          <w:rFonts w:ascii="Arial" w:eastAsia="Arial" w:hAnsi="Arial" w:cs="Arial"/>
          <w:sz w:val="20"/>
          <w:szCs w:val="20"/>
          <w:lang w:val="el-GR"/>
        </w:rPr>
        <w:t>απομείωσης</w:t>
      </w:r>
      <w:proofErr w:type="spellEnd"/>
      <w:r w:rsidRPr="00B3359B">
        <w:rPr>
          <w:rFonts w:ascii="Arial" w:eastAsia="Arial" w:hAnsi="Arial" w:cs="Arial"/>
          <w:sz w:val="20"/>
          <w:szCs w:val="20"/>
          <w:lang w:val="el-GR"/>
        </w:rPr>
        <w:t xml:space="preserve"> της αξίας θυγατρικών εταιρειών ποσού € 36.124 χιλ., η Διοίκηση </w:t>
      </w:r>
      <w:r w:rsidR="00893CC8">
        <w:rPr>
          <w:rFonts w:ascii="Arial" w:eastAsia="Arial" w:hAnsi="Arial" w:cs="Arial"/>
          <w:sz w:val="20"/>
          <w:szCs w:val="20"/>
          <w:lang w:val="el-GR"/>
        </w:rPr>
        <w:t>της Εταιρείας</w:t>
      </w:r>
      <w:r w:rsidRPr="00B3359B">
        <w:rPr>
          <w:rFonts w:ascii="Arial" w:eastAsia="Arial" w:hAnsi="Arial" w:cs="Arial"/>
          <w:sz w:val="20"/>
          <w:szCs w:val="20"/>
          <w:lang w:val="el-GR"/>
        </w:rPr>
        <w:t xml:space="preserve"> προέβη σε εκ νέου αποτίμηση </w:t>
      </w:r>
      <w:r w:rsidR="00893CC8">
        <w:rPr>
          <w:rFonts w:ascii="Arial" w:eastAsia="Arial" w:hAnsi="Arial" w:cs="Arial"/>
          <w:sz w:val="20"/>
          <w:szCs w:val="20"/>
          <w:lang w:val="el-GR"/>
        </w:rPr>
        <w:t xml:space="preserve">της αξίας </w:t>
      </w:r>
      <w:r w:rsidRPr="00B3359B">
        <w:rPr>
          <w:rFonts w:ascii="Arial" w:eastAsia="Arial" w:hAnsi="Arial" w:cs="Arial"/>
          <w:sz w:val="20"/>
          <w:szCs w:val="20"/>
          <w:lang w:val="el-GR"/>
        </w:rPr>
        <w:t>των εν λόγω εταιρειών.</w:t>
      </w:r>
    </w:p>
    <w:p w14:paraId="320B1B38" w14:textId="3A443B50" w:rsidR="007804BF" w:rsidRPr="00B3359B" w:rsidRDefault="0087770D">
      <w:pPr>
        <w:spacing w:line="270" w:lineRule="auto"/>
        <w:jc w:val="both"/>
        <w:rPr>
          <w:sz w:val="20"/>
          <w:szCs w:val="20"/>
          <w:lang w:val="el-GR"/>
        </w:rPr>
      </w:pPr>
      <w:r w:rsidRPr="00B3359B">
        <w:rPr>
          <w:rFonts w:ascii="Arial" w:eastAsia="Arial" w:hAnsi="Arial" w:cs="Arial"/>
          <w:sz w:val="20"/>
          <w:szCs w:val="20"/>
          <w:lang w:val="el-GR"/>
        </w:rPr>
        <w:t xml:space="preserve">Κατά την διαδικασία της νέας αποτίμησης υιοθετήθηκε </w:t>
      </w:r>
      <w:r w:rsidR="00893CC8">
        <w:rPr>
          <w:rFonts w:ascii="Arial" w:eastAsia="Arial" w:hAnsi="Arial" w:cs="Arial"/>
          <w:sz w:val="20"/>
          <w:szCs w:val="20"/>
          <w:lang w:val="el-GR"/>
        </w:rPr>
        <w:t>-</w:t>
      </w:r>
      <w:r w:rsidRPr="00B3359B">
        <w:rPr>
          <w:rFonts w:ascii="Arial" w:eastAsia="Arial" w:hAnsi="Arial" w:cs="Arial"/>
          <w:sz w:val="20"/>
          <w:szCs w:val="20"/>
          <w:lang w:val="el-GR"/>
        </w:rPr>
        <w:t xml:space="preserve">και ενσωματώθηκε στις προϋπολογισθείσες </w:t>
      </w:r>
      <w:proofErr w:type="spellStart"/>
      <w:r w:rsidRPr="00B3359B">
        <w:rPr>
          <w:rFonts w:ascii="Arial" w:eastAsia="Arial" w:hAnsi="Arial" w:cs="Arial"/>
          <w:sz w:val="20"/>
          <w:szCs w:val="20"/>
          <w:lang w:val="el-GR"/>
        </w:rPr>
        <w:t>χρηματοροές</w:t>
      </w:r>
      <w:proofErr w:type="spellEnd"/>
      <w:r w:rsidRPr="00B3359B">
        <w:rPr>
          <w:rFonts w:ascii="Arial" w:eastAsia="Arial" w:hAnsi="Arial" w:cs="Arial"/>
          <w:sz w:val="20"/>
          <w:szCs w:val="20"/>
          <w:lang w:val="el-GR"/>
        </w:rPr>
        <w:t xml:space="preserve"> των επιχειρηματικών σχεδίων</w:t>
      </w:r>
      <w:r w:rsidR="00893CC8">
        <w:rPr>
          <w:rFonts w:ascii="Arial" w:eastAsia="Arial" w:hAnsi="Arial" w:cs="Arial"/>
          <w:sz w:val="20"/>
          <w:szCs w:val="20"/>
          <w:lang w:val="el-GR"/>
        </w:rPr>
        <w:t>-</w:t>
      </w:r>
      <w:r w:rsidRPr="00B3359B">
        <w:rPr>
          <w:rFonts w:ascii="Arial" w:eastAsia="Arial" w:hAnsi="Arial" w:cs="Arial"/>
          <w:sz w:val="20"/>
          <w:szCs w:val="20"/>
          <w:lang w:val="el-GR"/>
        </w:rPr>
        <w:t xml:space="preserve"> ένα πιο συντηρητικό σενάριο βασικών παραδοχών.</w:t>
      </w:r>
    </w:p>
    <w:p w14:paraId="6F200B62" w14:textId="77777777" w:rsidR="007804BF" w:rsidRPr="00B3359B" w:rsidRDefault="007804BF">
      <w:pPr>
        <w:spacing w:line="283" w:lineRule="exact"/>
        <w:rPr>
          <w:sz w:val="24"/>
          <w:szCs w:val="24"/>
          <w:lang w:val="el-GR"/>
        </w:rPr>
      </w:pPr>
    </w:p>
    <w:p w14:paraId="3B6198DA" w14:textId="0133959B" w:rsidR="007804BF" w:rsidRPr="00B3359B" w:rsidRDefault="0087770D">
      <w:pPr>
        <w:spacing w:line="270" w:lineRule="auto"/>
        <w:jc w:val="both"/>
        <w:rPr>
          <w:sz w:val="20"/>
          <w:szCs w:val="20"/>
          <w:lang w:val="el-GR"/>
        </w:rPr>
      </w:pPr>
      <w:r w:rsidRPr="00B3359B">
        <w:rPr>
          <w:rFonts w:ascii="Arial" w:eastAsia="Arial" w:hAnsi="Arial" w:cs="Arial"/>
          <w:sz w:val="20"/>
          <w:szCs w:val="20"/>
          <w:lang w:val="el-GR"/>
        </w:rPr>
        <w:t xml:space="preserve">Το γεγονός αυτό επιφέρει τις ακόλουθες μεταβολές στα </w:t>
      </w:r>
      <w:r w:rsidR="00893CC8">
        <w:rPr>
          <w:rFonts w:ascii="Arial" w:eastAsia="Arial" w:hAnsi="Arial" w:cs="Arial"/>
          <w:sz w:val="20"/>
          <w:szCs w:val="20"/>
          <w:lang w:val="el-GR"/>
        </w:rPr>
        <w:t>μεγέθη</w:t>
      </w:r>
      <w:r w:rsidR="001A17F6">
        <w:rPr>
          <w:rFonts w:ascii="Arial" w:eastAsia="Arial" w:hAnsi="Arial" w:cs="Arial"/>
          <w:sz w:val="20"/>
          <w:szCs w:val="20"/>
          <w:lang w:val="el-GR"/>
        </w:rPr>
        <w:t xml:space="preserve"> </w:t>
      </w:r>
      <w:r w:rsidRPr="00B3359B">
        <w:rPr>
          <w:rFonts w:ascii="Arial" w:eastAsia="Arial" w:hAnsi="Arial" w:cs="Arial"/>
          <w:sz w:val="20"/>
          <w:szCs w:val="20"/>
          <w:lang w:val="el-GR"/>
        </w:rPr>
        <w:t xml:space="preserve">των </w:t>
      </w:r>
      <w:r w:rsidR="001A17F6">
        <w:rPr>
          <w:rFonts w:ascii="Arial" w:eastAsia="Arial" w:hAnsi="Arial" w:cs="Arial"/>
          <w:sz w:val="20"/>
          <w:szCs w:val="20"/>
          <w:lang w:val="el-GR"/>
        </w:rPr>
        <w:t xml:space="preserve">ατομικών </w:t>
      </w:r>
      <w:r w:rsidRPr="00B3359B">
        <w:rPr>
          <w:rFonts w:ascii="Arial" w:eastAsia="Arial" w:hAnsi="Arial" w:cs="Arial"/>
          <w:sz w:val="20"/>
          <w:szCs w:val="20"/>
          <w:lang w:val="el-GR"/>
        </w:rPr>
        <w:t xml:space="preserve">οικονομικών καταστάσεων της Εταιρείας (στα </w:t>
      </w:r>
      <w:r w:rsidR="001A17F6">
        <w:rPr>
          <w:rFonts w:ascii="Arial" w:eastAsia="Arial" w:hAnsi="Arial" w:cs="Arial"/>
          <w:sz w:val="20"/>
          <w:szCs w:val="20"/>
          <w:lang w:val="el-GR"/>
        </w:rPr>
        <w:t>μεγέθη</w:t>
      </w:r>
      <w:r w:rsidRPr="00B3359B">
        <w:rPr>
          <w:rFonts w:ascii="Arial" w:eastAsia="Arial" w:hAnsi="Arial" w:cs="Arial"/>
          <w:sz w:val="20"/>
          <w:szCs w:val="20"/>
          <w:lang w:val="el-GR"/>
        </w:rPr>
        <w:t xml:space="preserve"> των </w:t>
      </w:r>
      <w:r w:rsidR="001A17F6">
        <w:rPr>
          <w:rFonts w:ascii="Arial" w:eastAsia="Arial" w:hAnsi="Arial" w:cs="Arial"/>
          <w:sz w:val="20"/>
          <w:szCs w:val="20"/>
          <w:lang w:val="el-GR"/>
        </w:rPr>
        <w:t xml:space="preserve">ενοποιημένων </w:t>
      </w:r>
      <w:r w:rsidRPr="00B3359B">
        <w:rPr>
          <w:rFonts w:ascii="Arial" w:eastAsia="Arial" w:hAnsi="Arial" w:cs="Arial"/>
          <w:sz w:val="20"/>
          <w:szCs w:val="20"/>
          <w:lang w:val="el-GR"/>
        </w:rPr>
        <w:t>οικονομικών καταστάσεων ουδεμία μεταβολή επέρχεται) τη</w:t>
      </w:r>
      <w:r w:rsidR="001A17F6">
        <w:rPr>
          <w:rFonts w:ascii="Arial" w:eastAsia="Arial" w:hAnsi="Arial" w:cs="Arial"/>
          <w:sz w:val="20"/>
          <w:szCs w:val="20"/>
          <w:lang w:val="el-GR"/>
        </w:rPr>
        <w:t>ς</w:t>
      </w:r>
      <w:r w:rsidRPr="00B3359B">
        <w:rPr>
          <w:rFonts w:ascii="Arial" w:eastAsia="Arial" w:hAnsi="Arial" w:cs="Arial"/>
          <w:sz w:val="20"/>
          <w:szCs w:val="20"/>
          <w:lang w:val="el-GR"/>
        </w:rPr>
        <w:t xml:space="preserve"> χρήση</w:t>
      </w:r>
      <w:r w:rsidR="001A17F6">
        <w:rPr>
          <w:rFonts w:ascii="Arial" w:eastAsia="Arial" w:hAnsi="Arial" w:cs="Arial"/>
          <w:sz w:val="20"/>
          <w:szCs w:val="20"/>
          <w:lang w:val="el-GR"/>
        </w:rPr>
        <w:t>ς</w:t>
      </w:r>
      <w:r w:rsidRPr="00B3359B">
        <w:rPr>
          <w:rFonts w:ascii="Arial" w:eastAsia="Arial" w:hAnsi="Arial" w:cs="Arial"/>
          <w:sz w:val="20"/>
          <w:szCs w:val="20"/>
          <w:lang w:val="el-GR"/>
        </w:rPr>
        <w:t xml:space="preserve"> </w:t>
      </w:r>
      <w:r w:rsidRPr="00B3359B">
        <w:rPr>
          <w:rFonts w:ascii="Arial" w:eastAsia="Arial" w:hAnsi="Arial" w:cs="Arial"/>
          <w:b/>
          <w:bCs/>
          <w:sz w:val="20"/>
          <w:szCs w:val="20"/>
          <w:lang w:val="el-GR"/>
        </w:rPr>
        <w:t>2020 (01.01-31.12.2020)</w:t>
      </w:r>
      <w:r w:rsidRPr="00B3359B">
        <w:rPr>
          <w:rFonts w:ascii="Arial" w:eastAsia="Arial" w:hAnsi="Arial" w:cs="Arial"/>
          <w:sz w:val="20"/>
          <w:szCs w:val="20"/>
          <w:lang w:val="el-GR"/>
        </w:rPr>
        <w:t xml:space="preserve"> καθώς και τη</w:t>
      </w:r>
      <w:r w:rsidR="001A17F6">
        <w:rPr>
          <w:rFonts w:ascii="Arial" w:eastAsia="Arial" w:hAnsi="Arial" w:cs="Arial"/>
          <w:sz w:val="20"/>
          <w:szCs w:val="20"/>
          <w:lang w:val="el-GR"/>
        </w:rPr>
        <w:t>ς</w:t>
      </w:r>
      <w:r w:rsidRPr="00B3359B">
        <w:rPr>
          <w:rFonts w:ascii="Arial" w:eastAsia="Arial" w:hAnsi="Arial" w:cs="Arial"/>
          <w:sz w:val="20"/>
          <w:szCs w:val="20"/>
          <w:lang w:val="el-GR"/>
        </w:rPr>
        <w:t xml:space="preserve"> ενδιάμεση</w:t>
      </w:r>
      <w:r w:rsidR="001A17F6">
        <w:rPr>
          <w:rFonts w:ascii="Arial" w:eastAsia="Arial" w:hAnsi="Arial" w:cs="Arial"/>
          <w:sz w:val="20"/>
          <w:szCs w:val="20"/>
          <w:lang w:val="el-GR"/>
        </w:rPr>
        <w:t>ς</w:t>
      </w:r>
      <w:r w:rsidRPr="00B3359B">
        <w:rPr>
          <w:rFonts w:ascii="Arial" w:eastAsia="Arial" w:hAnsi="Arial" w:cs="Arial"/>
          <w:sz w:val="20"/>
          <w:szCs w:val="20"/>
          <w:lang w:val="el-GR"/>
        </w:rPr>
        <w:t xml:space="preserve"> </w:t>
      </w:r>
      <w:r w:rsidR="001A17F6">
        <w:rPr>
          <w:rFonts w:ascii="Arial" w:eastAsia="Arial" w:hAnsi="Arial" w:cs="Arial"/>
          <w:sz w:val="20"/>
          <w:szCs w:val="20"/>
          <w:lang w:val="el-GR"/>
        </w:rPr>
        <w:t>περιόδου</w:t>
      </w:r>
      <w:r w:rsidRPr="00B3359B">
        <w:rPr>
          <w:rFonts w:ascii="Arial" w:eastAsia="Arial" w:hAnsi="Arial" w:cs="Arial"/>
          <w:sz w:val="20"/>
          <w:szCs w:val="20"/>
          <w:lang w:val="el-GR"/>
        </w:rPr>
        <w:t xml:space="preserve"> </w:t>
      </w:r>
      <w:r w:rsidRPr="00B3359B">
        <w:rPr>
          <w:rFonts w:ascii="Arial" w:eastAsia="Arial" w:hAnsi="Arial" w:cs="Arial"/>
          <w:b/>
          <w:bCs/>
          <w:sz w:val="20"/>
          <w:szCs w:val="20"/>
          <w:lang w:val="el-GR"/>
        </w:rPr>
        <w:t>01.01-30.06.2021</w:t>
      </w:r>
      <w:r w:rsidRPr="00B3359B">
        <w:rPr>
          <w:rFonts w:ascii="Arial" w:eastAsia="Arial" w:hAnsi="Arial" w:cs="Arial"/>
          <w:sz w:val="20"/>
          <w:szCs w:val="20"/>
          <w:lang w:val="el-GR"/>
        </w:rPr>
        <w:t>:</w:t>
      </w:r>
    </w:p>
    <w:p w14:paraId="2A31AC8D" w14:textId="77777777" w:rsidR="007804BF" w:rsidRPr="00B3359B" w:rsidRDefault="0087770D">
      <w:pPr>
        <w:spacing w:line="20" w:lineRule="exact"/>
        <w:rPr>
          <w:sz w:val="24"/>
          <w:szCs w:val="24"/>
          <w:lang w:val="el-GR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 wp14:anchorId="15C1AA88" wp14:editId="41B7F1C8">
            <wp:simplePos x="0" y="0"/>
            <wp:positionH relativeFrom="column">
              <wp:posOffset>0</wp:posOffset>
            </wp:positionH>
            <wp:positionV relativeFrom="paragraph">
              <wp:posOffset>297180</wp:posOffset>
            </wp:positionV>
            <wp:extent cx="5942965" cy="3092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B57064" w14:textId="77777777" w:rsidR="007804BF" w:rsidRPr="00B3359B" w:rsidRDefault="007804BF">
      <w:pPr>
        <w:spacing w:line="200" w:lineRule="exact"/>
        <w:rPr>
          <w:sz w:val="24"/>
          <w:szCs w:val="24"/>
          <w:lang w:val="el-GR"/>
        </w:rPr>
      </w:pPr>
    </w:p>
    <w:p w14:paraId="21A59DFF" w14:textId="77777777" w:rsidR="007804BF" w:rsidRPr="00B3359B" w:rsidRDefault="007804BF">
      <w:pPr>
        <w:spacing w:line="394" w:lineRule="exact"/>
        <w:rPr>
          <w:sz w:val="24"/>
          <w:szCs w:val="24"/>
          <w:lang w:val="el-G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0"/>
        <w:gridCol w:w="1580"/>
        <w:gridCol w:w="1380"/>
        <w:gridCol w:w="1420"/>
        <w:gridCol w:w="1360"/>
      </w:tblGrid>
      <w:tr w:rsidR="007804BF" w14:paraId="501DAC25" w14:textId="77777777">
        <w:trPr>
          <w:trHeight w:val="195"/>
        </w:trPr>
        <w:tc>
          <w:tcPr>
            <w:tcW w:w="3640" w:type="dxa"/>
            <w:vAlign w:val="bottom"/>
          </w:tcPr>
          <w:p w14:paraId="69AB082A" w14:textId="77777777" w:rsidR="007804BF" w:rsidRPr="00B3359B" w:rsidRDefault="007804BF">
            <w:pPr>
              <w:rPr>
                <w:sz w:val="16"/>
                <w:szCs w:val="16"/>
                <w:lang w:val="el-GR"/>
              </w:rPr>
            </w:pPr>
          </w:p>
        </w:tc>
        <w:tc>
          <w:tcPr>
            <w:tcW w:w="2960" w:type="dxa"/>
            <w:gridSpan w:val="2"/>
            <w:vAlign w:val="bottom"/>
          </w:tcPr>
          <w:p w14:paraId="61652CDD" w14:textId="77777777" w:rsidR="007804BF" w:rsidRDefault="0087770D">
            <w:pPr>
              <w:ind w:right="25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ΔΗΜΟΣΙΕΥΜΕΝΑ ΣΤΟΙΧΕΙΑ</w:t>
            </w:r>
          </w:p>
        </w:tc>
        <w:tc>
          <w:tcPr>
            <w:tcW w:w="2760" w:type="dxa"/>
            <w:gridSpan w:val="2"/>
            <w:vAlign w:val="bottom"/>
          </w:tcPr>
          <w:p w14:paraId="017712ED" w14:textId="77777777" w:rsidR="007804BF" w:rsidRDefault="0087770D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ΑΝΑΜΟΡΦΩΜΕΝΑ ΣΤΟΙΧΕΙΑ</w:t>
            </w:r>
          </w:p>
        </w:tc>
      </w:tr>
      <w:tr w:rsidR="007804BF" w14:paraId="56536AE2" w14:textId="77777777" w:rsidTr="00B3359B">
        <w:trPr>
          <w:trHeight w:val="437"/>
        </w:trPr>
        <w:tc>
          <w:tcPr>
            <w:tcW w:w="3640" w:type="dxa"/>
            <w:shd w:val="clear" w:color="auto" w:fill="F4B083" w:themeFill="accent2" w:themeFillTint="99"/>
            <w:vAlign w:val="bottom"/>
          </w:tcPr>
          <w:p w14:paraId="1D61DB11" w14:textId="77777777" w:rsidR="007804BF" w:rsidRPr="00B3359B" w:rsidRDefault="0087770D">
            <w:pPr>
              <w:ind w:left="700"/>
              <w:rPr>
                <w:sz w:val="20"/>
                <w:szCs w:val="20"/>
              </w:rPr>
            </w:pPr>
            <w:r w:rsidRPr="00B3359B">
              <w:rPr>
                <w:rFonts w:ascii="Arial" w:eastAsia="Arial" w:hAnsi="Arial" w:cs="Arial"/>
                <w:b/>
                <w:bCs/>
                <w:sz w:val="17"/>
                <w:szCs w:val="17"/>
              </w:rPr>
              <w:t>ΜΠΗΤΡΟΣ ΣΥΜΜΕΤΟΧΙΚΗ ΑΕ</w:t>
            </w:r>
          </w:p>
        </w:tc>
        <w:tc>
          <w:tcPr>
            <w:tcW w:w="1580" w:type="dxa"/>
            <w:shd w:val="clear" w:color="auto" w:fill="F4B083" w:themeFill="accent2" w:themeFillTint="99"/>
            <w:vAlign w:val="bottom"/>
          </w:tcPr>
          <w:p w14:paraId="4E1DCF07" w14:textId="77777777" w:rsidR="007804BF" w:rsidRPr="00B3359B" w:rsidRDefault="0087770D">
            <w:pPr>
              <w:ind w:right="213"/>
              <w:jc w:val="right"/>
              <w:rPr>
                <w:sz w:val="20"/>
                <w:szCs w:val="20"/>
              </w:rPr>
            </w:pPr>
            <w:r w:rsidRPr="00B3359B">
              <w:rPr>
                <w:rFonts w:ascii="Arial" w:eastAsia="Arial" w:hAnsi="Arial" w:cs="Arial"/>
                <w:b/>
                <w:bCs/>
                <w:sz w:val="17"/>
                <w:szCs w:val="17"/>
              </w:rPr>
              <w:t>31.12.2020</w:t>
            </w:r>
          </w:p>
        </w:tc>
        <w:tc>
          <w:tcPr>
            <w:tcW w:w="1380" w:type="dxa"/>
            <w:shd w:val="clear" w:color="auto" w:fill="F4B083" w:themeFill="accent2" w:themeFillTint="99"/>
            <w:vAlign w:val="bottom"/>
          </w:tcPr>
          <w:p w14:paraId="689C0DB1" w14:textId="77777777" w:rsidR="007804BF" w:rsidRPr="00B3359B" w:rsidRDefault="0087770D">
            <w:pPr>
              <w:ind w:right="193"/>
              <w:jc w:val="right"/>
              <w:rPr>
                <w:sz w:val="20"/>
                <w:szCs w:val="20"/>
              </w:rPr>
            </w:pPr>
            <w:r w:rsidRPr="00B3359B">
              <w:rPr>
                <w:rFonts w:ascii="Arial" w:eastAsia="Arial" w:hAnsi="Arial" w:cs="Arial"/>
                <w:b/>
                <w:bCs/>
                <w:sz w:val="17"/>
                <w:szCs w:val="17"/>
              </w:rPr>
              <w:t>30.06.2021</w:t>
            </w:r>
          </w:p>
        </w:tc>
        <w:tc>
          <w:tcPr>
            <w:tcW w:w="1420" w:type="dxa"/>
            <w:shd w:val="clear" w:color="auto" w:fill="F4B083" w:themeFill="accent2" w:themeFillTint="99"/>
            <w:vAlign w:val="bottom"/>
          </w:tcPr>
          <w:p w14:paraId="45C62A73" w14:textId="77777777" w:rsidR="007804BF" w:rsidRPr="00B3359B" w:rsidRDefault="0087770D">
            <w:pPr>
              <w:ind w:right="213"/>
              <w:jc w:val="right"/>
              <w:rPr>
                <w:sz w:val="20"/>
                <w:szCs w:val="20"/>
              </w:rPr>
            </w:pPr>
            <w:r w:rsidRPr="00B3359B">
              <w:rPr>
                <w:rFonts w:ascii="Arial" w:eastAsia="Arial" w:hAnsi="Arial" w:cs="Arial"/>
                <w:b/>
                <w:bCs/>
                <w:sz w:val="17"/>
                <w:szCs w:val="17"/>
              </w:rPr>
              <w:t>31.12.2020</w:t>
            </w:r>
          </w:p>
        </w:tc>
        <w:tc>
          <w:tcPr>
            <w:tcW w:w="1360" w:type="dxa"/>
            <w:shd w:val="clear" w:color="auto" w:fill="F4B083" w:themeFill="accent2" w:themeFillTint="99"/>
            <w:vAlign w:val="bottom"/>
          </w:tcPr>
          <w:p w14:paraId="5E574DE0" w14:textId="77777777" w:rsidR="007804BF" w:rsidRPr="00B3359B" w:rsidRDefault="0087770D">
            <w:pPr>
              <w:ind w:right="153"/>
              <w:jc w:val="right"/>
              <w:rPr>
                <w:sz w:val="20"/>
                <w:szCs w:val="20"/>
              </w:rPr>
            </w:pPr>
            <w:r w:rsidRPr="00B3359B">
              <w:rPr>
                <w:rFonts w:ascii="Arial" w:eastAsia="Arial" w:hAnsi="Arial" w:cs="Arial"/>
                <w:b/>
                <w:bCs/>
                <w:sz w:val="17"/>
                <w:szCs w:val="17"/>
              </w:rPr>
              <w:t>30.06.2021</w:t>
            </w:r>
          </w:p>
        </w:tc>
      </w:tr>
      <w:tr w:rsidR="007804BF" w14:paraId="0A2E4F5E" w14:textId="77777777">
        <w:trPr>
          <w:trHeight w:val="441"/>
        </w:trPr>
        <w:tc>
          <w:tcPr>
            <w:tcW w:w="3640" w:type="dxa"/>
            <w:tcBorders>
              <w:bottom w:val="single" w:sz="8" w:space="0" w:color="D4D4D4"/>
            </w:tcBorders>
            <w:vAlign w:val="bottom"/>
          </w:tcPr>
          <w:p w14:paraId="59383824" w14:textId="77777777" w:rsidR="007804BF" w:rsidRDefault="0087770D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7"/>
                <w:szCs w:val="17"/>
              </w:rPr>
              <w:t>Επενδύσεις σε συνδεδεμένες επιχειρήσεις</w:t>
            </w:r>
          </w:p>
        </w:tc>
        <w:tc>
          <w:tcPr>
            <w:tcW w:w="1580" w:type="dxa"/>
            <w:tcBorders>
              <w:bottom w:val="single" w:sz="8" w:space="0" w:color="D4D4D4"/>
            </w:tcBorders>
            <w:vAlign w:val="bottom"/>
          </w:tcPr>
          <w:p w14:paraId="5CCEA753" w14:textId="77777777" w:rsidR="007804BF" w:rsidRDefault="0087770D">
            <w:pPr>
              <w:ind w:right="11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7"/>
                <w:szCs w:val="17"/>
              </w:rPr>
              <w:t>36.124.285,97</w:t>
            </w:r>
          </w:p>
        </w:tc>
        <w:tc>
          <w:tcPr>
            <w:tcW w:w="1380" w:type="dxa"/>
            <w:tcBorders>
              <w:bottom w:val="single" w:sz="8" w:space="0" w:color="D4D4D4"/>
            </w:tcBorders>
            <w:vAlign w:val="bottom"/>
          </w:tcPr>
          <w:p w14:paraId="7EF60AB8" w14:textId="77777777" w:rsidR="007804BF" w:rsidRDefault="0087770D">
            <w:pPr>
              <w:ind w:right="3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7"/>
                <w:szCs w:val="17"/>
              </w:rPr>
              <w:t>36.124.285,97</w:t>
            </w:r>
          </w:p>
        </w:tc>
        <w:tc>
          <w:tcPr>
            <w:tcW w:w="1420" w:type="dxa"/>
            <w:tcBorders>
              <w:bottom w:val="single" w:sz="8" w:space="0" w:color="D4D4D4"/>
            </w:tcBorders>
            <w:vAlign w:val="bottom"/>
          </w:tcPr>
          <w:p w14:paraId="40062071" w14:textId="77777777" w:rsidR="007804BF" w:rsidRDefault="0087770D">
            <w:pPr>
              <w:ind w:right="13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7"/>
                <w:szCs w:val="17"/>
              </w:rPr>
              <w:t>31.619.044,18</w:t>
            </w:r>
          </w:p>
        </w:tc>
        <w:tc>
          <w:tcPr>
            <w:tcW w:w="1360" w:type="dxa"/>
            <w:tcBorders>
              <w:bottom w:val="single" w:sz="8" w:space="0" w:color="D4D4D4"/>
            </w:tcBorders>
            <w:vAlign w:val="bottom"/>
          </w:tcPr>
          <w:p w14:paraId="46176299" w14:textId="77777777" w:rsidR="007804BF" w:rsidRDefault="0087770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7"/>
                <w:szCs w:val="17"/>
              </w:rPr>
              <w:t>31.619.044,18</w:t>
            </w:r>
          </w:p>
        </w:tc>
      </w:tr>
      <w:tr w:rsidR="007804BF" w14:paraId="28156692" w14:textId="77777777">
        <w:trPr>
          <w:trHeight w:val="388"/>
        </w:trPr>
        <w:tc>
          <w:tcPr>
            <w:tcW w:w="3640" w:type="dxa"/>
            <w:tcBorders>
              <w:bottom w:val="single" w:sz="8" w:space="0" w:color="D4D4D4"/>
            </w:tcBorders>
            <w:vAlign w:val="bottom"/>
          </w:tcPr>
          <w:p w14:paraId="2DA77D13" w14:textId="77777777" w:rsidR="007804BF" w:rsidRDefault="0087770D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Σύνολο περιουσιακών στοιχείων</w:t>
            </w:r>
          </w:p>
        </w:tc>
        <w:tc>
          <w:tcPr>
            <w:tcW w:w="1580" w:type="dxa"/>
            <w:tcBorders>
              <w:bottom w:val="single" w:sz="8" w:space="0" w:color="D4D4D4"/>
            </w:tcBorders>
            <w:vAlign w:val="bottom"/>
          </w:tcPr>
          <w:p w14:paraId="0D761706" w14:textId="77777777" w:rsidR="007804BF" w:rsidRDefault="0087770D">
            <w:pPr>
              <w:ind w:right="11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38.790.943,45</w:t>
            </w:r>
          </w:p>
        </w:tc>
        <w:tc>
          <w:tcPr>
            <w:tcW w:w="1380" w:type="dxa"/>
            <w:tcBorders>
              <w:bottom w:val="single" w:sz="8" w:space="0" w:color="D4D4D4"/>
            </w:tcBorders>
            <w:vAlign w:val="bottom"/>
          </w:tcPr>
          <w:p w14:paraId="065E01D9" w14:textId="77777777" w:rsidR="007804BF" w:rsidRDefault="0087770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38.677.176,00</w:t>
            </w:r>
          </w:p>
        </w:tc>
        <w:tc>
          <w:tcPr>
            <w:tcW w:w="1420" w:type="dxa"/>
            <w:tcBorders>
              <w:bottom w:val="single" w:sz="8" w:space="0" w:color="D4D4D4"/>
            </w:tcBorders>
            <w:vAlign w:val="bottom"/>
          </w:tcPr>
          <w:p w14:paraId="5F798BF1" w14:textId="77777777" w:rsidR="007804BF" w:rsidRDefault="0087770D">
            <w:pPr>
              <w:ind w:right="11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34.285.701,66</w:t>
            </w:r>
          </w:p>
        </w:tc>
        <w:tc>
          <w:tcPr>
            <w:tcW w:w="1360" w:type="dxa"/>
            <w:tcBorders>
              <w:bottom w:val="single" w:sz="8" w:space="0" w:color="D4D4D4"/>
            </w:tcBorders>
            <w:vAlign w:val="bottom"/>
          </w:tcPr>
          <w:p w14:paraId="54FA7989" w14:textId="77777777" w:rsidR="007804BF" w:rsidRDefault="0087770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34.171.934,21</w:t>
            </w:r>
          </w:p>
        </w:tc>
      </w:tr>
      <w:tr w:rsidR="007804BF" w14:paraId="11DD8846" w14:textId="77777777">
        <w:trPr>
          <w:trHeight w:val="217"/>
        </w:trPr>
        <w:tc>
          <w:tcPr>
            <w:tcW w:w="3640" w:type="dxa"/>
            <w:tcBorders>
              <w:bottom w:val="single" w:sz="8" w:space="0" w:color="D4D4D4"/>
            </w:tcBorders>
            <w:vAlign w:val="bottom"/>
          </w:tcPr>
          <w:p w14:paraId="580CB4CC" w14:textId="77777777" w:rsidR="007804BF" w:rsidRDefault="007804BF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8" w:space="0" w:color="D4D4D4"/>
            </w:tcBorders>
            <w:vAlign w:val="bottom"/>
          </w:tcPr>
          <w:p w14:paraId="7A80D411" w14:textId="77777777" w:rsidR="007804BF" w:rsidRDefault="007804BF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bottom w:val="single" w:sz="8" w:space="0" w:color="D4D4D4"/>
            </w:tcBorders>
            <w:vAlign w:val="bottom"/>
          </w:tcPr>
          <w:p w14:paraId="3B5487D6" w14:textId="77777777" w:rsidR="007804BF" w:rsidRDefault="007804BF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8" w:space="0" w:color="D4D4D4"/>
            </w:tcBorders>
            <w:vAlign w:val="bottom"/>
          </w:tcPr>
          <w:p w14:paraId="34EBF9BB" w14:textId="77777777" w:rsidR="007804BF" w:rsidRDefault="007804BF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bottom w:val="single" w:sz="8" w:space="0" w:color="D4D4D4"/>
            </w:tcBorders>
            <w:vAlign w:val="bottom"/>
          </w:tcPr>
          <w:p w14:paraId="5BD83E5E" w14:textId="77777777" w:rsidR="007804BF" w:rsidRDefault="007804BF">
            <w:pPr>
              <w:rPr>
                <w:sz w:val="18"/>
                <w:szCs w:val="18"/>
              </w:rPr>
            </w:pPr>
          </w:p>
        </w:tc>
      </w:tr>
      <w:tr w:rsidR="007804BF" w14:paraId="041EDD9C" w14:textId="77777777">
        <w:trPr>
          <w:trHeight w:val="355"/>
        </w:trPr>
        <w:tc>
          <w:tcPr>
            <w:tcW w:w="3640" w:type="dxa"/>
            <w:tcBorders>
              <w:bottom w:val="single" w:sz="8" w:space="0" w:color="D4D4D4"/>
            </w:tcBorders>
            <w:vAlign w:val="bottom"/>
          </w:tcPr>
          <w:p w14:paraId="7AC19D06" w14:textId="77777777" w:rsidR="007804BF" w:rsidRDefault="0087770D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Σύνολο Ιδίων Κεφαλαίων</w:t>
            </w:r>
          </w:p>
        </w:tc>
        <w:tc>
          <w:tcPr>
            <w:tcW w:w="1580" w:type="dxa"/>
            <w:tcBorders>
              <w:bottom w:val="single" w:sz="8" w:space="0" w:color="D4D4D4"/>
            </w:tcBorders>
            <w:vAlign w:val="bottom"/>
          </w:tcPr>
          <w:p w14:paraId="70B1E6D6" w14:textId="77777777" w:rsidR="007804BF" w:rsidRDefault="0087770D">
            <w:pPr>
              <w:ind w:right="11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23.019.819,78</w:t>
            </w:r>
          </w:p>
        </w:tc>
        <w:tc>
          <w:tcPr>
            <w:tcW w:w="1380" w:type="dxa"/>
            <w:tcBorders>
              <w:bottom w:val="single" w:sz="8" w:space="0" w:color="D4D4D4"/>
            </w:tcBorders>
            <w:vAlign w:val="bottom"/>
          </w:tcPr>
          <w:p w14:paraId="73F1A317" w14:textId="77777777" w:rsidR="007804BF" w:rsidRDefault="0087770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23.002.639,37</w:t>
            </w:r>
          </w:p>
        </w:tc>
        <w:tc>
          <w:tcPr>
            <w:tcW w:w="1420" w:type="dxa"/>
            <w:tcBorders>
              <w:bottom w:val="single" w:sz="8" w:space="0" w:color="D4D4D4"/>
            </w:tcBorders>
            <w:vAlign w:val="bottom"/>
          </w:tcPr>
          <w:p w14:paraId="180A933B" w14:textId="77777777" w:rsidR="007804BF" w:rsidRDefault="0087770D">
            <w:pPr>
              <w:ind w:right="11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18.514.577,95</w:t>
            </w:r>
          </w:p>
        </w:tc>
        <w:tc>
          <w:tcPr>
            <w:tcW w:w="1360" w:type="dxa"/>
            <w:tcBorders>
              <w:bottom w:val="single" w:sz="8" w:space="0" w:color="D4D4D4"/>
            </w:tcBorders>
            <w:vAlign w:val="bottom"/>
          </w:tcPr>
          <w:p w14:paraId="68BF0B3C" w14:textId="77777777" w:rsidR="007804BF" w:rsidRDefault="0087770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18.497.397,58</w:t>
            </w:r>
          </w:p>
        </w:tc>
      </w:tr>
      <w:tr w:rsidR="007804BF" w14:paraId="3E733C87" w14:textId="77777777">
        <w:trPr>
          <w:trHeight w:val="402"/>
        </w:trPr>
        <w:tc>
          <w:tcPr>
            <w:tcW w:w="3640" w:type="dxa"/>
            <w:tcBorders>
              <w:bottom w:val="single" w:sz="8" w:space="0" w:color="D4D4D4"/>
            </w:tcBorders>
            <w:vAlign w:val="bottom"/>
          </w:tcPr>
          <w:p w14:paraId="2F2850DC" w14:textId="77777777" w:rsidR="007804BF" w:rsidRDefault="0087770D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7"/>
                <w:szCs w:val="17"/>
              </w:rPr>
              <w:t>Λοιπά χρηματοοικονομικά αποτελέσματα</w:t>
            </w:r>
          </w:p>
        </w:tc>
        <w:tc>
          <w:tcPr>
            <w:tcW w:w="1580" w:type="dxa"/>
            <w:tcBorders>
              <w:bottom w:val="single" w:sz="8" w:space="0" w:color="D4D4D4"/>
            </w:tcBorders>
            <w:vAlign w:val="bottom"/>
          </w:tcPr>
          <w:p w14:paraId="38B2E1B0" w14:textId="77777777" w:rsidR="007804BF" w:rsidRDefault="0087770D">
            <w:pPr>
              <w:ind w:right="5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7"/>
                <w:szCs w:val="17"/>
              </w:rPr>
              <w:t>-589,96</w:t>
            </w:r>
          </w:p>
        </w:tc>
        <w:tc>
          <w:tcPr>
            <w:tcW w:w="1380" w:type="dxa"/>
            <w:tcBorders>
              <w:bottom w:val="single" w:sz="8" w:space="0" w:color="D4D4D4"/>
            </w:tcBorders>
            <w:vAlign w:val="bottom"/>
          </w:tcPr>
          <w:p w14:paraId="4188E7A4" w14:textId="77777777" w:rsidR="007804BF" w:rsidRDefault="0087770D">
            <w:pPr>
              <w:ind w:right="3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7"/>
                <w:szCs w:val="17"/>
              </w:rPr>
              <w:t>-201,44</w:t>
            </w:r>
          </w:p>
        </w:tc>
        <w:tc>
          <w:tcPr>
            <w:tcW w:w="1420" w:type="dxa"/>
            <w:tcBorders>
              <w:bottom w:val="single" w:sz="8" w:space="0" w:color="D4D4D4"/>
            </w:tcBorders>
            <w:vAlign w:val="bottom"/>
          </w:tcPr>
          <w:p w14:paraId="3C2B5C17" w14:textId="77777777" w:rsidR="007804BF" w:rsidRDefault="0087770D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7"/>
                <w:szCs w:val="17"/>
              </w:rPr>
              <w:t>-4.505.831,75</w:t>
            </w:r>
          </w:p>
        </w:tc>
        <w:tc>
          <w:tcPr>
            <w:tcW w:w="1360" w:type="dxa"/>
            <w:tcBorders>
              <w:bottom w:val="single" w:sz="8" w:space="0" w:color="D4D4D4"/>
            </w:tcBorders>
            <w:vAlign w:val="bottom"/>
          </w:tcPr>
          <w:p w14:paraId="6678AC34" w14:textId="77777777" w:rsidR="007804BF" w:rsidRDefault="0087770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7"/>
                <w:szCs w:val="17"/>
              </w:rPr>
              <w:t>-201,44</w:t>
            </w:r>
          </w:p>
        </w:tc>
      </w:tr>
      <w:tr w:rsidR="007804BF" w:rsidRPr="004A2F15" w14:paraId="33E2A3D0" w14:textId="77777777">
        <w:trPr>
          <w:trHeight w:val="253"/>
        </w:trPr>
        <w:tc>
          <w:tcPr>
            <w:tcW w:w="3640" w:type="dxa"/>
            <w:vAlign w:val="bottom"/>
          </w:tcPr>
          <w:p w14:paraId="65E5E7A0" w14:textId="77777777" w:rsidR="007804BF" w:rsidRPr="00B3359B" w:rsidRDefault="0087770D">
            <w:pPr>
              <w:ind w:left="40"/>
              <w:rPr>
                <w:sz w:val="20"/>
                <w:szCs w:val="20"/>
                <w:lang w:val="el-GR"/>
              </w:rPr>
            </w:pPr>
            <w:r w:rsidRPr="00B3359B">
              <w:rPr>
                <w:rFonts w:ascii="Arial" w:eastAsia="Arial" w:hAnsi="Arial" w:cs="Arial"/>
                <w:b/>
                <w:bCs/>
                <w:sz w:val="17"/>
                <w:szCs w:val="17"/>
                <w:lang w:val="el-GR"/>
              </w:rPr>
              <w:t>Συγκεντρωτικά συνολικά έσοδα μετά από</w:t>
            </w:r>
          </w:p>
        </w:tc>
        <w:tc>
          <w:tcPr>
            <w:tcW w:w="1580" w:type="dxa"/>
            <w:vAlign w:val="bottom"/>
          </w:tcPr>
          <w:p w14:paraId="3FF3C422" w14:textId="77777777" w:rsidR="007804BF" w:rsidRPr="00B3359B" w:rsidRDefault="007804BF">
            <w:pPr>
              <w:rPr>
                <w:lang w:val="el-GR"/>
              </w:rPr>
            </w:pPr>
          </w:p>
        </w:tc>
        <w:tc>
          <w:tcPr>
            <w:tcW w:w="1380" w:type="dxa"/>
            <w:vAlign w:val="bottom"/>
          </w:tcPr>
          <w:p w14:paraId="05B8327C" w14:textId="77777777" w:rsidR="007804BF" w:rsidRPr="00B3359B" w:rsidRDefault="007804BF">
            <w:pPr>
              <w:rPr>
                <w:lang w:val="el-GR"/>
              </w:rPr>
            </w:pPr>
          </w:p>
        </w:tc>
        <w:tc>
          <w:tcPr>
            <w:tcW w:w="1420" w:type="dxa"/>
            <w:vAlign w:val="bottom"/>
          </w:tcPr>
          <w:p w14:paraId="06756244" w14:textId="77777777" w:rsidR="007804BF" w:rsidRPr="00B3359B" w:rsidRDefault="007804BF">
            <w:pPr>
              <w:rPr>
                <w:lang w:val="el-GR"/>
              </w:rPr>
            </w:pPr>
          </w:p>
        </w:tc>
        <w:tc>
          <w:tcPr>
            <w:tcW w:w="1360" w:type="dxa"/>
            <w:vAlign w:val="bottom"/>
          </w:tcPr>
          <w:p w14:paraId="60478C6A" w14:textId="77777777" w:rsidR="007804BF" w:rsidRPr="00B3359B" w:rsidRDefault="007804BF">
            <w:pPr>
              <w:rPr>
                <w:lang w:val="el-GR"/>
              </w:rPr>
            </w:pPr>
          </w:p>
        </w:tc>
      </w:tr>
      <w:tr w:rsidR="007804BF" w14:paraId="7A601091" w14:textId="77777777">
        <w:trPr>
          <w:trHeight w:val="237"/>
        </w:trPr>
        <w:tc>
          <w:tcPr>
            <w:tcW w:w="3640" w:type="dxa"/>
            <w:tcBorders>
              <w:bottom w:val="single" w:sz="8" w:space="0" w:color="D4D4D4"/>
            </w:tcBorders>
            <w:vAlign w:val="bottom"/>
          </w:tcPr>
          <w:p w14:paraId="18B32C38" w14:textId="37E335D5" w:rsidR="007804BF" w:rsidRDefault="001A17F6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Φ</w:t>
            </w:r>
            <w:r w:rsidR="0087770D">
              <w:rPr>
                <w:rFonts w:ascii="Arial" w:eastAsia="Arial" w:hAnsi="Arial" w:cs="Arial"/>
                <w:b/>
                <w:bCs/>
                <w:sz w:val="17"/>
                <w:szCs w:val="17"/>
              </w:rPr>
              <w:t>όρους</w:t>
            </w:r>
            <w:proofErr w:type="spellEnd"/>
          </w:p>
        </w:tc>
        <w:tc>
          <w:tcPr>
            <w:tcW w:w="1580" w:type="dxa"/>
            <w:tcBorders>
              <w:bottom w:val="single" w:sz="8" w:space="0" w:color="D4D4D4"/>
            </w:tcBorders>
            <w:vAlign w:val="bottom"/>
          </w:tcPr>
          <w:p w14:paraId="2CB42907" w14:textId="77777777" w:rsidR="007804BF" w:rsidRDefault="0087770D">
            <w:pPr>
              <w:ind w:right="1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9.518,36</w:t>
            </w:r>
          </w:p>
        </w:tc>
        <w:tc>
          <w:tcPr>
            <w:tcW w:w="1380" w:type="dxa"/>
            <w:tcBorders>
              <w:bottom w:val="single" w:sz="8" w:space="0" w:color="D4D4D4"/>
            </w:tcBorders>
            <w:vAlign w:val="bottom"/>
          </w:tcPr>
          <w:p w14:paraId="1696AC5D" w14:textId="77777777" w:rsidR="007804BF" w:rsidRDefault="0087770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-17.180,41</w:t>
            </w:r>
          </w:p>
        </w:tc>
        <w:tc>
          <w:tcPr>
            <w:tcW w:w="1420" w:type="dxa"/>
            <w:tcBorders>
              <w:bottom w:val="single" w:sz="8" w:space="0" w:color="D4D4D4"/>
            </w:tcBorders>
            <w:vAlign w:val="bottom"/>
          </w:tcPr>
          <w:p w14:paraId="2D5F35D1" w14:textId="77777777" w:rsidR="007804BF" w:rsidRDefault="0087770D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-4.495.723,43</w:t>
            </w:r>
          </w:p>
        </w:tc>
        <w:tc>
          <w:tcPr>
            <w:tcW w:w="1360" w:type="dxa"/>
            <w:tcBorders>
              <w:bottom w:val="single" w:sz="8" w:space="0" w:color="D4D4D4"/>
            </w:tcBorders>
            <w:vAlign w:val="bottom"/>
          </w:tcPr>
          <w:p w14:paraId="38A05816" w14:textId="77777777" w:rsidR="007804BF" w:rsidRDefault="0087770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-17.180,41</w:t>
            </w:r>
          </w:p>
        </w:tc>
      </w:tr>
    </w:tbl>
    <w:p w14:paraId="52687CF1" w14:textId="77777777" w:rsidR="007804BF" w:rsidRDefault="0087770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 wp14:anchorId="48C35F58" wp14:editId="0A2D9D12">
            <wp:simplePos x="0" y="0"/>
            <wp:positionH relativeFrom="column">
              <wp:posOffset>0</wp:posOffset>
            </wp:positionH>
            <wp:positionV relativeFrom="paragraph">
              <wp:posOffset>-1464945</wp:posOffset>
            </wp:positionV>
            <wp:extent cx="9525" cy="14649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46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 wp14:anchorId="12EF76CF" wp14:editId="07ADB0AE">
            <wp:simplePos x="0" y="0"/>
            <wp:positionH relativeFrom="column">
              <wp:posOffset>2385060</wp:posOffset>
            </wp:positionH>
            <wp:positionV relativeFrom="paragraph">
              <wp:posOffset>-1464945</wp:posOffset>
            </wp:positionV>
            <wp:extent cx="9525" cy="146494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46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2D5FAFA5" wp14:editId="4AE21BC4">
            <wp:simplePos x="0" y="0"/>
            <wp:positionH relativeFrom="column">
              <wp:posOffset>4159250</wp:posOffset>
            </wp:positionH>
            <wp:positionV relativeFrom="paragraph">
              <wp:posOffset>-1464945</wp:posOffset>
            </wp:positionV>
            <wp:extent cx="9525" cy="146494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46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 wp14:anchorId="5F500B56" wp14:editId="1CCFD9FB">
            <wp:simplePos x="0" y="0"/>
            <wp:positionH relativeFrom="column">
              <wp:posOffset>5933440</wp:posOffset>
            </wp:positionH>
            <wp:positionV relativeFrom="paragraph">
              <wp:posOffset>-1464945</wp:posOffset>
            </wp:positionV>
            <wp:extent cx="9525" cy="146494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46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 wp14:anchorId="6CEA2FB3" wp14:editId="6F34C4BC">
            <wp:simplePos x="0" y="0"/>
            <wp:positionH relativeFrom="column">
              <wp:posOffset>3271520</wp:posOffset>
            </wp:positionH>
            <wp:positionV relativeFrom="paragraph">
              <wp:posOffset>-1464945</wp:posOffset>
            </wp:positionV>
            <wp:extent cx="9525" cy="146494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46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0" allowOverlap="1" wp14:anchorId="566C50EA" wp14:editId="1468FB26">
            <wp:simplePos x="0" y="0"/>
            <wp:positionH relativeFrom="column">
              <wp:posOffset>5046345</wp:posOffset>
            </wp:positionH>
            <wp:positionV relativeFrom="paragraph">
              <wp:posOffset>-1464945</wp:posOffset>
            </wp:positionV>
            <wp:extent cx="9525" cy="146494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46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8E038B" w14:textId="77777777" w:rsidR="007804BF" w:rsidRDefault="007804BF">
      <w:pPr>
        <w:spacing w:line="200" w:lineRule="exact"/>
        <w:rPr>
          <w:sz w:val="24"/>
          <w:szCs w:val="24"/>
        </w:rPr>
      </w:pPr>
    </w:p>
    <w:p w14:paraId="1C2AA4BE" w14:textId="77777777" w:rsidR="007804BF" w:rsidRDefault="007804BF">
      <w:pPr>
        <w:spacing w:line="249" w:lineRule="exact"/>
        <w:rPr>
          <w:sz w:val="24"/>
          <w:szCs w:val="24"/>
        </w:rPr>
      </w:pPr>
    </w:p>
    <w:p w14:paraId="2AFEDE2C" w14:textId="6A0B1375" w:rsidR="007804BF" w:rsidRPr="00B3359B" w:rsidRDefault="001A17F6">
      <w:pPr>
        <w:spacing w:line="271" w:lineRule="auto"/>
        <w:jc w:val="both"/>
        <w:rPr>
          <w:sz w:val="20"/>
          <w:szCs w:val="20"/>
          <w:lang w:val="el-GR"/>
        </w:rPr>
      </w:pPr>
      <w:r>
        <w:rPr>
          <w:rFonts w:ascii="Arial" w:eastAsia="Arial" w:hAnsi="Arial" w:cs="Arial"/>
          <w:sz w:val="20"/>
          <w:szCs w:val="20"/>
          <w:lang w:val="el-GR"/>
        </w:rPr>
        <w:t>Πλην</w:t>
      </w:r>
      <w:r w:rsidR="0087770D" w:rsidRPr="00B3359B">
        <w:rPr>
          <w:rFonts w:ascii="Arial" w:eastAsia="Arial" w:hAnsi="Arial" w:cs="Arial"/>
          <w:sz w:val="20"/>
          <w:szCs w:val="20"/>
          <w:lang w:val="el-GR"/>
        </w:rPr>
        <w:t xml:space="preserve"> των ανωτέρω</w:t>
      </w:r>
      <w:r>
        <w:rPr>
          <w:rFonts w:ascii="Arial" w:eastAsia="Arial" w:hAnsi="Arial" w:cs="Arial"/>
          <w:sz w:val="20"/>
          <w:szCs w:val="20"/>
          <w:lang w:val="el-GR"/>
        </w:rPr>
        <w:t>, ουδεμία άλλη μεταβολή επέρχεται</w:t>
      </w:r>
      <w:r w:rsidR="0087770D" w:rsidRPr="00B3359B">
        <w:rPr>
          <w:rFonts w:ascii="Arial" w:eastAsia="Arial" w:hAnsi="Arial" w:cs="Arial"/>
          <w:sz w:val="20"/>
          <w:szCs w:val="20"/>
          <w:lang w:val="el-GR"/>
        </w:rPr>
        <w:t xml:space="preserve"> στα μεγέθη της Κατάστασης Οικονομικής Θέσης και της Κατάστασης Συνολικού Εισοδήματος</w:t>
      </w:r>
      <w:r>
        <w:rPr>
          <w:rFonts w:ascii="Arial" w:eastAsia="Arial" w:hAnsi="Arial" w:cs="Arial"/>
          <w:sz w:val="20"/>
          <w:szCs w:val="20"/>
          <w:lang w:val="el-GR"/>
        </w:rPr>
        <w:t>, ατομικών και ενοποιημένων</w:t>
      </w:r>
      <w:r w:rsidR="0087770D" w:rsidRPr="00B3359B">
        <w:rPr>
          <w:rFonts w:ascii="Arial" w:eastAsia="Arial" w:hAnsi="Arial" w:cs="Arial"/>
          <w:sz w:val="20"/>
          <w:szCs w:val="20"/>
          <w:lang w:val="el-GR"/>
        </w:rPr>
        <w:t xml:space="preserve">. Οι ανωτέρω μεταβολές επέρχονται με βάση τις διατάξεις του Δ.Λ.Π. 8 και θα αποτυπωθούν αναλυτικά κατά τη σύνταξη των </w:t>
      </w:r>
      <w:r>
        <w:rPr>
          <w:rFonts w:ascii="Arial" w:eastAsia="Arial" w:hAnsi="Arial" w:cs="Arial"/>
          <w:sz w:val="20"/>
          <w:szCs w:val="20"/>
          <w:lang w:val="el-GR"/>
        </w:rPr>
        <w:t>ε</w:t>
      </w:r>
      <w:r w:rsidR="0087770D" w:rsidRPr="00B3359B">
        <w:rPr>
          <w:rFonts w:ascii="Arial" w:eastAsia="Arial" w:hAnsi="Arial" w:cs="Arial"/>
          <w:sz w:val="20"/>
          <w:szCs w:val="20"/>
          <w:lang w:val="el-GR"/>
        </w:rPr>
        <w:t xml:space="preserve">τήσιων </w:t>
      </w:r>
      <w:r>
        <w:rPr>
          <w:rFonts w:ascii="Arial" w:eastAsia="Arial" w:hAnsi="Arial" w:cs="Arial"/>
          <w:sz w:val="20"/>
          <w:szCs w:val="20"/>
          <w:lang w:val="el-GR"/>
        </w:rPr>
        <w:t>ο</w:t>
      </w:r>
      <w:r w:rsidR="0087770D" w:rsidRPr="00B3359B">
        <w:rPr>
          <w:rFonts w:ascii="Arial" w:eastAsia="Arial" w:hAnsi="Arial" w:cs="Arial"/>
          <w:sz w:val="20"/>
          <w:szCs w:val="20"/>
          <w:lang w:val="el-GR"/>
        </w:rPr>
        <w:t xml:space="preserve">ικονομικών </w:t>
      </w:r>
      <w:r>
        <w:rPr>
          <w:rFonts w:ascii="Arial" w:eastAsia="Arial" w:hAnsi="Arial" w:cs="Arial"/>
          <w:sz w:val="20"/>
          <w:szCs w:val="20"/>
          <w:lang w:val="el-GR"/>
        </w:rPr>
        <w:t>κ</w:t>
      </w:r>
      <w:r w:rsidR="0087770D" w:rsidRPr="00B3359B">
        <w:rPr>
          <w:rFonts w:ascii="Arial" w:eastAsia="Arial" w:hAnsi="Arial" w:cs="Arial"/>
          <w:sz w:val="20"/>
          <w:szCs w:val="20"/>
          <w:lang w:val="el-GR"/>
        </w:rPr>
        <w:t xml:space="preserve">αταστάσεων </w:t>
      </w:r>
      <w:r>
        <w:rPr>
          <w:rFonts w:ascii="Arial" w:eastAsia="Arial" w:hAnsi="Arial" w:cs="Arial"/>
          <w:sz w:val="20"/>
          <w:szCs w:val="20"/>
          <w:lang w:val="el-GR"/>
        </w:rPr>
        <w:t>της Εταιρείας</w:t>
      </w:r>
      <w:r w:rsidR="0087770D" w:rsidRPr="00B3359B">
        <w:rPr>
          <w:rFonts w:ascii="Arial" w:eastAsia="Arial" w:hAnsi="Arial" w:cs="Arial"/>
          <w:sz w:val="20"/>
          <w:szCs w:val="20"/>
          <w:lang w:val="el-GR"/>
        </w:rPr>
        <w:t xml:space="preserve"> της 31/12/2021.</w:t>
      </w:r>
    </w:p>
    <w:p w14:paraId="0E9E0CF6" w14:textId="77777777" w:rsidR="007804BF" w:rsidRPr="00B3359B" w:rsidRDefault="007804BF">
      <w:pPr>
        <w:spacing w:line="284" w:lineRule="exact"/>
        <w:rPr>
          <w:sz w:val="24"/>
          <w:szCs w:val="24"/>
          <w:lang w:val="el-GR"/>
        </w:rPr>
      </w:pPr>
    </w:p>
    <w:p w14:paraId="6063FE13" w14:textId="3C3CCFF5" w:rsidR="007804BF" w:rsidRPr="00B3359B" w:rsidRDefault="0087770D">
      <w:pPr>
        <w:spacing w:line="272" w:lineRule="auto"/>
        <w:jc w:val="both"/>
        <w:rPr>
          <w:sz w:val="20"/>
          <w:szCs w:val="20"/>
          <w:lang w:val="el-GR"/>
        </w:rPr>
      </w:pPr>
      <w:r w:rsidRPr="00B3359B">
        <w:rPr>
          <w:rFonts w:ascii="Arial" w:eastAsia="Arial" w:hAnsi="Arial" w:cs="Arial"/>
          <w:sz w:val="20"/>
          <w:szCs w:val="20"/>
          <w:lang w:val="el-GR"/>
        </w:rPr>
        <w:t>Επιπροσθέτως</w:t>
      </w:r>
      <w:r w:rsidR="007C4057">
        <w:rPr>
          <w:rFonts w:ascii="Arial" w:eastAsia="Arial" w:hAnsi="Arial" w:cs="Arial"/>
          <w:sz w:val="20"/>
          <w:szCs w:val="20"/>
          <w:lang w:val="el-GR"/>
        </w:rPr>
        <w:t>,</w:t>
      </w:r>
      <w:r w:rsidRPr="00B3359B">
        <w:rPr>
          <w:rFonts w:ascii="Arial" w:eastAsia="Arial" w:hAnsi="Arial" w:cs="Arial"/>
          <w:sz w:val="20"/>
          <w:szCs w:val="20"/>
          <w:lang w:val="el-GR"/>
        </w:rPr>
        <w:t xml:space="preserve"> την 31.12.2021 η Διοίκηση </w:t>
      </w:r>
      <w:r w:rsidR="007C4057">
        <w:rPr>
          <w:rFonts w:ascii="Arial" w:eastAsia="Arial" w:hAnsi="Arial" w:cs="Arial"/>
          <w:sz w:val="20"/>
          <w:szCs w:val="20"/>
          <w:lang w:val="el-GR"/>
        </w:rPr>
        <w:t>της Εταιρείας</w:t>
      </w:r>
      <w:r w:rsidRPr="00B3359B">
        <w:rPr>
          <w:rFonts w:ascii="Arial" w:eastAsia="Arial" w:hAnsi="Arial" w:cs="Arial"/>
          <w:sz w:val="20"/>
          <w:szCs w:val="20"/>
          <w:lang w:val="el-GR"/>
        </w:rPr>
        <w:t xml:space="preserve"> προχώρησε σε νέα  αποτίμηση </w:t>
      </w:r>
      <w:r w:rsidR="007C4057">
        <w:rPr>
          <w:rFonts w:ascii="Arial" w:eastAsia="Arial" w:hAnsi="Arial" w:cs="Arial"/>
          <w:sz w:val="20"/>
          <w:szCs w:val="20"/>
          <w:lang w:val="el-GR"/>
        </w:rPr>
        <w:t xml:space="preserve">της αξίας των </w:t>
      </w:r>
      <w:r w:rsidRPr="00B3359B">
        <w:rPr>
          <w:rFonts w:ascii="Arial" w:eastAsia="Arial" w:hAnsi="Arial" w:cs="Arial"/>
          <w:sz w:val="20"/>
          <w:szCs w:val="20"/>
          <w:lang w:val="el-GR"/>
        </w:rPr>
        <w:t>θυγατρικ</w:t>
      </w:r>
      <w:r w:rsidR="007C4057">
        <w:rPr>
          <w:rFonts w:ascii="Arial" w:eastAsia="Arial" w:hAnsi="Arial" w:cs="Arial"/>
          <w:sz w:val="20"/>
          <w:szCs w:val="20"/>
          <w:lang w:val="el-GR"/>
        </w:rPr>
        <w:t>ών</w:t>
      </w:r>
      <w:r w:rsidRPr="00B3359B">
        <w:rPr>
          <w:rFonts w:ascii="Arial" w:eastAsia="Arial" w:hAnsi="Arial" w:cs="Arial"/>
          <w:sz w:val="20"/>
          <w:szCs w:val="20"/>
          <w:lang w:val="el-GR"/>
        </w:rPr>
        <w:t xml:space="preserve"> εκείν</w:t>
      </w:r>
      <w:r w:rsidR="007C4057">
        <w:rPr>
          <w:rFonts w:ascii="Arial" w:eastAsia="Arial" w:hAnsi="Arial" w:cs="Arial"/>
          <w:sz w:val="20"/>
          <w:szCs w:val="20"/>
          <w:lang w:val="el-GR"/>
        </w:rPr>
        <w:t>ων</w:t>
      </w:r>
      <w:r w:rsidRPr="00B3359B">
        <w:rPr>
          <w:rFonts w:ascii="Arial" w:eastAsia="Arial" w:hAnsi="Arial" w:cs="Arial"/>
          <w:sz w:val="20"/>
          <w:szCs w:val="20"/>
          <w:lang w:val="el-GR"/>
        </w:rPr>
        <w:t xml:space="preserve"> για τις οποίες υπήρχαν ενδείξεις </w:t>
      </w:r>
      <w:proofErr w:type="spellStart"/>
      <w:r w:rsidRPr="00B3359B">
        <w:rPr>
          <w:rFonts w:ascii="Arial" w:eastAsia="Arial" w:hAnsi="Arial" w:cs="Arial"/>
          <w:sz w:val="20"/>
          <w:szCs w:val="20"/>
          <w:lang w:val="el-GR"/>
        </w:rPr>
        <w:t>απομείωσης</w:t>
      </w:r>
      <w:proofErr w:type="spellEnd"/>
      <w:r w:rsidR="007C4057">
        <w:rPr>
          <w:rFonts w:ascii="Arial" w:eastAsia="Arial" w:hAnsi="Arial" w:cs="Arial"/>
          <w:sz w:val="20"/>
          <w:szCs w:val="20"/>
          <w:lang w:val="el-GR"/>
        </w:rPr>
        <w:t xml:space="preserve">. Οι </w:t>
      </w:r>
      <w:proofErr w:type="spellStart"/>
      <w:r w:rsidR="007C4057">
        <w:rPr>
          <w:rFonts w:ascii="Arial" w:eastAsia="Arial" w:hAnsi="Arial" w:cs="Arial"/>
          <w:sz w:val="20"/>
          <w:szCs w:val="20"/>
          <w:lang w:val="el-GR"/>
        </w:rPr>
        <w:t>απομειώσεις</w:t>
      </w:r>
      <w:proofErr w:type="spellEnd"/>
      <w:r w:rsidR="007C4057">
        <w:rPr>
          <w:rFonts w:ascii="Arial" w:eastAsia="Arial" w:hAnsi="Arial" w:cs="Arial"/>
          <w:sz w:val="20"/>
          <w:szCs w:val="20"/>
          <w:lang w:val="el-GR"/>
        </w:rPr>
        <w:t xml:space="preserve"> που προέκυψαν (</w:t>
      </w:r>
      <w:r w:rsidR="007C4057" w:rsidRPr="00B3359B">
        <w:rPr>
          <w:rFonts w:ascii="Arial" w:eastAsia="Arial" w:hAnsi="Arial" w:cs="Arial"/>
          <w:sz w:val="20"/>
          <w:szCs w:val="20"/>
          <w:lang w:val="el-GR"/>
        </w:rPr>
        <w:t>ύψους € 5.588.61780</w:t>
      </w:r>
      <w:r w:rsidR="007C4057">
        <w:rPr>
          <w:rFonts w:ascii="Arial" w:eastAsia="Arial" w:hAnsi="Arial" w:cs="Arial"/>
          <w:sz w:val="20"/>
          <w:szCs w:val="20"/>
          <w:lang w:val="el-GR"/>
        </w:rPr>
        <w:t xml:space="preserve">) </w:t>
      </w:r>
      <w:r w:rsidRPr="00B3359B">
        <w:rPr>
          <w:rFonts w:ascii="Arial" w:eastAsia="Arial" w:hAnsi="Arial" w:cs="Arial"/>
          <w:sz w:val="20"/>
          <w:szCs w:val="20"/>
          <w:lang w:val="el-GR"/>
        </w:rPr>
        <w:t>θα αποτυπωθ</w:t>
      </w:r>
      <w:r w:rsidR="00183A97">
        <w:rPr>
          <w:rFonts w:ascii="Arial" w:eastAsia="Arial" w:hAnsi="Arial" w:cs="Arial"/>
          <w:sz w:val="20"/>
          <w:szCs w:val="20"/>
          <w:lang w:val="el-GR"/>
        </w:rPr>
        <w:t>ούν</w:t>
      </w:r>
      <w:r w:rsidRPr="00B3359B">
        <w:rPr>
          <w:rFonts w:ascii="Arial" w:eastAsia="Arial" w:hAnsi="Arial" w:cs="Arial"/>
          <w:sz w:val="20"/>
          <w:szCs w:val="20"/>
          <w:lang w:val="el-GR"/>
        </w:rPr>
        <w:t xml:space="preserve"> επίσης στα </w:t>
      </w:r>
      <w:r w:rsidR="00183A97">
        <w:rPr>
          <w:rFonts w:ascii="Arial" w:eastAsia="Arial" w:hAnsi="Arial" w:cs="Arial"/>
          <w:sz w:val="20"/>
          <w:szCs w:val="20"/>
          <w:lang w:val="el-GR"/>
        </w:rPr>
        <w:t>μεγέθη</w:t>
      </w:r>
      <w:r w:rsidRPr="00B3359B">
        <w:rPr>
          <w:rFonts w:ascii="Arial" w:eastAsia="Arial" w:hAnsi="Arial" w:cs="Arial"/>
          <w:sz w:val="20"/>
          <w:szCs w:val="20"/>
          <w:lang w:val="el-GR"/>
        </w:rPr>
        <w:t xml:space="preserve"> των οικονομικών καταστάσεων της 31.12.2021.</w:t>
      </w:r>
    </w:p>
    <w:p w14:paraId="77170E65" w14:textId="77777777" w:rsidR="007804BF" w:rsidRPr="00B3359B" w:rsidRDefault="007804BF">
      <w:pPr>
        <w:rPr>
          <w:lang w:val="el-GR"/>
        </w:rPr>
        <w:sectPr w:rsidR="007804BF" w:rsidRPr="00B3359B">
          <w:pgSz w:w="12240" w:h="15840"/>
          <w:pgMar w:top="1440" w:right="1440" w:bottom="1440" w:left="1440" w:header="0" w:footer="0" w:gutter="0"/>
          <w:cols w:space="720" w:equalWidth="0">
            <w:col w:w="9360"/>
          </w:cols>
        </w:sectPr>
      </w:pPr>
    </w:p>
    <w:p w14:paraId="4A901D52" w14:textId="77777777" w:rsidR="0087770D" w:rsidRPr="00B3359B" w:rsidRDefault="0087770D">
      <w:pPr>
        <w:rPr>
          <w:lang w:val="el-GR"/>
        </w:rPr>
      </w:pPr>
      <w:bookmarkStart w:id="0" w:name="page2"/>
      <w:bookmarkEnd w:id="0"/>
    </w:p>
    <w:sectPr w:rsidR="0087770D" w:rsidRPr="00B3359B">
      <w:pgSz w:w="12240" w:h="1584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BF"/>
    <w:rsid w:val="00183A97"/>
    <w:rsid w:val="001A17F6"/>
    <w:rsid w:val="002762BA"/>
    <w:rsid w:val="004A2F15"/>
    <w:rsid w:val="006E3A65"/>
    <w:rsid w:val="007804BF"/>
    <w:rsid w:val="00790E40"/>
    <w:rsid w:val="007C4057"/>
    <w:rsid w:val="0087770D"/>
    <w:rsid w:val="00893CC8"/>
    <w:rsid w:val="00B3359B"/>
    <w:rsid w:val="00EC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5DD0"/>
  <w15:docId w15:val="{A3B3D1E3-036C-4B87-99DE-03F98E5B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83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A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A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Tsoumakos Lykourgos</cp:lastModifiedBy>
  <cp:revision>6</cp:revision>
  <dcterms:created xsi:type="dcterms:W3CDTF">2022-03-28T14:24:00Z</dcterms:created>
  <dcterms:modified xsi:type="dcterms:W3CDTF">2022-03-29T14:15:00Z</dcterms:modified>
</cp:coreProperties>
</file>