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611D" w14:textId="2D724810" w:rsidR="00C36E65" w:rsidRPr="00CD1F85" w:rsidRDefault="005B336E" w:rsidP="00CD1F85">
      <w:pPr>
        <w:pStyle w:val="2"/>
        <w:jc w:val="right"/>
        <w:rPr>
          <w:rFonts w:ascii="72 Black" w:hAnsi="72 Black" w:cs="72 Black"/>
          <w:color w:val="000000" w:themeColor="text1"/>
          <w:sz w:val="20"/>
          <w:szCs w:val="20"/>
        </w:rPr>
      </w:pPr>
      <w:r>
        <w:rPr>
          <w:rFonts w:ascii="72 Black" w:hAnsi="72 Black" w:cs="72 Black"/>
          <w:color w:val="000000" w:themeColor="text1"/>
          <w:sz w:val="20"/>
          <w:szCs w:val="20"/>
        </w:rPr>
        <w:t xml:space="preserve">Τετάρτη, </w:t>
      </w:r>
      <w:r w:rsidR="00CD1F85" w:rsidRPr="00CD1F85">
        <w:rPr>
          <w:rFonts w:ascii="72 Black" w:hAnsi="72 Black" w:cs="72 Black"/>
          <w:color w:val="000000" w:themeColor="text1"/>
          <w:sz w:val="20"/>
          <w:szCs w:val="20"/>
        </w:rPr>
        <w:t>1</w:t>
      </w:r>
      <w:r w:rsidR="00CD1F85">
        <w:rPr>
          <w:rFonts w:ascii="72 Black" w:hAnsi="72 Black" w:cs="72 Black"/>
          <w:color w:val="000000" w:themeColor="text1"/>
          <w:sz w:val="20"/>
          <w:szCs w:val="20"/>
        </w:rPr>
        <w:t>7</w:t>
      </w:r>
      <w:r w:rsidR="00CD1F85" w:rsidRPr="00CD1F85">
        <w:rPr>
          <w:rFonts w:ascii="72 Black" w:hAnsi="72 Black" w:cs="72 Black"/>
          <w:color w:val="000000" w:themeColor="text1"/>
          <w:sz w:val="20"/>
          <w:szCs w:val="20"/>
        </w:rPr>
        <w:t xml:space="preserve"> Νοεμβρίου 2021</w:t>
      </w:r>
    </w:p>
    <w:p w14:paraId="5F44BCBA" w14:textId="28409DF9" w:rsidR="00CD1F85" w:rsidRDefault="00CD1F85" w:rsidP="00C36E65">
      <w:pPr>
        <w:pStyle w:val="2"/>
        <w:jc w:val="center"/>
        <w:rPr>
          <w:rFonts w:ascii="72 Black" w:hAnsi="72 Black" w:cs="72 Black"/>
          <w:color w:val="000099"/>
          <w:sz w:val="28"/>
          <w:szCs w:val="28"/>
        </w:rPr>
      </w:pPr>
    </w:p>
    <w:p w14:paraId="51F92FD9" w14:textId="77777777" w:rsidR="00756DF8" w:rsidRPr="00756DF8" w:rsidRDefault="00756DF8" w:rsidP="00756DF8"/>
    <w:p w14:paraId="1B557933" w14:textId="176D82EF" w:rsidR="00C36E65" w:rsidRDefault="00C36E65" w:rsidP="00C36E65">
      <w:pPr>
        <w:pStyle w:val="2"/>
        <w:jc w:val="center"/>
        <w:rPr>
          <w:rFonts w:ascii="72 Black" w:hAnsi="72 Black" w:cs="72 Black"/>
          <w:color w:val="000099"/>
          <w:sz w:val="28"/>
          <w:szCs w:val="28"/>
        </w:rPr>
      </w:pPr>
      <w:r w:rsidRPr="00C36E65">
        <w:rPr>
          <w:rFonts w:ascii="72 Black" w:hAnsi="72 Black" w:cs="72 Black"/>
          <w:color w:val="000099"/>
          <w:sz w:val="28"/>
          <w:szCs w:val="28"/>
        </w:rPr>
        <w:t>Δελτίο Τύπου</w:t>
      </w:r>
    </w:p>
    <w:p w14:paraId="6A447DB1" w14:textId="77777777" w:rsidR="00C36E65" w:rsidRPr="00C36E65" w:rsidRDefault="00C36E65" w:rsidP="00C36E65"/>
    <w:p w14:paraId="6C92B187" w14:textId="0E55E483" w:rsidR="00F87003" w:rsidRPr="00C36E65" w:rsidRDefault="00F87003" w:rsidP="00652CF2">
      <w:pPr>
        <w:pStyle w:val="2"/>
        <w:jc w:val="center"/>
        <w:rPr>
          <w:rFonts w:ascii="72 Black" w:hAnsi="72 Black" w:cs="72 Black"/>
          <w:b/>
          <w:bCs/>
          <w:color w:val="auto"/>
          <w:sz w:val="24"/>
          <w:szCs w:val="24"/>
        </w:rPr>
      </w:pPr>
      <w:r w:rsidRPr="00C36E65">
        <w:rPr>
          <w:rFonts w:ascii="72 Black" w:hAnsi="72 Black" w:cs="72 Black"/>
          <w:b/>
          <w:bCs/>
          <w:color w:val="auto"/>
          <w:sz w:val="24"/>
          <w:szCs w:val="24"/>
        </w:rPr>
        <w:t>Συνοπτικά Οικονομικά Αποτελέσματα</w:t>
      </w:r>
      <w:r w:rsidR="00094087">
        <w:rPr>
          <w:rFonts w:ascii="72 Black" w:hAnsi="72 Black" w:cs="72 Black"/>
          <w:b/>
          <w:bCs/>
          <w:color w:val="auto"/>
          <w:sz w:val="24"/>
          <w:szCs w:val="24"/>
        </w:rPr>
        <w:t>:</w:t>
      </w:r>
      <w:r w:rsidRPr="00C36E65">
        <w:rPr>
          <w:rFonts w:ascii="72 Black" w:hAnsi="72 Black" w:cs="72 Black"/>
          <w:b/>
          <w:bCs/>
          <w:color w:val="auto"/>
          <w:sz w:val="24"/>
          <w:szCs w:val="24"/>
        </w:rPr>
        <w:t xml:space="preserve"> </w:t>
      </w:r>
      <w:r w:rsidR="00094087">
        <w:rPr>
          <w:rFonts w:ascii="72 Black" w:hAnsi="72 Black" w:cs="72 Black"/>
          <w:b/>
          <w:bCs/>
          <w:color w:val="auto"/>
          <w:sz w:val="24"/>
          <w:szCs w:val="24"/>
        </w:rPr>
        <w:t xml:space="preserve">Εννεάμηνο </w:t>
      </w:r>
      <w:r w:rsidRPr="00C36E65">
        <w:rPr>
          <w:rFonts w:ascii="72 Black" w:hAnsi="72 Black" w:cs="72 Black"/>
          <w:b/>
          <w:bCs/>
          <w:color w:val="auto"/>
          <w:sz w:val="24"/>
          <w:szCs w:val="24"/>
        </w:rPr>
        <w:t>2021</w:t>
      </w:r>
    </w:p>
    <w:p w14:paraId="52B174B0" w14:textId="600C32C1" w:rsidR="00F87003" w:rsidRDefault="00C36E65" w:rsidP="00F87003">
      <w:pPr>
        <w:pStyle w:val="2"/>
        <w:jc w:val="both"/>
        <w:rPr>
          <w:color w:val="auto"/>
        </w:rPr>
      </w:pPr>
      <w:r>
        <w:rPr>
          <w:color w:val="auto"/>
        </w:rPr>
        <w:t xml:space="preserve"> </w:t>
      </w:r>
    </w:p>
    <w:p w14:paraId="4F0410C5" w14:textId="77777777" w:rsidR="00756DF8" w:rsidRPr="00756DF8" w:rsidRDefault="00756DF8" w:rsidP="00756DF8"/>
    <w:p w14:paraId="100B1CB2" w14:textId="2760B196" w:rsidR="0068129F" w:rsidRDefault="008C6E64" w:rsidP="00C36E65">
      <w:pPr>
        <w:pStyle w:val="2"/>
        <w:jc w:val="both"/>
        <w:rPr>
          <w:color w:val="auto"/>
          <w:sz w:val="24"/>
          <w:szCs w:val="24"/>
        </w:rPr>
      </w:pPr>
      <w:r>
        <w:rPr>
          <w:color w:val="auto"/>
          <w:sz w:val="24"/>
          <w:szCs w:val="24"/>
        </w:rPr>
        <w:t>Σκοπός του παρόντος</w:t>
      </w:r>
      <w:r w:rsidR="00C73DAC">
        <w:rPr>
          <w:color w:val="auto"/>
          <w:sz w:val="24"/>
          <w:szCs w:val="24"/>
        </w:rPr>
        <w:t xml:space="preserve"> Δελτίο</w:t>
      </w:r>
      <w:r>
        <w:rPr>
          <w:color w:val="auto"/>
          <w:sz w:val="24"/>
          <w:szCs w:val="24"/>
        </w:rPr>
        <w:t>υ</w:t>
      </w:r>
      <w:r w:rsidR="00C73DAC">
        <w:rPr>
          <w:color w:val="auto"/>
          <w:sz w:val="24"/>
          <w:szCs w:val="24"/>
        </w:rPr>
        <w:t xml:space="preserve"> Τύπου</w:t>
      </w:r>
      <w:r w:rsidR="00C36E65" w:rsidRPr="00756DF8">
        <w:rPr>
          <w:color w:val="auto"/>
          <w:sz w:val="24"/>
          <w:szCs w:val="24"/>
        </w:rPr>
        <w:t xml:space="preserve"> είναι να παρουσιάσει τα οικονομικά αποτελέσματα της Ευρωπαϊκή Πίστη </w:t>
      </w:r>
      <w:r w:rsidR="0068129F" w:rsidRPr="00756DF8">
        <w:rPr>
          <w:color w:val="auto"/>
          <w:sz w:val="24"/>
          <w:szCs w:val="24"/>
        </w:rPr>
        <w:t>Α.Ε.Γ.Α.</w:t>
      </w:r>
      <w:r w:rsidR="0068129F">
        <w:rPr>
          <w:color w:val="auto"/>
          <w:sz w:val="24"/>
          <w:szCs w:val="24"/>
        </w:rPr>
        <w:t xml:space="preserve"> </w:t>
      </w:r>
      <w:r w:rsidR="00C36E65" w:rsidRPr="00756DF8">
        <w:rPr>
          <w:color w:val="auto"/>
          <w:sz w:val="24"/>
          <w:szCs w:val="24"/>
        </w:rPr>
        <w:t>για το εννεάμηνο της χρήσης 2021</w:t>
      </w:r>
      <w:r w:rsidR="008B3096">
        <w:rPr>
          <w:color w:val="auto"/>
          <w:sz w:val="24"/>
          <w:szCs w:val="24"/>
        </w:rPr>
        <w:t>.</w:t>
      </w:r>
    </w:p>
    <w:p w14:paraId="7CD66C76" w14:textId="155884BA" w:rsidR="00F87003" w:rsidRPr="00756DF8" w:rsidRDefault="00F87003" w:rsidP="00C36E65">
      <w:pPr>
        <w:pStyle w:val="2"/>
        <w:jc w:val="both"/>
        <w:rPr>
          <w:color w:val="auto"/>
          <w:sz w:val="24"/>
          <w:szCs w:val="24"/>
        </w:rPr>
      </w:pPr>
    </w:p>
    <w:p w14:paraId="65C22BD6" w14:textId="099EDFD8" w:rsidR="00F87003" w:rsidRPr="00756DF8" w:rsidRDefault="00F87003" w:rsidP="00F87003">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Η </w:t>
      </w:r>
      <w:r w:rsidRPr="00756DF8">
        <w:rPr>
          <w:rFonts w:asciiTheme="majorHAnsi" w:eastAsiaTheme="majorEastAsia" w:hAnsiTheme="majorHAnsi" w:cstheme="majorBidi"/>
          <w:b/>
          <w:bCs/>
          <w:sz w:val="24"/>
          <w:szCs w:val="24"/>
        </w:rPr>
        <w:t>Ευρωπαϊκή Πίστη Α.Ε.Γ.Α.</w:t>
      </w:r>
      <w:r w:rsidRPr="00756DF8">
        <w:rPr>
          <w:rFonts w:asciiTheme="majorHAnsi" w:eastAsiaTheme="majorEastAsia" w:hAnsiTheme="majorHAnsi" w:cstheme="majorBidi"/>
          <w:sz w:val="24"/>
          <w:szCs w:val="24"/>
        </w:rPr>
        <w:t xml:space="preserve"> ανακοινώνει τις οικονομικές επιδόσεις που κατέγραψε το τρίτο τρίμηνο του 2021 και το ενεάμηνο του 2021, οι οποίες παρουσιάζουν υψηλή ανάπτυξη σε όλα τα βασικά μεγέθη. </w:t>
      </w:r>
    </w:p>
    <w:p w14:paraId="6518AFF8" w14:textId="77777777" w:rsidR="00F87003" w:rsidRPr="00756DF8" w:rsidRDefault="00F87003" w:rsidP="00F87003">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Συγκεκριμένα, για το </w:t>
      </w:r>
      <w:r w:rsidRPr="00756DF8">
        <w:rPr>
          <w:rFonts w:asciiTheme="majorHAnsi" w:eastAsiaTheme="majorEastAsia" w:hAnsiTheme="majorHAnsi" w:cstheme="majorBidi"/>
          <w:b/>
          <w:bCs/>
          <w:sz w:val="24"/>
          <w:szCs w:val="24"/>
        </w:rPr>
        <w:t>9μηνο</w:t>
      </w:r>
      <w:r w:rsidRPr="00756DF8">
        <w:rPr>
          <w:rFonts w:asciiTheme="majorHAnsi" w:eastAsiaTheme="majorEastAsia" w:hAnsiTheme="majorHAnsi" w:cstheme="majorBidi"/>
          <w:sz w:val="24"/>
          <w:szCs w:val="24"/>
        </w:rPr>
        <w:t xml:space="preserve"> του 2021:</w:t>
      </w:r>
    </w:p>
    <w:p w14:paraId="7F23A743" w14:textId="7FE87F8D" w:rsidR="00F87003" w:rsidRPr="00756DF8" w:rsidRDefault="00F87003" w:rsidP="00E2186F">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w:t>
      </w:r>
      <w:r w:rsidRPr="00756DF8">
        <w:rPr>
          <w:rFonts w:asciiTheme="majorHAnsi" w:eastAsiaTheme="majorEastAsia" w:hAnsiTheme="majorHAnsi" w:cstheme="majorBidi"/>
          <w:b/>
          <w:bCs/>
          <w:sz w:val="24"/>
          <w:szCs w:val="24"/>
        </w:rPr>
        <w:t>Εγγεγραμμένα Ασφάλιστρα και συναφή έσοδα</w:t>
      </w:r>
      <w:r w:rsidRPr="00756DF8">
        <w:rPr>
          <w:rFonts w:asciiTheme="majorHAnsi" w:eastAsiaTheme="majorEastAsia" w:hAnsiTheme="majorHAnsi" w:cstheme="majorBidi"/>
          <w:sz w:val="24"/>
          <w:szCs w:val="24"/>
        </w:rPr>
        <w:t xml:space="preserve"> της Εταιρίας παρουσίασαν αύξηση ύψους 4,0% και ανήλθαν στα 165,1 εκ. ευρώ</w:t>
      </w:r>
      <w:r w:rsidR="004D500D" w:rsidRPr="0068129F">
        <w:rPr>
          <w:rFonts w:asciiTheme="majorHAnsi" w:eastAsiaTheme="majorEastAsia" w:hAnsiTheme="majorHAnsi" w:cstheme="majorBidi"/>
          <w:sz w:val="24"/>
          <w:szCs w:val="24"/>
        </w:rPr>
        <w:t>,</w:t>
      </w:r>
      <w:r w:rsidRPr="00756DF8">
        <w:rPr>
          <w:rFonts w:asciiTheme="majorHAnsi" w:eastAsiaTheme="majorEastAsia" w:hAnsiTheme="majorHAnsi" w:cstheme="majorBidi"/>
          <w:sz w:val="24"/>
          <w:szCs w:val="24"/>
        </w:rPr>
        <w:t xml:space="preserve"> έναντι 158,8 εκ. ευρώ της αντίστοιχης περσινής περιόδου. Στην εν λόγω αύξηση της παραγωγής </w:t>
      </w:r>
      <w:r w:rsidR="004D500D">
        <w:rPr>
          <w:rFonts w:asciiTheme="majorHAnsi" w:eastAsiaTheme="majorEastAsia" w:hAnsiTheme="majorHAnsi" w:cstheme="majorBidi"/>
          <w:sz w:val="24"/>
          <w:szCs w:val="24"/>
        </w:rPr>
        <w:t xml:space="preserve">συνεισέφερε </w:t>
      </w:r>
      <w:r w:rsidRPr="00756DF8">
        <w:rPr>
          <w:rFonts w:asciiTheme="majorHAnsi" w:eastAsiaTheme="majorEastAsia" w:hAnsiTheme="majorHAnsi" w:cstheme="majorBidi"/>
          <w:sz w:val="24"/>
          <w:szCs w:val="24"/>
        </w:rPr>
        <w:t xml:space="preserve">ο </w:t>
      </w:r>
      <w:r w:rsidR="00E2186F" w:rsidRPr="00756DF8">
        <w:rPr>
          <w:rFonts w:asciiTheme="majorHAnsi" w:eastAsiaTheme="majorEastAsia" w:hAnsiTheme="majorHAnsi" w:cstheme="majorBidi"/>
          <w:sz w:val="24"/>
          <w:szCs w:val="24"/>
        </w:rPr>
        <w:t>Κ</w:t>
      </w:r>
      <w:r w:rsidRPr="00756DF8">
        <w:rPr>
          <w:rFonts w:asciiTheme="majorHAnsi" w:eastAsiaTheme="majorEastAsia" w:hAnsiTheme="majorHAnsi" w:cstheme="majorBidi"/>
          <w:sz w:val="24"/>
          <w:szCs w:val="24"/>
        </w:rPr>
        <w:t xml:space="preserve">λάδος Ζωής κατά 7,9%, ο </w:t>
      </w:r>
      <w:r w:rsidR="00E2186F" w:rsidRPr="00756DF8">
        <w:rPr>
          <w:rFonts w:asciiTheme="majorHAnsi" w:eastAsiaTheme="majorEastAsia" w:hAnsiTheme="majorHAnsi" w:cstheme="majorBidi"/>
          <w:sz w:val="24"/>
          <w:szCs w:val="24"/>
        </w:rPr>
        <w:t>Κ</w:t>
      </w:r>
      <w:r w:rsidRPr="00756DF8">
        <w:rPr>
          <w:rFonts w:asciiTheme="majorHAnsi" w:eastAsiaTheme="majorEastAsia" w:hAnsiTheme="majorHAnsi" w:cstheme="majorBidi"/>
          <w:sz w:val="24"/>
          <w:szCs w:val="24"/>
        </w:rPr>
        <w:t xml:space="preserve">λάδος Αυτοκινήτων κατά 0,6% και οι Λοιποί Γενικοί κλάδοι κατά 5,5%. </w:t>
      </w:r>
    </w:p>
    <w:p w14:paraId="15D4C44E" w14:textId="0BE098D8" w:rsidR="00F87003" w:rsidRPr="00756DF8" w:rsidRDefault="00F87003" w:rsidP="00E2186F">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w:t>
      </w:r>
      <w:r w:rsidRPr="00756DF8">
        <w:rPr>
          <w:rFonts w:asciiTheme="majorHAnsi" w:eastAsiaTheme="majorEastAsia" w:hAnsiTheme="majorHAnsi" w:cstheme="majorBidi"/>
          <w:b/>
          <w:bCs/>
          <w:sz w:val="24"/>
          <w:szCs w:val="24"/>
        </w:rPr>
        <w:t>Έσοδα Επενδύσεων &amp; Λοιπά Έσοδα</w:t>
      </w:r>
      <w:r w:rsidRPr="00756DF8">
        <w:rPr>
          <w:rFonts w:asciiTheme="majorHAnsi" w:eastAsiaTheme="majorEastAsia" w:hAnsiTheme="majorHAnsi" w:cstheme="majorBidi"/>
          <w:sz w:val="24"/>
          <w:szCs w:val="24"/>
        </w:rPr>
        <w:t xml:space="preserve"> διαμορφώθηκαν στα 8,9 εκ. ευρώ, έναντι 2,8 εκ. ευρώ την αντίστοιχη περσινή περίοδο, σημειώνοντας αύξηση ύψους </w:t>
      </w:r>
      <w:r w:rsidRPr="00756DF8">
        <w:rPr>
          <w:rFonts w:asciiTheme="majorHAnsi" w:eastAsiaTheme="majorEastAsia" w:hAnsiTheme="majorHAnsi" w:cstheme="majorBidi"/>
          <w:b/>
          <w:bCs/>
          <w:sz w:val="24"/>
          <w:szCs w:val="24"/>
        </w:rPr>
        <w:t>218,2%</w:t>
      </w:r>
      <w:r w:rsidR="00E2186F" w:rsidRPr="00756DF8">
        <w:rPr>
          <w:rFonts w:asciiTheme="majorHAnsi" w:eastAsiaTheme="majorEastAsia" w:hAnsiTheme="majorHAnsi" w:cstheme="majorBidi"/>
          <w:sz w:val="24"/>
          <w:szCs w:val="24"/>
        </w:rPr>
        <w:t xml:space="preserve">, θετικά επηρεασμένα από την αύξηση των </w:t>
      </w:r>
      <w:r w:rsidR="00783632" w:rsidRPr="00756DF8">
        <w:rPr>
          <w:rFonts w:asciiTheme="majorHAnsi" w:eastAsiaTheme="majorEastAsia" w:hAnsiTheme="majorHAnsi" w:cstheme="majorBidi"/>
          <w:sz w:val="24"/>
          <w:szCs w:val="24"/>
        </w:rPr>
        <w:t>εσόδων</w:t>
      </w:r>
      <w:r w:rsidR="00E2186F" w:rsidRPr="00756DF8">
        <w:rPr>
          <w:rFonts w:asciiTheme="majorHAnsi" w:eastAsiaTheme="majorEastAsia" w:hAnsiTheme="majorHAnsi" w:cstheme="majorBidi"/>
          <w:sz w:val="24"/>
          <w:szCs w:val="24"/>
        </w:rPr>
        <w:t xml:space="preserve"> </w:t>
      </w:r>
      <w:r w:rsidR="00783632" w:rsidRPr="00756DF8">
        <w:rPr>
          <w:rFonts w:asciiTheme="majorHAnsi" w:eastAsiaTheme="majorEastAsia" w:hAnsiTheme="majorHAnsi" w:cstheme="majorBidi"/>
          <w:sz w:val="24"/>
          <w:szCs w:val="24"/>
        </w:rPr>
        <w:t xml:space="preserve">κατά 3,9 εκ. ευρώ </w:t>
      </w:r>
      <w:r w:rsidR="00E2186F" w:rsidRPr="00756DF8">
        <w:rPr>
          <w:rFonts w:asciiTheme="majorHAnsi" w:eastAsiaTheme="majorEastAsia" w:hAnsiTheme="majorHAnsi" w:cstheme="majorBidi"/>
          <w:sz w:val="24"/>
          <w:szCs w:val="24"/>
        </w:rPr>
        <w:t>από την πώληση χρηματοοικονομικών στοιχείων</w:t>
      </w:r>
      <w:r w:rsidR="00783632" w:rsidRPr="00756DF8">
        <w:rPr>
          <w:rFonts w:asciiTheme="majorHAnsi" w:eastAsiaTheme="majorEastAsia" w:hAnsiTheme="majorHAnsi" w:cstheme="majorBidi"/>
          <w:sz w:val="24"/>
          <w:szCs w:val="24"/>
        </w:rPr>
        <w:t>, σε σύγκριση με τ</w:t>
      </w:r>
      <w:r w:rsidR="008C6E64">
        <w:rPr>
          <w:rFonts w:asciiTheme="majorHAnsi" w:eastAsiaTheme="majorEastAsia" w:hAnsiTheme="majorHAnsi" w:cstheme="majorBidi"/>
          <w:sz w:val="24"/>
          <w:szCs w:val="24"/>
        </w:rPr>
        <w:t>ην</w:t>
      </w:r>
      <w:r w:rsidR="00783632" w:rsidRPr="00756DF8">
        <w:rPr>
          <w:rFonts w:asciiTheme="majorHAnsi" w:eastAsiaTheme="majorEastAsia" w:hAnsiTheme="majorHAnsi" w:cstheme="majorBidi"/>
          <w:sz w:val="24"/>
          <w:szCs w:val="24"/>
        </w:rPr>
        <w:t xml:space="preserve"> 30/09/2020. </w:t>
      </w:r>
    </w:p>
    <w:p w14:paraId="3DDD4978" w14:textId="2B5DD757" w:rsidR="00751250" w:rsidRPr="00756DF8" w:rsidRDefault="00751250" w:rsidP="00E2186F">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Το </w:t>
      </w:r>
      <w:r w:rsidRPr="00756DF8">
        <w:rPr>
          <w:rFonts w:asciiTheme="majorHAnsi" w:eastAsiaTheme="majorEastAsia" w:hAnsiTheme="majorHAnsi" w:cstheme="majorBidi"/>
          <w:b/>
          <w:bCs/>
          <w:sz w:val="24"/>
          <w:szCs w:val="24"/>
        </w:rPr>
        <w:t xml:space="preserve">Κόστος Ασφαλιστικών Εργασιών </w:t>
      </w:r>
      <w:r w:rsidRPr="00756DF8">
        <w:rPr>
          <w:rFonts w:asciiTheme="majorHAnsi" w:eastAsiaTheme="majorEastAsia" w:hAnsiTheme="majorHAnsi" w:cstheme="majorBidi"/>
          <w:sz w:val="24"/>
          <w:szCs w:val="24"/>
        </w:rPr>
        <w:t>(Αποζημιώσεις ασφαλισμένων &amp; Μεταβολή ασφαλιστικ</w:t>
      </w:r>
      <w:r w:rsidR="008C6E64">
        <w:rPr>
          <w:rFonts w:asciiTheme="majorHAnsi" w:eastAsiaTheme="majorEastAsia" w:hAnsiTheme="majorHAnsi" w:cstheme="majorBidi"/>
          <w:sz w:val="24"/>
          <w:szCs w:val="24"/>
        </w:rPr>
        <w:t>ών</w:t>
      </w:r>
      <w:r w:rsidRPr="00756DF8">
        <w:rPr>
          <w:rFonts w:asciiTheme="majorHAnsi" w:eastAsiaTheme="majorEastAsia" w:hAnsiTheme="majorHAnsi" w:cstheme="majorBidi"/>
          <w:sz w:val="24"/>
          <w:szCs w:val="24"/>
        </w:rPr>
        <w:t xml:space="preserve"> προβλέψε</w:t>
      </w:r>
      <w:r w:rsidR="008C6E64">
        <w:rPr>
          <w:rFonts w:asciiTheme="majorHAnsi" w:eastAsiaTheme="majorEastAsia" w:hAnsiTheme="majorHAnsi" w:cstheme="majorBidi"/>
          <w:sz w:val="24"/>
          <w:szCs w:val="24"/>
        </w:rPr>
        <w:t>ων</w:t>
      </w:r>
      <w:r w:rsidRPr="00756DF8">
        <w:rPr>
          <w:rFonts w:asciiTheme="majorHAnsi" w:eastAsiaTheme="majorEastAsia" w:hAnsiTheme="majorHAnsi" w:cstheme="majorBidi"/>
          <w:sz w:val="24"/>
          <w:szCs w:val="24"/>
        </w:rPr>
        <w:t>), ανήλθε σ</w:t>
      </w:r>
      <w:r w:rsidR="005B336E" w:rsidRPr="00756DF8">
        <w:rPr>
          <w:rFonts w:asciiTheme="majorHAnsi" w:eastAsiaTheme="majorEastAsia" w:hAnsiTheme="majorHAnsi" w:cstheme="majorBidi"/>
          <w:sz w:val="24"/>
          <w:szCs w:val="24"/>
        </w:rPr>
        <w:t>τα</w:t>
      </w:r>
      <w:r w:rsidRPr="00756DF8">
        <w:rPr>
          <w:rFonts w:asciiTheme="majorHAnsi" w:eastAsiaTheme="majorEastAsia" w:hAnsiTheme="majorHAnsi" w:cstheme="majorBidi"/>
          <w:sz w:val="24"/>
          <w:szCs w:val="24"/>
        </w:rPr>
        <w:t xml:space="preserve"> 101,5 εκ. ευρώ, έναντι 86,8 εκ. ευρώ την αντίστοιχη περσινή περίοδο, σημειώνοντας αύξηση 17,0%.</w:t>
      </w:r>
    </w:p>
    <w:p w14:paraId="1E7BADB1" w14:textId="4A1AECE9" w:rsidR="00F87003" w:rsidRPr="00756DF8" w:rsidRDefault="00F87003" w:rsidP="00E2186F">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w:t>
      </w:r>
      <w:r w:rsidRPr="00756DF8">
        <w:rPr>
          <w:rFonts w:asciiTheme="majorHAnsi" w:eastAsiaTheme="majorEastAsia" w:hAnsiTheme="majorHAnsi" w:cstheme="majorBidi"/>
          <w:b/>
          <w:bCs/>
          <w:sz w:val="24"/>
          <w:szCs w:val="24"/>
        </w:rPr>
        <w:t>Κέρδη προ Φόρων</w:t>
      </w:r>
      <w:r w:rsidRPr="00756DF8">
        <w:rPr>
          <w:rFonts w:asciiTheme="majorHAnsi" w:eastAsiaTheme="majorEastAsia" w:hAnsiTheme="majorHAnsi" w:cstheme="majorBidi"/>
          <w:sz w:val="24"/>
          <w:szCs w:val="24"/>
        </w:rPr>
        <w:t xml:space="preserve"> της Εταιρίας παρέμειναν σε υψηλά επίπεδα και διαμορφώθηκαν στα 14,0 εκ. ευρώ, βελτιώνοντας σημαντικά τα αποτελέσματα του Α’ Εξαμήνου κατά </w:t>
      </w:r>
      <w:r w:rsidR="002D47A1" w:rsidRPr="00756DF8">
        <w:rPr>
          <w:rFonts w:asciiTheme="majorHAnsi" w:eastAsiaTheme="majorEastAsia" w:hAnsiTheme="majorHAnsi" w:cstheme="majorBidi"/>
          <w:sz w:val="24"/>
          <w:szCs w:val="24"/>
        </w:rPr>
        <w:t>133,3</w:t>
      </w:r>
      <w:r w:rsidRPr="00756DF8">
        <w:rPr>
          <w:rFonts w:asciiTheme="majorHAnsi" w:eastAsiaTheme="majorEastAsia" w:hAnsiTheme="majorHAnsi" w:cstheme="majorBidi"/>
          <w:sz w:val="24"/>
          <w:szCs w:val="24"/>
        </w:rPr>
        <w:t>%.</w:t>
      </w:r>
    </w:p>
    <w:p w14:paraId="696E2FD0" w14:textId="77777777" w:rsidR="00493452" w:rsidRPr="00756DF8" w:rsidRDefault="00493452" w:rsidP="00493452">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Ο </w:t>
      </w:r>
      <w:r w:rsidRPr="00756DF8">
        <w:rPr>
          <w:rFonts w:asciiTheme="majorHAnsi" w:eastAsiaTheme="majorEastAsia" w:hAnsiTheme="majorHAnsi" w:cstheme="majorBidi"/>
          <w:b/>
          <w:bCs/>
          <w:sz w:val="24"/>
          <w:szCs w:val="24"/>
        </w:rPr>
        <w:t>αριθμός προσωπικού</w:t>
      </w:r>
      <w:r w:rsidRPr="00756DF8">
        <w:rPr>
          <w:rFonts w:asciiTheme="majorHAnsi" w:eastAsiaTheme="majorEastAsia" w:hAnsiTheme="majorHAnsi" w:cstheme="majorBidi"/>
          <w:sz w:val="24"/>
          <w:szCs w:val="24"/>
        </w:rPr>
        <w:t xml:space="preserve"> της Εταιρίας ανήλθε σε 442 άτομα, έναντι 448 άτομα την 30/09/2020. </w:t>
      </w:r>
    </w:p>
    <w:p w14:paraId="13F908AA" w14:textId="5FAD823B" w:rsidR="00F87003" w:rsidRDefault="00F87003"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lastRenderedPageBreak/>
        <w:t xml:space="preserve">Ειδικότερα, στον </w:t>
      </w:r>
      <w:r w:rsidR="005B336E" w:rsidRPr="00756DF8">
        <w:rPr>
          <w:rFonts w:asciiTheme="majorHAnsi" w:eastAsiaTheme="majorEastAsia" w:hAnsiTheme="majorHAnsi" w:cstheme="majorBidi"/>
          <w:sz w:val="24"/>
          <w:szCs w:val="24"/>
        </w:rPr>
        <w:t xml:space="preserve">ακόλουθο </w:t>
      </w:r>
      <w:r w:rsidRPr="00756DF8">
        <w:rPr>
          <w:rFonts w:asciiTheme="majorHAnsi" w:eastAsiaTheme="majorEastAsia" w:hAnsiTheme="majorHAnsi" w:cstheme="majorBidi"/>
          <w:sz w:val="24"/>
          <w:szCs w:val="24"/>
        </w:rPr>
        <w:t>πίνακα παρουσιάζονται τα βασικά οικονομικά μεγέθη της Εταιρίας για το εννεάμηνο του 2021, σε σχέση με την αντίστοιχη περίοδο του 2020:</w:t>
      </w:r>
    </w:p>
    <w:tbl>
      <w:tblPr>
        <w:tblW w:w="5497" w:type="pct"/>
        <w:tblInd w:w="-426" w:type="dxa"/>
        <w:tblCellMar>
          <w:left w:w="0" w:type="dxa"/>
          <w:right w:w="0" w:type="dxa"/>
        </w:tblCellMar>
        <w:tblLook w:val="0600" w:firstRow="0" w:lastRow="0" w:firstColumn="0" w:lastColumn="0" w:noHBand="1" w:noVBand="1"/>
      </w:tblPr>
      <w:tblGrid>
        <w:gridCol w:w="5218"/>
        <w:gridCol w:w="1451"/>
        <w:gridCol w:w="1594"/>
        <w:gridCol w:w="1447"/>
      </w:tblGrid>
      <w:tr w:rsidR="003F0C4E" w:rsidRPr="00752680" w14:paraId="0FFE95AD" w14:textId="77777777" w:rsidTr="0039276D">
        <w:trPr>
          <w:trHeight w:val="322"/>
        </w:trPr>
        <w:tc>
          <w:tcPr>
            <w:tcW w:w="2687" w:type="pct"/>
            <w:tcBorders>
              <w:top w:val="nil"/>
              <w:left w:val="nil"/>
              <w:bottom w:val="single" w:sz="12" w:space="0" w:color="4BAFE1"/>
              <w:right w:val="single" w:sz="4" w:space="0" w:color="FFFFFF" w:themeColor="background1"/>
            </w:tcBorders>
            <w:shd w:val="clear" w:color="auto" w:fill="2191C9"/>
            <w:tcMar>
              <w:top w:w="15" w:type="dxa"/>
              <w:left w:w="15" w:type="dxa"/>
              <w:bottom w:w="0" w:type="dxa"/>
              <w:right w:w="15" w:type="dxa"/>
            </w:tcMar>
            <w:vAlign w:val="center"/>
            <w:hideMark/>
          </w:tcPr>
          <w:p w14:paraId="1CEB5A7A" w14:textId="77777777" w:rsidR="00752680" w:rsidRPr="00752680" w:rsidRDefault="00752680" w:rsidP="00752680">
            <w:pPr>
              <w:spacing w:after="0" w:line="240" w:lineRule="auto"/>
              <w:ind w:left="274"/>
              <w:textAlignment w:val="center"/>
              <w:rPr>
                <w:rFonts w:ascii="72 Black" w:eastAsia="Times New Roman" w:hAnsi="72 Black" w:cs="72 Black"/>
                <w:sz w:val="19"/>
                <w:szCs w:val="19"/>
                <w:lang w:eastAsia="el-GR"/>
              </w:rPr>
            </w:pPr>
            <w:r w:rsidRPr="00752680">
              <w:rPr>
                <w:rFonts w:ascii="72 Black" w:eastAsia="Times New Roman" w:hAnsi="72 Black" w:cs="72 Black"/>
                <w:b/>
                <w:bCs/>
                <w:color w:val="FFFFFF"/>
                <w:sz w:val="19"/>
                <w:szCs w:val="19"/>
                <w:lang w:eastAsia="el-GR"/>
              </w:rPr>
              <w:t xml:space="preserve">(Ποσά σε € χιλ.) </w:t>
            </w:r>
          </w:p>
        </w:tc>
        <w:tc>
          <w:tcPr>
            <w:tcW w:w="747" w:type="pct"/>
            <w:tcBorders>
              <w:top w:val="nil"/>
              <w:left w:val="single" w:sz="4" w:space="0" w:color="FFFFFF" w:themeColor="background1"/>
              <w:bottom w:val="single" w:sz="12" w:space="0" w:color="4BAFE1"/>
              <w:right w:val="single" w:sz="8" w:space="0" w:color="FFFFFF"/>
            </w:tcBorders>
            <w:shd w:val="clear" w:color="auto" w:fill="2191C9"/>
            <w:tcMar>
              <w:top w:w="15" w:type="dxa"/>
              <w:left w:w="15" w:type="dxa"/>
              <w:bottom w:w="0" w:type="dxa"/>
              <w:right w:w="15" w:type="dxa"/>
            </w:tcMar>
            <w:vAlign w:val="center"/>
            <w:hideMark/>
          </w:tcPr>
          <w:p w14:paraId="0BFAB598" w14:textId="77777777" w:rsidR="00752680" w:rsidRPr="00752680" w:rsidRDefault="00752680" w:rsidP="003F0C4E">
            <w:pPr>
              <w:spacing w:after="0" w:line="240" w:lineRule="auto"/>
              <w:jc w:val="center"/>
              <w:textAlignment w:val="center"/>
              <w:rPr>
                <w:rFonts w:ascii="72 Black" w:eastAsia="Times New Roman" w:hAnsi="72 Black" w:cs="72 Black"/>
                <w:sz w:val="19"/>
                <w:szCs w:val="19"/>
                <w:lang w:eastAsia="el-GR"/>
              </w:rPr>
            </w:pPr>
            <w:r w:rsidRPr="00752680">
              <w:rPr>
                <w:rFonts w:ascii="72 Black" w:eastAsia="Times New Roman" w:hAnsi="72 Black" w:cs="72 Black"/>
                <w:b/>
                <w:bCs/>
                <w:color w:val="FFFFFF"/>
                <w:sz w:val="19"/>
                <w:szCs w:val="19"/>
                <w:lang w:eastAsia="el-GR"/>
              </w:rPr>
              <w:t>9Μ 2021</w:t>
            </w:r>
          </w:p>
        </w:tc>
        <w:tc>
          <w:tcPr>
            <w:tcW w:w="821" w:type="pct"/>
            <w:tcBorders>
              <w:top w:val="nil"/>
              <w:left w:val="single" w:sz="8" w:space="0" w:color="FFFFFF"/>
              <w:bottom w:val="single" w:sz="12" w:space="0" w:color="4BAFE1"/>
              <w:right w:val="single" w:sz="8" w:space="0" w:color="FFFFFF"/>
            </w:tcBorders>
            <w:shd w:val="clear" w:color="auto" w:fill="2191C9"/>
            <w:tcMar>
              <w:top w:w="15" w:type="dxa"/>
              <w:left w:w="15" w:type="dxa"/>
              <w:bottom w:w="0" w:type="dxa"/>
              <w:right w:w="15" w:type="dxa"/>
            </w:tcMar>
            <w:vAlign w:val="center"/>
            <w:hideMark/>
          </w:tcPr>
          <w:p w14:paraId="2C152F55" w14:textId="77777777" w:rsidR="00752680" w:rsidRPr="00752680" w:rsidRDefault="00752680" w:rsidP="003F0C4E">
            <w:pPr>
              <w:spacing w:after="0" w:line="240" w:lineRule="auto"/>
              <w:jc w:val="center"/>
              <w:textAlignment w:val="center"/>
              <w:rPr>
                <w:rFonts w:ascii="72 Black" w:eastAsia="Times New Roman" w:hAnsi="72 Black" w:cs="72 Black"/>
                <w:sz w:val="19"/>
                <w:szCs w:val="19"/>
                <w:lang w:eastAsia="el-GR"/>
              </w:rPr>
            </w:pPr>
            <w:r w:rsidRPr="00752680">
              <w:rPr>
                <w:rFonts w:ascii="72 Black" w:eastAsia="Times New Roman" w:hAnsi="72 Black" w:cs="72 Black"/>
                <w:b/>
                <w:bCs/>
                <w:color w:val="FFFFFF"/>
                <w:sz w:val="19"/>
                <w:szCs w:val="19"/>
                <w:lang w:eastAsia="el-GR"/>
              </w:rPr>
              <w:t>9Μ 2020</w:t>
            </w:r>
          </w:p>
        </w:tc>
        <w:tc>
          <w:tcPr>
            <w:tcW w:w="745" w:type="pct"/>
            <w:tcBorders>
              <w:top w:val="nil"/>
              <w:left w:val="single" w:sz="8" w:space="0" w:color="FFFFFF"/>
              <w:bottom w:val="single" w:sz="12" w:space="0" w:color="4BAFE1"/>
              <w:right w:val="nil"/>
            </w:tcBorders>
            <w:shd w:val="clear" w:color="auto" w:fill="2191C9"/>
            <w:tcMar>
              <w:top w:w="15" w:type="dxa"/>
              <w:left w:w="15" w:type="dxa"/>
              <w:bottom w:w="0" w:type="dxa"/>
              <w:right w:w="15" w:type="dxa"/>
            </w:tcMar>
            <w:vAlign w:val="center"/>
            <w:hideMark/>
          </w:tcPr>
          <w:p w14:paraId="43C5A2AD" w14:textId="77777777" w:rsidR="00752680" w:rsidRPr="00752680" w:rsidRDefault="00752680" w:rsidP="003F0C4E">
            <w:pPr>
              <w:spacing w:after="0" w:line="240" w:lineRule="auto"/>
              <w:jc w:val="center"/>
              <w:textAlignment w:val="center"/>
              <w:rPr>
                <w:rFonts w:ascii="72 Black" w:eastAsia="Times New Roman" w:hAnsi="72 Black" w:cs="72 Black"/>
                <w:sz w:val="19"/>
                <w:szCs w:val="19"/>
                <w:lang w:eastAsia="el-GR"/>
              </w:rPr>
            </w:pPr>
            <w:r w:rsidRPr="00752680">
              <w:rPr>
                <w:rFonts w:ascii="72 Black" w:eastAsia="Times New Roman" w:hAnsi="72 Black" w:cs="72 Black"/>
                <w:b/>
                <w:bCs/>
                <w:color w:val="FFFFFF"/>
                <w:sz w:val="19"/>
                <w:szCs w:val="19"/>
                <w:lang w:eastAsia="el-GR"/>
              </w:rPr>
              <w:t>Μεταβολή (%)</w:t>
            </w:r>
          </w:p>
        </w:tc>
      </w:tr>
      <w:tr w:rsidR="003F0C4E" w:rsidRPr="00752680" w14:paraId="7EFF8CB1" w14:textId="77777777" w:rsidTr="003F0C4E">
        <w:trPr>
          <w:trHeight w:val="103"/>
        </w:trPr>
        <w:tc>
          <w:tcPr>
            <w:tcW w:w="2687" w:type="pct"/>
            <w:tcBorders>
              <w:top w:val="single" w:sz="12" w:space="0" w:color="4BAFE1"/>
              <w:left w:val="nil"/>
              <w:bottom w:val="single" w:sz="8" w:space="0" w:color="FFFFFF"/>
              <w:right w:val="nil"/>
            </w:tcBorders>
            <w:shd w:val="clear" w:color="auto" w:fill="auto"/>
            <w:tcMar>
              <w:top w:w="15" w:type="dxa"/>
              <w:left w:w="15" w:type="dxa"/>
              <w:bottom w:w="0" w:type="dxa"/>
              <w:right w:w="15" w:type="dxa"/>
            </w:tcMar>
            <w:vAlign w:val="center"/>
            <w:hideMark/>
          </w:tcPr>
          <w:p w14:paraId="34C0C49F"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color w:val="000000"/>
                <w:sz w:val="20"/>
                <w:szCs w:val="20"/>
                <w:lang w:eastAsia="el-GR"/>
              </w:rPr>
              <w:t>Εγγεγραμμένα (μικτά) ασφάλιστρα και συναφή έσοδα</w:t>
            </w:r>
          </w:p>
        </w:tc>
        <w:tc>
          <w:tcPr>
            <w:tcW w:w="747" w:type="pct"/>
            <w:tcBorders>
              <w:top w:val="single" w:sz="12" w:space="0" w:color="4BAFE1"/>
              <w:left w:val="nil"/>
              <w:bottom w:val="single" w:sz="8" w:space="0" w:color="FFFFFF"/>
              <w:right w:val="nil"/>
            </w:tcBorders>
            <w:shd w:val="clear" w:color="auto" w:fill="F2F2F2"/>
            <w:tcMar>
              <w:top w:w="15" w:type="dxa"/>
              <w:left w:w="15" w:type="dxa"/>
              <w:bottom w:w="0" w:type="dxa"/>
              <w:right w:w="15" w:type="dxa"/>
            </w:tcMar>
            <w:vAlign w:val="center"/>
            <w:hideMark/>
          </w:tcPr>
          <w:p w14:paraId="6243D922"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165</w:t>
            </w: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066</w:t>
            </w:r>
          </w:p>
        </w:tc>
        <w:tc>
          <w:tcPr>
            <w:tcW w:w="821" w:type="pct"/>
            <w:tcBorders>
              <w:top w:val="single" w:sz="12" w:space="0" w:color="4BAFE1"/>
              <w:left w:val="nil"/>
              <w:bottom w:val="single" w:sz="8" w:space="0" w:color="FFFFFF"/>
              <w:right w:val="nil"/>
            </w:tcBorders>
            <w:shd w:val="clear" w:color="auto" w:fill="auto"/>
            <w:tcMar>
              <w:top w:w="15" w:type="dxa"/>
              <w:left w:w="15" w:type="dxa"/>
              <w:bottom w:w="0" w:type="dxa"/>
              <w:right w:w="15" w:type="dxa"/>
            </w:tcMar>
            <w:vAlign w:val="center"/>
            <w:hideMark/>
          </w:tcPr>
          <w:p w14:paraId="5FEDD13B"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158</w:t>
            </w: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75</w:t>
            </w:r>
            <w:r w:rsidRPr="00752680">
              <w:rPr>
                <w:rFonts w:asciiTheme="majorHAnsi" w:eastAsia="Times New Roman" w:hAnsiTheme="majorHAnsi" w:cstheme="majorHAnsi"/>
                <w:b/>
                <w:bCs/>
                <w:color w:val="262626"/>
                <w:sz w:val="20"/>
                <w:szCs w:val="20"/>
                <w:lang w:val="en-US" w:eastAsia="el-GR"/>
              </w:rPr>
              <w:t>3</w:t>
            </w:r>
          </w:p>
        </w:tc>
        <w:tc>
          <w:tcPr>
            <w:tcW w:w="745" w:type="pct"/>
            <w:tcBorders>
              <w:top w:val="single" w:sz="12" w:space="0" w:color="4BAFE1"/>
              <w:left w:val="nil"/>
              <w:bottom w:val="single" w:sz="8" w:space="0" w:color="FFFFFF"/>
              <w:right w:val="nil"/>
            </w:tcBorders>
            <w:shd w:val="clear" w:color="auto" w:fill="F2F2F2"/>
            <w:tcMar>
              <w:top w:w="15" w:type="dxa"/>
              <w:left w:w="15" w:type="dxa"/>
              <w:bottom w:w="0" w:type="dxa"/>
              <w:right w:w="15" w:type="dxa"/>
            </w:tcMar>
            <w:vAlign w:val="center"/>
            <w:hideMark/>
          </w:tcPr>
          <w:p w14:paraId="4180A325"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+ 4,0%</w:t>
            </w:r>
          </w:p>
        </w:tc>
      </w:tr>
      <w:tr w:rsidR="003F0C4E" w:rsidRPr="00752680" w14:paraId="5B36C787" w14:textId="77777777" w:rsidTr="003F0C4E">
        <w:trPr>
          <w:trHeight w:val="71"/>
        </w:trPr>
        <w:tc>
          <w:tcPr>
            <w:tcW w:w="2687" w:type="pct"/>
            <w:tcBorders>
              <w:top w:val="single" w:sz="8" w:space="0" w:color="FFFFFF"/>
              <w:left w:val="nil"/>
              <w:bottom w:val="single" w:sz="8" w:space="0" w:color="FFFFFF"/>
              <w:right w:val="nil"/>
            </w:tcBorders>
            <w:shd w:val="clear" w:color="auto" w:fill="auto"/>
            <w:tcMar>
              <w:top w:w="15" w:type="dxa"/>
              <w:left w:w="15" w:type="dxa"/>
              <w:bottom w:w="0" w:type="dxa"/>
              <w:right w:w="15" w:type="dxa"/>
            </w:tcMar>
            <w:vAlign w:val="center"/>
            <w:hideMark/>
          </w:tcPr>
          <w:p w14:paraId="2CC562BB"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color w:val="000000"/>
                <w:sz w:val="20"/>
                <w:szCs w:val="20"/>
                <w:lang w:eastAsia="el-GR"/>
              </w:rPr>
              <w:t>Μεταβολή αποθέματος μη δεδουλευμένων ασφαλίστρων</w:t>
            </w:r>
          </w:p>
        </w:tc>
        <w:tc>
          <w:tcPr>
            <w:tcW w:w="747"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2B69604C"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4.296</w:t>
            </w:r>
          </w:p>
        </w:tc>
        <w:tc>
          <w:tcPr>
            <w:tcW w:w="821" w:type="pct"/>
            <w:tcBorders>
              <w:top w:val="single" w:sz="8" w:space="0" w:color="FFFFFF"/>
              <w:left w:val="nil"/>
              <w:bottom w:val="single" w:sz="8" w:space="0" w:color="FFFFFF"/>
              <w:right w:val="nil"/>
            </w:tcBorders>
            <w:shd w:val="clear" w:color="auto" w:fill="auto"/>
            <w:tcMar>
              <w:top w:w="15" w:type="dxa"/>
              <w:left w:w="15" w:type="dxa"/>
              <w:bottom w:w="0" w:type="dxa"/>
              <w:right w:w="15" w:type="dxa"/>
            </w:tcMar>
            <w:vAlign w:val="center"/>
            <w:hideMark/>
          </w:tcPr>
          <w:p w14:paraId="04A01E94"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5.309</w:t>
            </w:r>
          </w:p>
        </w:tc>
        <w:tc>
          <w:tcPr>
            <w:tcW w:w="745"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0DC1B483"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val="en-US" w:eastAsia="el-GR"/>
              </w:rPr>
              <w:t>-</w:t>
            </w:r>
            <w:r w:rsidRPr="0068129F">
              <w:rPr>
                <w:rFonts w:asciiTheme="majorHAnsi" w:eastAsia="Times New Roman" w:hAnsiTheme="majorHAnsi" w:cstheme="majorHAnsi"/>
                <w:b/>
                <w:bCs/>
                <w:color w:val="000000" w:themeColor="text1"/>
                <w:sz w:val="20"/>
                <w:szCs w:val="20"/>
                <w:lang w:eastAsia="el-GR"/>
              </w:rPr>
              <w:t xml:space="preserve"> 19,1%</w:t>
            </w:r>
          </w:p>
        </w:tc>
      </w:tr>
      <w:tr w:rsidR="003F0C4E" w:rsidRPr="00752680" w14:paraId="2E9436B0" w14:textId="77777777" w:rsidTr="003F0C4E">
        <w:trPr>
          <w:trHeight w:val="71"/>
        </w:trPr>
        <w:tc>
          <w:tcPr>
            <w:tcW w:w="2687" w:type="pct"/>
            <w:tcBorders>
              <w:top w:val="single" w:sz="8" w:space="0" w:color="FFFFFF"/>
              <w:left w:val="nil"/>
              <w:bottom w:val="single" w:sz="8" w:space="0" w:color="FFFFFF"/>
              <w:right w:val="nil"/>
            </w:tcBorders>
            <w:shd w:val="clear" w:color="auto" w:fill="auto"/>
            <w:tcMar>
              <w:top w:w="15" w:type="dxa"/>
              <w:left w:w="15" w:type="dxa"/>
              <w:bottom w:w="0" w:type="dxa"/>
              <w:right w:w="15" w:type="dxa"/>
            </w:tcMar>
            <w:vAlign w:val="center"/>
            <w:hideMark/>
          </w:tcPr>
          <w:p w14:paraId="5F9159E3"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proofErr w:type="spellStart"/>
            <w:r w:rsidRPr="00752680">
              <w:rPr>
                <w:rFonts w:asciiTheme="majorHAnsi" w:eastAsia="Times New Roman" w:hAnsiTheme="majorHAnsi" w:cstheme="majorHAnsi"/>
                <w:color w:val="000000"/>
                <w:sz w:val="20"/>
                <w:szCs w:val="20"/>
                <w:lang w:eastAsia="el-GR"/>
              </w:rPr>
              <w:t>Αντασφάλιστρα</w:t>
            </w:r>
            <w:proofErr w:type="spellEnd"/>
          </w:p>
        </w:tc>
        <w:tc>
          <w:tcPr>
            <w:tcW w:w="747"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66323D1E"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13.159</w:t>
            </w:r>
            <w:r w:rsidRPr="00752680">
              <w:rPr>
                <w:rFonts w:asciiTheme="majorHAnsi" w:eastAsia="Times New Roman" w:hAnsiTheme="majorHAnsi" w:cstheme="majorHAnsi"/>
                <w:b/>
                <w:bCs/>
                <w:color w:val="262626"/>
                <w:sz w:val="20"/>
                <w:szCs w:val="20"/>
                <w:lang w:val="en-US" w:eastAsia="el-GR"/>
              </w:rPr>
              <w:t>)</w:t>
            </w:r>
          </w:p>
        </w:tc>
        <w:tc>
          <w:tcPr>
            <w:tcW w:w="821" w:type="pct"/>
            <w:tcBorders>
              <w:top w:val="single" w:sz="8" w:space="0" w:color="FFFFFF"/>
              <w:left w:val="nil"/>
              <w:bottom w:val="single" w:sz="8" w:space="0" w:color="FFFFFF"/>
              <w:right w:val="nil"/>
            </w:tcBorders>
            <w:shd w:val="clear" w:color="auto" w:fill="auto"/>
            <w:tcMar>
              <w:top w:w="15" w:type="dxa"/>
              <w:left w:w="15" w:type="dxa"/>
              <w:bottom w:w="0" w:type="dxa"/>
              <w:right w:w="15" w:type="dxa"/>
            </w:tcMar>
            <w:vAlign w:val="center"/>
            <w:hideMark/>
          </w:tcPr>
          <w:p w14:paraId="305F9811"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12.457</w:t>
            </w:r>
            <w:r w:rsidRPr="00752680">
              <w:rPr>
                <w:rFonts w:asciiTheme="majorHAnsi" w:eastAsia="Times New Roman" w:hAnsiTheme="majorHAnsi" w:cstheme="majorHAnsi"/>
                <w:b/>
                <w:bCs/>
                <w:color w:val="262626"/>
                <w:sz w:val="20"/>
                <w:szCs w:val="20"/>
                <w:lang w:val="en-US" w:eastAsia="el-GR"/>
              </w:rPr>
              <w:t>)</w:t>
            </w:r>
          </w:p>
        </w:tc>
        <w:tc>
          <w:tcPr>
            <w:tcW w:w="745"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5E599ACB"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+ 5,6%</w:t>
            </w:r>
          </w:p>
        </w:tc>
      </w:tr>
      <w:tr w:rsidR="003F0C4E" w:rsidRPr="00752680" w14:paraId="4E8E6FFE" w14:textId="77777777" w:rsidTr="003F0C4E">
        <w:trPr>
          <w:trHeight w:val="402"/>
        </w:trPr>
        <w:tc>
          <w:tcPr>
            <w:tcW w:w="2687" w:type="pct"/>
            <w:tcBorders>
              <w:top w:val="single" w:sz="8" w:space="0" w:color="FFFFFF"/>
              <w:left w:val="nil"/>
              <w:bottom w:val="nil"/>
              <w:right w:val="nil"/>
            </w:tcBorders>
            <w:shd w:val="clear" w:color="auto" w:fill="auto"/>
            <w:tcMar>
              <w:top w:w="15" w:type="dxa"/>
              <w:left w:w="15" w:type="dxa"/>
              <w:bottom w:w="0" w:type="dxa"/>
              <w:right w:w="15" w:type="dxa"/>
            </w:tcMar>
            <w:vAlign w:val="center"/>
            <w:hideMark/>
          </w:tcPr>
          <w:p w14:paraId="0702C8B8"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color w:val="000000"/>
                <w:sz w:val="20"/>
                <w:szCs w:val="20"/>
                <w:lang w:eastAsia="el-GR"/>
              </w:rPr>
              <w:t>Έσοδα Επενδύσεων και Λοιπά Έσοδα</w:t>
            </w:r>
          </w:p>
        </w:tc>
        <w:tc>
          <w:tcPr>
            <w:tcW w:w="747"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10DAF8F6"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8</w:t>
            </w: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935</w:t>
            </w:r>
          </w:p>
        </w:tc>
        <w:tc>
          <w:tcPr>
            <w:tcW w:w="821" w:type="pct"/>
            <w:tcBorders>
              <w:top w:val="single" w:sz="8" w:space="0" w:color="FFFFFF"/>
              <w:left w:val="nil"/>
              <w:bottom w:val="single" w:sz="8" w:space="0" w:color="FFFFFF"/>
              <w:right w:val="nil"/>
            </w:tcBorders>
            <w:shd w:val="clear" w:color="auto" w:fill="auto"/>
            <w:tcMar>
              <w:top w:w="15" w:type="dxa"/>
              <w:left w:w="15" w:type="dxa"/>
              <w:bottom w:w="0" w:type="dxa"/>
              <w:right w:w="15" w:type="dxa"/>
            </w:tcMar>
            <w:vAlign w:val="center"/>
            <w:hideMark/>
          </w:tcPr>
          <w:p w14:paraId="3B8DBF19"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2.80</w:t>
            </w:r>
            <w:r w:rsidRPr="00752680">
              <w:rPr>
                <w:rFonts w:asciiTheme="majorHAnsi" w:eastAsia="Times New Roman" w:hAnsiTheme="majorHAnsi" w:cstheme="majorHAnsi"/>
                <w:b/>
                <w:bCs/>
                <w:color w:val="262626"/>
                <w:sz w:val="20"/>
                <w:szCs w:val="20"/>
                <w:lang w:eastAsia="el-GR"/>
              </w:rPr>
              <w:t>8</w:t>
            </w:r>
          </w:p>
        </w:tc>
        <w:tc>
          <w:tcPr>
            <w:tcW w:w="745"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47E8F1BB"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+ 218</w:t>
            </w:r>
            <w:r w:rsidRPr="0068129F">
              <w:rPr>
                <w:rFonts w:asciiTheme="majorHAnsi" w:eastAsia="Times New Roman" w:hAnsiTheme="majorHAnsi" w:cstheme="majorHAnsi"/>
                <w:b/>
                <w:bCs/>
                <w:color w:val="000000" w:themeColor="text1"/>
                <w:sz w:val="20"/>
                <w:szCs w:val="20"/>
                <w:lang w:val="en-US" w:eastAsia="el-GR"/>
              </w:rPr>
              <w:t>,</w:t>
            </w:r>
            <w:r w:rsidRPr="0068129F">
              <w:rPr>
                <w:rFonts w:asciiTheme="majorHAnsi" w:eastAsia="Times New Roman" w:hAnsiTheme="majorHAnsi" w:cstheme="majorHAnsi"/>
                <w:b/>
                <w:bCs/>
                <w:color w:val="000000" w:themeColor="text1"/>
                <w:sz w:val="20"/>
                <w:szCs w:val="20"/>
                <w:lang w:eastAsia="el-GR"/>
              </w:rPr>
              <w:t>2%</w:t>
            </w:r>
          </w:p>
        </w:tc>
      </w:tr>
      <w:tr w:rsidR="003F0C4E" w:rsidRPr="00752680" w14:paraId="0CD94D4A" w14:textId="77777777" w:rsidTr="003F0C4E">
        <w:trPr>
          <w:trHeight w:val="678"/>
        </w:trPr>
        <w:tc>
          <w:tcPr>
            <w:tcW w:w="2687" w:type="pct"/>
            <w:tcBorders>
              <w:top w:val="nil"/>
              <w:left w:val="nil"/>
              <w:bottom w:val="nil"/>
              <w:right w:val="nil"/>
            </w:tcBorders>
            <w:shd w:val="clear" w:color="auto" w:fill="auto"/>
            <w:tcMar>
              <w:top w:w="15" w:type="dxa"/>
              <w:left w:w="15" w:type="dxa"/>
              <w:bottom w:w="0" w:type="dxa"/>
              <w:right w:w="15" w:type="dxa"/>
            </w:tcMar>
            <w:vAlign w:val="center"/>
            <w:hideMark/>
          </w:tcPr>
          <w:p w14:paraId="496B540A"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color w:val="000000"/>
                <w:sz w:val="20"/>
                <w:szCs w:val="20"/>
                <w:lang w:eastAsia="el-GR"/>
              </w:rPr>
              <w:t>Κόστος ασφαλιστικών εργασιών (Αποζημιώσεις ασφαλισμένων &amp; Μεταβολή από ασφαλιστικές προβλέψεις)</w:t>
            </w:r>
          </w:p>
        </w:tc>
        <w:tc>
          <w:tcPr>
            <w:tcW w:w="747"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3583EBA2"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101.534</w:t>
            </w:r>
            <w:r w:rsidRPr="00752680">
              <w:rPr>
                <w:rFonts w:asciiTheme="majorHAnsi" w:eastAsia="Times New Roman" w:hAnsiTheme="majorHAnsi" w:cstheme="majorHAnsi"/>
                <w:b/>
                <w:bCs/>
                <w:color w:val="262626"/>
                <w:sz w:val="20"/>
                <w:szCs w:val="20"/>
                <w:lang w:val="en-US" w:eastAsia="el-GR"/>
              </w:rPr>
              <w:t>)</w:t>
            </w:r>
          </w:p>
        </w:tc>
        <w:tc>
          <w:tcPr>
            <w:tcW w:w="821" w:type="pct"/>
            <w:tcBorders>
              <w:top w:val="single" w:sz="8" w:space="0" w:color="FFFFFF"/>
              <w:left w:val="nil"/>
              <w:bottom w:val="single" w:sz="8" w:space="0" w:color="FFFFFF"/>
              <w:right w:val="nil"/>
            </w:tcBorders>
            <w:shd w:val="clear" w:color="auto" w:fill="auto"/>
            <w:tcMar>
              <w:top w:w="15" w:type="dxa"/>
              <w:left w:w="15" w:type="dxa"/>
              <w:bottom w:w="0" w:type="dxa"/>
              <w:right w:w="15" w:type="dxa"/>
            </w:tcMar>
            <w:vAlign w:val="center"/>
            <w:hideMark/>
          </w:tcPr>
          <w:p w14:paraId="20F38430"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86.750</w:t>
            </w:r>
            <w:r w:rsidRPr="00752680">
              <w:rPr>
                <w:rFonts w:asciiTheme="majorHAnsi" w:eastAsia="Times New Roman" w:hAnsiTheme="majorHAnsi" w:cstheme="majorHAnsi"/>
                <w:b/>
                <w:bCs/>
                <w:color w:val="262626"/>
                <w:sz w:val="20"/>
                <w:szCs w:val="20"/>
                <w:lang w:val="en-US" w:eastAsia="el-GR"/>
              </w:rPr>
              <w:t>)</w:t>
            </w:r>
          </w:p>
        </w:tc>
        <w:tc>
          <w:tcPr>
            <w:tcW w:w="745"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3922F337"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+ 17,0%</w:t>
            </w:r>
          </w:p>
        </w:tc>
      </w:tr>
      <w:tr w:rsidR="003F0C4E" w:rsidRPr="00752680" w14:paraId="7B838D0D" w14:textId="77777777" w:rsidTr="003F0C4E">
        <w:trPr>
          <w:trHeight w:val="185"/>
        </w:trPr>
        <w:tc>
          <w:tcPr>
            <w:tcW w:w="2687" w:type="pct"/>
            <w:tcBorders>
              <w:top w:val="nil"/>
              <w:left w:val="nil"/>
              <w:bottom w:val="single" w:sz="8" w:space="0" w:color="FFFFFF"/>
              <w:right w:val="nil"/>
            </w:tcBorders>
            <w:shd w:val="clear" w:color="auto" w:fill="auto"/>
            <w:tcMar>
              <w:top w:w="15" w:type="dxa"/>
              <w:left w:w="15" w:type="dxa"/>
              <w:bottom w:w="0" w:type="dxa"/>
              <w:right w:w="15" w:type="dxa"/>
            </w:tcMar>
            <w:vAlign w:val="center"/>
            <w:hideMark/>
          </w:tcPr>
          <w:p w14:paraId="0776CE3A"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color w:val="000000"/>
                <w:sz w:val="20"/>
                <w:szCs w:val="20"/>
                <w:lang w:eastAsia="el-GR"/>
              </w:rPr>
              <w:t>Δεδουλευμένες προμήθειες &amp; Λοιπά Έξοδα Παραγωγής</w:t>
            </w:r>
          </w:p>
        </w:tc>
        <w:tc>
          <w:tcPr>
            <w:tcW w:w="747"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73D23F57"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28.980</w:t>
            </w:r>
            <w:r w:rsidRPr="00752680">
              <w:rPr>
                <w:rFonts w:asciiTheme="majorHAnsi" w:eastAsia="Times New Roman" w:hAnsiTheme="majorHAnsi" w:cstheme="majorHAnsi"/>
                <w:b/>
                <w:bCs/>
                <w:color w:val="262626"/>
                <w:sz w:val="20"/>
                <w:szCs w:val="20"/>
                <w:lang w:val="en-US" w:eastAsia="el-GR"/>
              </w:rPr>
              <w:t>)</w:t>
            </w:r>
          </w:p>
        </w:tc>
        <w:tc>
          <w:tcPr>
            <w:tcW w:w="821" w:type="pct"/>
            <w:tcBorders>
              <w:top w:val="single" w:sz="8" w:space="0" w:color="FFFFFF"/>
              <w:left w:val="nil"/>
              <w:bottom w:val="nil"/>
              <w:right w:val="nil"/>
            </w:tcBorders>
            <w:shd w:val="clear" w:color="auto" w:fill="auto"/>
            <w:tcMar>
              <w:top w:w="15" w:type="dxa"/>
              <w:left w:w="15" w:type="dxa"/>
              <w:bottom w:w="0" w:type="dxa"/>
              <w:right w:w="15" w:type="dxa"/>
            </w:tcMar>
            <w:vAlign w:val="center"/>
            <w:hideMark/>
          </w:tcPr>
          <w:p w14:paraId="63D4D641"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w:t>
            </w:r>
            <w:r w:rsidRPr="00752680">
              <w:rPr>
                <w:rFonts w:asciiTheme="majorHAnsi" w:eastAsia="Times New Roman" w:hAnsiTheme="majorHAnsi" w:cstheme="majorHAnsi"/>
                <w:b/>
                <w:bCs/>
                <w:color w:val="262626"/>
                <w:sz w:val="20"/>
                <w:szCs w:val="20"/>
                <w:lang w:eastAsia="el-GR"/>
              </w:rPr>
              <w:t>28.372</w:t>
            </w:r>
            <w:r w:rsidRPr="00752680">
              <w:rPr>
                <w:rFonts w:asciiTheme="majorHAnsi" w:eastAsia="Times New Roman" w:hAnsiTheme="majorHAnsi" w:cstheme="majorHAnsi"/>
                <w:b/>
                <w:bCs/>
                <w:color w:val="262626"/>
                <w:sz w:val="20"/>
                <w:szCs w:val="20"/>
                <w:lang w:val="en-US" w:eastAsia="el-GR"/>
              </w:rPr>
              <w:t>)</w:t>
            </w:r>
          </w:p>
        </w:tc>
        <w:tc>
          <w:tcPr>
            <w:tcW w:w="745" w:type="pct"/>
            <w:tcBorders>
              <w:top w:val="single" w:sz="8" w:space="0" w:color="FFFFFF"/>
              <w:left w:val="nil"/>
              <w:bottom w:val="single" w:sz="8" w:space="0" w:color="FFFFFF"/>
              <w:right w:val="nil"/>
            </w:tcBorders>
            <w:shd w:val="clear" w:color="auto" w:fill="F2F2F2"/>
            <w:tcMar>
              <w:top w:w="15" w:type="dxa"/>
              <w:left w:w="15" w:type="dxa"/>
              <w:bottom w:w="0" w:type="dxa"/>
              <w:right w:w="15" w:type="dxa"/>
            </w:tcMar>
            <w:vAlign w:val="center"/>
            <w:hideMark/>
          </w:tcPr>
          <w:p w14:paraId="772C59F2"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+ 2,1%</w:t>
            </w:r>
          </w:p>
        </w:tc>
      </w:tr>
      <w:tr w:rsidR="003F0C4E" w:rsidRPr="00752680" w14:paraId="14FF54F2" w14:textId="77777777" w:rsidTr="003F0C4E">
        <w:trPr>
          <w:trHeight w:val="135"/>
        </w:trPr>
        <w:tc>
          <w:tcPr>
            <w:tcW w:w="2687" w:type="pct"/>
            <w:tcBorders>
              <w:top w:val="single" w:sz="8" w:space="0" w:color="FFFFFF"/>
              <w:left w:val="nil"/>
              <w:bottom w:val="single" w:sz="12" w:space="0" w:color="4BAFE1"/>
              <w:right w:val="nil"/>
            </w:tcBorders>
            <w:shd w:val="clear" w:color="auto" w:fill="auto"/>
            <w:tcMar>
              <w:top w:w="15" w:type="dxa"/>
              <w:left w:w="15" w:type="dxa"/>
              <w:bottom w:w="0" w:type="dxa"/>
              <w:right w:w="15" w:type="dxa"/>
            </w:tcMar>
            <w:vAlign w:val="center"/>
            <w:hideMark/>
          </w:tcPr>
          <w:p w14:paraId="00C71A8C" w14:textId="01381484"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color w:val="000000"/>
                <w:sz w:val="20"/>
                <w:szCs w:val="20"/>
                <w:lang w:eastAsia="el-GR"/>
              </w:rPr>
              <w:t>Αμοιβές</w:t>
            </w:r>
            <w:r w:rsidR="008C6E64">
              <w:rPr>
                <w:rFonts w:asciiTheme="majorHAnsi" w:eastAsia="Times New Roman" w:hAnsiTheme="majorHAnsi" w:cstheme="majorHAnsi"/>
                <w:color w:val="000000"/>
                <w:sz w:val="20"/>
                <w:szCs w:val="20"/>
                <w:lang w:eastAsia="el-GR"/>
              </w:rPr>
              <w:t>,</w:t>
            </w:r>
            <w:r w:rsidRPr="00752680">
              <w:rPr>
                <w:rFonts w:asciiTheme="majorHAnsi" w:eastAsia="Times New Roman" w:hAnsiTheme="majorHAnsi" w:cstheme="majorHAnsi"/>
                <w:color w:val="000000"/>
                <w:sz w:val="20"/>
                <w:szCs w:val="20"/>
                <w:lang w:eastAsia="el-GR"/>
              </w:rPr>
              <w:t xml:space="preserve"> έξοδα προσωπικού &amp; Λοιπά Λειτουργικά Έξοδα</w:t>
            </w:r>
          </w:p>
        </w:tc>
        <w:tc>
          <w:tcPr>
            <w:tcW w:w="747" w:type="pct"/>
            <w:tcBorders>
              <w:top w:val="single" w:sz="8" w:space="0" w:color="FFFFFF"/>
              <w:left w:val="nil"/>
              <w:bottom w:val="single" w:sz="12" w:space="0" w:color="4BAFE1"/>
              <w:right w:val="nil"/>
            </w:tcBorders>
            <w:shd w:val="clear" w:color="auto" w:fill="F2F2F2"/>
            <w:tcMar>
              <w:top w:w="15" w:type="dxa"/>
              <w:left w:w="15" w:type="dxa"/>
              <w:bottom w:w="0" w:type="dxa"/>
              <w:right w:w="15" w:type="dxa"/>
            </w:tcMar>
            <w:vAlign w:val="center"/>
            <w:hideMark/>
          </w:tcPr>
          <w:p w14:paraId="715212D8"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(20.</w:t>
            </w:r>
            <w:r w:rsidRPr="00752680">
              <w:rPr>
                <w:rFonts w:asciiTheme="majorHAnsi" w:eastAsia="Times New Roman" w:hAnsiTheme="majorHAnsi" w:cstheme="majorHAnsi"/>
                <w:b/>
                <w:bCs/>
                <w:color w:val="262626"/>
                <w:sz w:val="20"/>
                <w:szCs w:val="20"/>
                <w:lang w:eastAsia="el-GR"/>
              </w:rPr>
              <w:t>606</w:t>
            </w:r>
            <w:r w:rsidRPr="00752680">
              <w:rPr>
                <w:rFonts w:asciiTheme="majorHAnsi" w:eastAsia="Times New Roman" w:hAnsiTheme="majorHAnsi" w:cstheme="majorHAnsi"/>
                <w:b/>
                <w:bCs/>
                <w:color w:val="262626"/>
                <w:sz w:val="20"/>
                <w:szCs w:val="20"/>
                <w:lang w:val="en-US" w:eastAsia="el-GR"/>
              </w:rPr>
              <w:t>)</w:t>
            </w:r>
          </w:p>
        </w:tc>
        <w:tc>
          <w:tcPr>
            <w:tcW w:w="821" w:type="pct"/>
            <w:tcBorders>
              <w:top w:val="nil"/>
              <w:left w:val="nil"/>
              <w:bottom w:val="single" w:sz="12" w:space="0" w:color="4BAFE1"/>
              <w:right w:val="nil"/>
            </w:tcBorders>
            <w:shd w:val="clear" w:color="auto" w:fill="auto"/>
            <w:tcMar>
              <w:top w:w="15" w:type="dxa"/>
              <w:left w:w="15" w:type="dxa"/>
              <w:bottom w:w="0" w:type="dxa"/>
              <w:right w:w="15" w:type="dxa"/>
            </w:tcMar>
            <w:vAlign w:val="center"/>
            <w:hideMark/>
          </w:tcPr>
          <w:p w14:paraId="74A9EC31"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val="en-US" w:eastAsia="el-GR"/>
              </w:rPr>
              <w:t>(20.45</w:t>
            </w:r>
            <w:r w:rsidRPr="00752680">
              <w:rPr>
                <w:rFonts w:asciiTheme="majorHAnsi" w:eastAsia="Times New Roman" w:hAnsiTheme="majorHAnsi" w:cstheme="majorHAnsi"/>
                <w:b/>
                <w:bCs/>
                <w:color w:val="262626"/>
                <w:sz w:val="20"/>
                <w:szCs w:val="20"/>
                <w:lang w:eastAsia="el-GR"/>
              </w:rPr>
              <w:t>9</w:t>
            </w:r>
            <w:r w:rsidRPr="00752680">
              <w:rPr>
                <w:rFonts w:asciiTheme="majorHAnsi" w:eastAsia="Times New Roman" w:hAnsiTheme="majorHAnsi" w:cstheme="majorHAnsi"/>
                <w:b/>
                <w:bCs/>
                <w:color w:val="262626"/>
                <w:sz w:val="20"/>
                <w:szCs w:val="20"/>
                <w:lang w:val="en-US" w:eastAsia="el-GR"/>
              </w:rPr>
              <w:t>)</w:t>
            </w:r>
          </w:p>
        </w:tc>
        <w:tc>
          <w:tcPr>
            <w:tcW w:w="745" w:type="pct"/>
            <w:tcBorders>
              <w:top w:val="single" w:sz="8" w:space="0" w:color="FFFFFF"/>
              <w:left w:val="nil"/>
              <w:bottom w:val="single" w:sz="12" w:space="0" w:color="4BAFE1"/>
              <w:right w:val="nil"/>
            </w:tcBorders>
            <w:shd w:val="clear" w:color="auto" w:fill="F2F2F2"/>
            <w:tcMar>
              <w:top w:w="15" w:type="dxa"/>
              <w:left w:w="15" w:type="dxa"/>
              <w:bottom w:w="0" w:type="dxa"/>
              <w:right w:w="15" w:type="dxa"/>
            </w:tcMar>
            <w:vAlign w:val="center"/>
            <w:hideMark/>
          </w:tcPr>
          <w:p w14:paraId="35D7059E"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+ 0</w:t>
            </w:r>
            <w:r w:rsidRPr="0068129F">
              <w:rPr>
                <w:rFonts w:asciiTheme="majorHAnsi" w:eastAsia="Times New Roman" w:hAnsiTheme="majorHAnsi" w:cstheme="majorHAnsi"/>
                <w:b/>
                <w:bCs/>
                <w:color w:val="000000" w:themeColor="text1"/>
                <w:sz w:val="20"/>
                <w:szCs w:val="20"/>
                <w:lang w:val="en-US" w:eastAsia="el-GR"/>
              </w:rPr>
              <w:t>,</w:t>
            </w:r>
            <w:r w:rsidRPr="0068129F">
              <w:rPr>
                <w:rFonts w:asciiTheme="majorHAnsi" w:eastAsia="Times New Roman" w:hAnsiTheme="majorHAnsi" w:cstheme="majorHAnsi"/>
                <w:b/>
                <w:bCs/>
                <w:color w:val="000000" w:themeColor="text1"/>
                <w:sz w:val="20"/>
                <w:szCs w:val="20"/>
                <w:lang w:eastAsia="el-GR"/>
              </w:rPr>
              <w:t>7%</w:t>
            </w:r>
          </w:p>
        </w:tc>
      </w:tr>
      <w:tr w:rsidR="003F0C4E" w:rsidRPr="00752680" w14:paraId="576FF198" w14:textId="77777777" w:rsidTr="003F0C4E">
        <w:trPr>
          <w:trHeight w:val="245"/>
        </w:trPr>
        <w:tc>
          <w:tcPr>
            <w:tcW w:w="2687" w:type="pct"/>
            <w:tcBorders>
              <w:top w:val="single" w:sz="12" w:space="0" w:color="4BAFE1"/>
              <w:left w:val="nil"/>
              <w:bottom w:val="single" w:sz="12" w:space="0" w:color="4BAFE1"/>
              <w:right w:val="nil"/>
            </w:tcBorders>
            <w:shd w:val="clear" w:color="auto" w:fill="auto"/>
            <w:tcMar>
              <w:top w:w="15" w:type="dxa"/>
              <w:left w:w="144" w:type="dxa"/>
              <w:bottom w:w="0" w:type="dxa"/>
              <w:right w:w="15" w:type="dxa"/>
            </w:tcMar>
            <w:vAlign w:val="center"/>
            <w:hideMark/>
          </w:tcPr>
          <w:p w14:paraId="226A7386"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C2C71"/>
                <w:sz w:val="20"/>
                <w:szCs w:val="20"/>
                <w:lang w:eastAsia="el-GR"/>
              </w:rPr>
              <w:t>Κέρδη προ Φόρων</w:t>
            </w:r>
          </w:p>
        </w:tc>
        <w:tc>
          <w:tcPr>
            <w:tcW w:w="747" w:type="pct"/>
            <w:tcBorders>
              <w:top w:val="single" w:sz="12" w:space="0" w:color="4BAFE1"/>
              <w:left w:val="nil"/>
              <w:bottom w:val="single" w:sz="12" w:space="0" w:color="4BAFE1"/>
              <w:right w:val="nil"/>
            </w:tcBorders>
            <w:shd w:val="clear" w:color="auto" w:fill="F2F2F2"/>
            <w:tcMar>
              <w:top w:w="15" w:type="dxa"/>
              <w:left w:w="15" w:type="dxa"/>
              <w:bottom w:w="0" w:type="dxa"/>
              <w:right w:w="15" w:type="dxa"/>
            </w:tcMar>
            <w:vAlign w:val="center"/>
            <w:hideMark/>
          </w:tcPr>
          <w:p w14:paraId="68DEAA94"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14.018</w:t>
            </w:r>
          </w:p>
        </w:tc>
        <w:tc>
          <w:tcPr>
            <w:tcW w:w="821" w:type="pct"/>
            <w:tcBorders>
              <w:top w:val="single" w:sz="12" w:space="0" w:color="4BAFE1"/>
              <w:left w:val="nil"/>
              <w:bottom w:val="single" w:sz="12" w:space="0" w:color="4BAFE1"/>
              <w:right w:val="nil"/>
            </w:tcBorders>
            <w:shd w:val="clear" w:color="auto" w:fill="auto"/>
            <w:tcMar>
              <w:top w:w="15" w:type="dxa"/>
              <w:left w:w="15" w:type="dxa"/>
              <w:bottom w:w="0" w:type="dxa"/>
              <w:right w:w="15" w:type="dxa"/>
            </w:tcMar>
            <w:vAlign w:val="center"/>
            <w:hideMark/>
          </w:tcPr>
          <w:p w14:paraId="4142D3DF"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18.832</w:t>
            </w:r>
          </w:p>
        </w:tc>
        <w:tc>
          <w:tcPr>
            <w:tcW w:w="745" w:type="pct"/>
            <w:tcBorders>
              <w:top w:val="single" w:sz="12" w:space="0" w:color="4BAFE1"/>
              <w:left w:val="nil"/>
              <w:bottom w:val="single" w:sz="12" w:space="0" w:color="4BAFE1"/>
              <w:right w:val="nil"/>
            </w:tcBorders>
            <w:shd w:val="clear" w:color="auto" w:fill="F2F2F2"/>
            <w:tcMar>
              <w:top w:w="15" w:type="dxa"/>
              <w:left w:w="15" w:type="dxa"/>
              <w:bottom w:w="0" w:type="dxa"/>
              <w:right w:w="15" w:type="dxa"/>
            </w:tcMar>
            <w:vAlign w:val="center"/>
            <w:hideMark/>
          </w:tcPr>
          <w:p w14:paraId="3BC6DF43"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-25,6%</w:t>
            </w:r>
          </w:p>
        </w:tc>
      </w:tr>
      <w:tr w:rsidR="003F0C4E" w:rsidRPr="00752680" w14:paraId="1C8516BD" w14:textId="77777777" w:rsidTr="003F0C4E">
        <w:trPr>
          <w:trHeight w:val="486"/>
        </w:trPr>
        <w:tc>
          <w:tcPr>
            <w:tcW w:w="2687" w:type="pct"/>
            <w:tcBorders>
              <w:top w:val="single" w:sz="12" w:space="0" w:color="4BAFE1"/>
              <w:left w:val="nil"/>
              <w:bottom w:val="nil"/>
              <w:right w:val="nil"/>
            </w:tcBorders>
            <w:shd w:val="clear" w:color="auto" w:fill="auto"/>
            <w:tcMar>
              <w:top w:w="15" w:type="dxa"/>
              <w:left w:w="144" w:type="dxa"/>
              <w:bottom w:w="0" w:type="dxa"/>
              <w:right w:w="15" w:type="dxa"/>
            </w:tcMar>
            <w:vAlign w:val="center"/>
            <w:hideMark/>
          </w:tcPr>
          <w:p w14:paraId="7C942F67" w14:textId="77777777" w:rsidR="00752680" w:rsidRPr="00752680" w:rsidRDefault="00752680" w:rsidP="00752680">
            <w:pPr>
              <w:spacing w:before="20" w:after="40" w:line="360" w:lineRule="auto"/>
              <w:ind w:left="230"/>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C2C71"/>
                <w:sz w:val="20"/>
                <w:szCs w:val="20"/>
                <w:lang w:eastAsia="el-GR"/>
              </w:rPr>
              <w:t>Κέρδη μετά Φόρων</w:t>
            </w:r>
          </w:p>
        </w:tc>
        <w:tc>
          <w:tcPr>
            <w:tcW w:w="747" w:type="pct"/>
            <w:tcBorders>
              <w:top w:val="single" w:sz="12" w:space="0" w:color="4BAFE1"/>
              <w:left w:val="nil"/>
              <w:bottom w:val="nil"/>
              <w:right w:val="nil"/>
            </w:tcBorders>
            <w:shd w:val="clear" w:color="auto" w:fill="F2F2F2"/>
            <w:tcMar>
              <w:top w:w="15" w:type="dxa"/>
              <w:left w:w="15" w:type="dxa"/>
              <w:bottom w:w="0" w:type="dxa"/>
              <w:right w:w="15" w:type="dxa"/>
            </w:tcMar>
            <w:vAlign w:val="center"/>
            <w:hideMark/>
          </w:tcPr>
          <w:p w14:paraId="5BEB84CB"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10.924</w:t>
            </w:r>
          </w:p>
        </w:tc>
        <w:tc>
          <w:tcPr>
            <w:tcW w:w="821" w:type="pct"/>
            <w:tcBorders>
              <w:top w:val="single" w:sz="12" w:space="0" w:color="4BAFE1"/>
              <w:left w:val="nil"/>
              <w:bottom w:val="nil"/>
              <w:right w:val="nil"/>
            </w:tcBorders>
            <w:shd w:val="clear" w:color="auto" w:fill="auto"/>
            <w:tcMar>
              <w:top w:w="15" w:type="dxa"/>
              <w:left w:w="15" w:type="dxa"/>
              <w:bottom w:w="0" w:type="dxa"/>
              <w:right w:w="15" w:type="dxa"/>
            </w:tcMar>
            <w:vAlign w:val="center"/>
            <w:hideMark/>
          </w:tcPr>
          <w:p w14:paraId="75523BAE" w14:textId="77777777" w:rsidR="00752680" w:rsidRPr="00752680" w:rsidRDefault="00752680" w:rsidP="003F0C4E">
            <w:pPr>
              <w:spacing w:before="20" w:after="40" w:line="360" w:lineRule="auto"/>
              <w:jc w:val="center"/>
              <w:textAlignment w:val="center"/>
              <w:rPr>
                <w:rFonts w:asciiTheme="majorHAnsi" w:eastAsia="Times New Roman" w:hAnsiTheme="majorHAnsi" w:cstheme="majorHAnsi"/>
                <w:sz w:val="20"/>
                <w:szCs w:val="20"/>
                <w:lang w:eastAsia="el-GR"/>
              </w:rPr>
            </w:pPr>
            <w:r w:rsidRPr="00752680">
              <w:rPr>
                <w:rFonts w:asciiTheme="majorHAnsi" w:eastAsia="Times New Roman" w:hAnsiTheme="majorHAnsi" w:cstheme="majorHAnsi"/>
                <w:b/>
                <w:bCs/>
                <w:color w:val="262626"/>
                <w:sz w:val="20"/>
                <w:szCs w:val="20"/>
                <w:lang w:eastAsia="el-GR"/>
              </w:rPr>
              <w:t>13.771</w:t>
            </w:r>
          </w:p>
        </w:tc>
        <w:tc>
          <w:tcPr>
            <w:tcW w:w="745" w:type="pct"/>
            <w:tcBorders>
              <w:top w:val="single" w:sz="12" w:space="0" w:color="4BAFE1"/>
              <w:left w:val="nil"/>
              <w:bottom w:val="nil"/>
              <w:right w:val="nil"/>
            </w:tcBorders>
            <w:shd w:val="clear" w:color="auto" w:fill="F2F2F2"/>
            <w:tcMar>
              <w:top w:w="15" w:type="dxa"/>
              <w:left w:w="15" w:type="dxa"/>
              <w:bottom w:w="0" w:type="dxa"/>
              <w:right w:w="15" w:type="dxa"/>
            </w:tcMar>
            <w:vAlign w:val="center"/>
            <w:hideMark/>
          </w:tcPr>
          <w:p w14:paraId="6EC87D8A" w14:textId="77777777" w:rsidR="00752680" w:rsidRPr="0068129F" w:rsidRDefault="00752680" w:rsidP="003F0C4E">
            <w:pPr>
              <w:spacing w:before="20" w:after="40" w:line="36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b/>
                <w:bCs/>
                <w:color w:val="000000" w:themeColor="text1"/>
                <w:sz w:val="20"/>
                <w:szCs w:val="20"/>
                <w:lang w:eastAsia="el-GR"/>
              </w:rPr>
              <w:t>- 20,7%</w:t>
            </w:r>
          </w:p>
        </w:tc>
      </w:tr>
    </w:tbl>
    <w:p w14:paraId="6065EA03" w14:textId="77777777" w:rsidR="009A72E6" w:rsidRPr="009A72E6" w:rsidRDefault="009A72E6" w:rsidP="009A72E6">
      <w:pPr>
        <w:spacing w:before="120" w:after="0"/>
        <w:jc w:val="both"/>
        <w:rPr>
          <w:rFonts w:asciiTheme="majorHAnsi" w:eastAsiaTheme="majorEastAsia" w:hAnsiTheme="majorHAnsi" w:cstheme="majorBidi"/>
          <w:sz w:val="18"/>
          <w:szCs w:val="18"/>
        </w:rPr>
      </w:pPr>
    </w:p>
    <w:p w14:paraId="53CE0F17" w14:textId="27FAED14" w:rsidR="00F87003" w:rsidRPr="00756DF8" w:rsidRDefault="00E14FC9" w:rsidP="00D05996">
      <w:pPr>
        <w:spacing w:before="120"/>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Αναφορικά με τα βασικά μεγέθη του Ισολογισμού, σημειώνονται τα κάτωθι:</w:t>
      </w:r>
    </w:p>
    <w:p w14:paraId="598CDC37" w14:textId="70905C29" w:rsidR="00E14FC9" w:rsidRPr="00756DF8" w:rsidRDefault="00E14FC9" w:rsidP="00D05996">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Το </w:t>
      </w:r>
      <w:r w:rsidRPr="00756DF8">
        <w:rPr>
          <w:rFonts w:asciiTheme="majorHAnsi" w:eastAsiaTheme="majorEastAsia" w:hAnsiTheme="majorHAnsi" w:cstheme="majorBidi"/>
          <w:b/>
          <w:bCs/>
          <w:sz w:val="24"/>
          <w:szCs w:val="24"/>
        </w:rPr>
        <w:t>Συνολικό Ενεργητικό</w:t>
      </w:r>
      <w:r w:rsidRPr="00756DF8">
        <w:rPr>
          <w:rFonts w:asciiTheme="majorHAnsi" w:eastAsiaTheme="majorEastAsia" w:hAnsiTheme="majorHAnsi" w:cstheme="majorBidi"/>
          <w:sz w:val="24"/>
          <w:szCs w:val="24"/>
        </w:rPr>
        <w:t xml:space="preserve"> της Εταιρίας παρουσίασε αύξηση ύψους 1,3% και διαμορφώθηκε στα 516,6 εκ. ευρώ</w:t>
      </w:r>
      <w:r w:rsidR="004D500D">
        <w:rPr>
          <w:rFonts w:asciiTheme="majorHAnsi" w:eastAsiaTheme="majorEastAsia" w:hAnsiTheme="majorHAnsi" w:cstheme="majorBidi"/>
          <w:sz w:val="24"/>
          <w:szCs w:val="24"/>
        </w:rPr>
        <w:t>,</w:t>
      </w:r>
      <w:r w:rsidRPr="00756DF8">
        <w:rPr>
          <w:rFonts w:asciiTheme="majorHAnsi" w:eastAsiaTheme="majorEastAsia" w:hAnsiTheme="majorHAnsi" w:cstheme="majorBidi"/>
          <w:sz w:val="24"/>
          <w:szCs w:val="24"/>
        </w:rPr>
        <w:t xml:space="preserve"> έναντι 509,7 εκ. ευρώ την 31/12/2020.</w:t>
      </w:r>
    </w:p>
    <w:p w14:paraId="6A80F59B" w14:textId="634FCBE6" w:rsidR="00493452" w:rsidRPr="00756DF8" w:rsidRDefault="00493452" w:rsidP="00D05996">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Το </w:t>
      </w:r>
      <w:r w:rsidRPr="00756DF8">
        <w:rPr>
          <w:rFonts w:asciiTheme="majorHAnsi" w:eastAsiaTheme="majorEastAsia" w:hAnsiTheme="majorHAnsi" w:cstheme="majorBidi"/>
          <w:b/>
          <w:bCs/>
          <w:sz w:val="24"/>
          <w:szCs w:val="24"/>
        </w:rPr>
        <w:t>Επενδυτικό Χαρτοφυλάκιο</w:t>
      </w:r>
      <w:r w:rsidRPr="00756DF8">
        <w:rPr>
          <w:rFonts w:asciiTheme="majorHAnsi" w:eastAsiaTheme="majorEastAsia" w:hAnsiTheme="majorHAnsi" w:cstheme="majorBidi"/>
          <w:sz w:val="24"/>
          <w:szCs w:val="24"/>
        </w:rPr>
        <w:t xml:space="preserve"> της Εταιρίας συνέχισε να είναι τοποθετημένο σε τίτλους υψηλής πιστοληπτικής διαβάθμισης και ανήλθε σε 426,7 εκ. ευρώ, έναντι 412,5 εκ. ευρώ την 31/12/2020, παρουσιάζοντας αύξηση 3,4%.</w:t>
      </w:r>
    </w:p>
    <w:p w14:paraId="705B1FDC" w14:textId="77777777" w:rsidR="00493452" w:rsidRPr="00756DF8" w:rsidRDefault="00493452" w:rsidP="00D05996">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 Τα </w:t>
      </w:r>
      <w:r w:rsidRPr="00756DF8">
        <w:rPr>
          <w:rFonts w:asciiTheme="majorHAnsi" w:eastAsiaTheme="majorEastAsia" w:hAnsiTheme="majorHAnsi" w:cstheme="majorBidi"/>
          <w:b/>
          <w:bCs/>
          <w:sz w:val="24"/>
          <w:szCs w:val="24"/>
        </w:rPr>
        <w:t>Μαθηματικά Αποθέματα &amp; Τεχνικές Προβλέψεις</w:t>
      </w:r>
      <w:r w:rsidRPr="00756DF8">
        <w:rPr>
          <w:rFonts w:asciiTheme="majorHAnsi" w:eastAsiaTheme="majorEastAsia" w:hAnsiTheme="majorHAnsi" w:cstheme="majorBidi"/>
          <w:sz w:val="24"/>
          <w:szCs w:val="24"/>
        </w:rPr>
        <w:t xml:space="preserve"> ανήλθαν στα 335,6 εκ. ευρώ, έναντι 312,9 εκ. ευρώ την 31/12/2020, παρουσιάζοντας αύξηση 7,3%.</w:t>
      </w:r>
    </w:p>
    <w:p w14:paraId="72E231FB" w14:textId="77777777" w:rsidR="00493452" w:rsidRPr="00756DF8" w:rsidRDefault="00493452" w:rsidP="00D05996">
      <w:pPr>
        <w:pStyle w:val="a6"/>
        <w:numPr>
          <w:ilvl w:val="0"/>
          <w:numId w:val="2"/>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w:t>
      </w:r>
      <w:r w:rsidRPr="00756DF8">
        <w:rPr>
          <w:rFonts w:asciiTheme="majorHAnsi" w:eastAsiaTheme="majorEastAsia" w:hAnsiTheme="majorHAnsi" w:cstheme="majorBidi"/>
          <w:b/>
          <w:bCs/>
          <w:sz w:val="24"/>
          <w:szCs w:val="24"/>
        </w:rPr>
        <w:t>Ίδια Κεφάλαια</w:t>
      </w:r>
      <w:r w:rsidRPr="00756DF8">
        <w:rPr>
          <w:rFonts w:asciiTheme="majorHAnsi" w:eastAsiaTheme="majorEastAsia" w:hAnsiTheme="majorHAnsi" w:cstheme="majorBidi"/>
          <w:sz w:val="24"/>
          <w:szCs w:val="24"/>
        </w:rPr>
        <w:t xml:space="preserve"> διαμορφώθηκαν στα 153,2 εκ. ευρώ, λαμβάνοντας υπόψιν τα Αποτελέσματα Περιόδου ύψους 10,9 εκ. ευρώ, καθώς και το διανεμηθέν μέρισμα του έτους 2020 ύψους 7,9 εκ. ευρώ, έναντι 154,0 εκ. ευρώ την 31/12/2020, σημειώνοντας οριακή πτώση ύψους 0,5%.</w:t>
      </w:r>
    </w:p>
    <w:p w14:paraId="0D33CA9C" w14:textId="563E7275" w:rsidR="00896C06" w:rsidRPr="00756DF8" w:rsidRDefault="00896C06"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ανωτέρω μεγέθη </w:t>
      </w:r>
      <w:r w:rsidR="008C6E64">
        <w:rPr>
          <w:rFonts w:asciiTheme="majorHAnsi" w:eastAsiaTheme="majorEastAsia" w:hAnsiTheme="majorHAnsi" w:cstheme="majorBidi"/>
          <w:sz w:val="24"/>
          <w:szCs w:val="24"/>
        </w:rPr>
        <w:t>διαμόρφωσαν το Δείκτη</w:t>
      </w:r>
      <w:r w:rsidRPr="00756DF8">
        <w:rPr>
          <w:rFonts w:asciiTheme="majorHAnsi" w:eastAsiaTheme="majorEastAsia" w:hAnsiTheme="majorHAnsi" w:cstheme="majorBidi"/>
          <w:sz w:val="24"/>
          <w:szCs w:val="24"/>
        </w:rPr>
        <w:t xml:space="preserve"> Απόδοση</w:t>
      </w:r>
      <w:r w:rsidR="008C6E64">
        <w:rPr>
          <w:rFonts w:asciiTheme="majorHAnsi" w:eastAsiaTheme="majorEastAsia" w:hAnsiTheme="majorHAnsi" w:cstheme="majorBidi"/>
          <w:sz w:val="24"/>
          <w:szCs w:val="24"/>
        </w:rPr>
        <w:t>ς</w:t>
      </w:r>
      <w:r w:rsidRPr="00756DF8">
        <w:rPr>
          <w:rFonts w:asciiTheme="majorHAnsi" w:eastAsiaTheme="majorEastAsia" w:hAnsiTheme="majorHAnsi" w:cstheme="majorBidi"/>
          <w:sz w:val="24"/>
          <w:szCs w:val="24"/>
        </w:rPr>
        <w:t xml:space="preserve"> Ιδίων Κεφαλαίων προ φόρων (ROE) </w:t>
      </w:r>
      <w:r w:rsidR="008C6E64">
        <w:rPr>
          <w:rFonts w:asciiTheme="majorHAnsi" w:eastAsiaTheme="majorEastAsia" w:hAnsiTheme="majorHAnsi" w:cstheme="majorBidi"/>
          <w:sz w:val="24"/>
          <w:szCs w:val="24"/>
        </w:rPr>
        <w:t>στο</w:t>
      </w:r>
      <w:r w:rsidRPr="00756DF8">
        <w:rPr>
          <w:rFonts w:asciiTheme="majorHAnsi" w:eastAsiaTheme="majorEastAsia" w:hAnsiTheme="majorHAnsi" w:cstheme="majorBidi"/>
          <w:sz w:val="24"/>
          <w:szCs w:val="24"/>
        </w:rPr>
        <w:t xml:space="preserve"> 13,5%.</w:t>
      </w:r>
    </w:p>
    <w:p w14:paraId="56A3F1D2" w14:textId="33C0F996" w:rsidR="00E14FC9" w:rsidRPr="00756DF8" w:rsidRDefault="00E14FC9">
      <w:pPr>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br w:type="page"/>
      </w:r>
    </w:p>
    <w:tbl>
      <w:tblPr>
        <w:tblW w:w="5538" w:type="pct"/>
        <w:tblInd w:w="-426" w:type="dxa"/>
        <w:tblLayout w:type="fixed"/>
        <w:tblCellMar>
          <w:left w:w="0" w:type="dxa"/>
          <w:right w:w="0" w:type="dxa"/>
        </w:tblCellMar>
        <w:tblLook w:val="0600" w:firstRow="0" w:lastRow="0" w:firstColumn="0" w:lastColumn="0" w:noHBand="1" w:noVBand="1"/>
      </w:tblPr>
      <w:tblGrid>
        <w:gridCol w:w="5105"/>
        <w:gridCol w:w="1416"/>
        <w:gridCol w:w="1559"/>
        <w:gridCol w:w="1702"/>
      </w:tblGrid>
      <w:tr w:rsidR="0039276D" w:rsidRPr="009568A3" w14:paraId="2A50AB03" w14:textId="77777777" w:rsidTr="00E14FC9">
        <w:trPr>
          <w:trHeight w:val="373"/>
        </w:trPr>
        <w:tc>
          <w:tcPr>
            <w:tcW w:w="2609" w:type="pct"/>
            <w:tcBorders>
              <w:top w:val="nil"/>
              <w:left w:val="nil"/>
              <w:bottom w:val="single" w:sz="12" w:space="0" w:color="4BAFE1"/>
              <w:right w:val="single" w:sz="4" w:space="0" w:color="FFFFFF" w:themeColor="background1"/>
            </w:tcBorders>
            <w:shd w:val="clear" w:color="auto" w:fill="2191C9"/>
            <w:tcMar>
              <w:top w:w="10" w:type="dxa"/>
              <w:left w:w="283" w:type="dxa"/>
              <w:bottom w:w="0" w:type="dxa"/>
              <w:right w:w="10" w:type="dxa"/>
            </w:tcMar>
            <w:vAlign w:val="center"/>
            <w:hideMark/>
          </w:tcPr>
          <w:p w14:paraId="184B79F2" w14:textId="301FF3AF" w:rsidR="009568A3" w:rsidRPr="009568A3" w:rsidRDefault="009568A3" w:rsidP="0039276D">
            <w:pPr>
              <w:spacing w:before="40" w:after="40" w:line="276" w:lineRule="auto"/>
              <w:textAlignment w:val="center"/>
              <w:rPr>
                <w:rFonts w:ascii="72 Black" w:eastAsia="Times New Roman" w:hAnsi="72 Black" w:cs="72 Black"/>
                <w:b/>
                <w:bCs/>
                <w:color w:val="FFFFFF"/>
                <w:sz w:val="19"/>
                <w:szCs w:val="19"/>
                <w:lang w:eastAsia="el-GR"/>
              </w:rPr>
            </w:pPr>
            <w:r w:rsidRPr="009568A3">
              <w:rPr>
                <w:rFonts w:ascii="72 Black" w:eastAsia="Times New Roman" w:hAnsi="72 Black" w:cs="72 Black"/>
                <w:b/>
                <w:bCs/>
                <w:color w:val="FFFFFF"/>
                <w:sz w:val="19"/>
                <w:szCs w:val="19"/>
                <w:lang w:eastAsia="el-GR"/>
              </w:rPr>
              <w:lastRenderedPageBreak/>
              <w:t xml:space="preserve">(Ποσά σε € χιλ.) </w:t>
            </w:r>
          </w:p>
        </w:tc>
        <w:tc>
          <w:tcPr>
            <w:tcW w:w="724" w:type="pct"/>
            <w:tcBorders>
              <w:top w:val="nil"/>
              <w:left w:val="single" w:sz="4" w:space="0" w:color="FFFFFF" w:themeColor="background1"/>
              <w:bottom w:val="single" w:sz="12" w:space="0" w:color="4BAFE1"/>
              <w:right w:val="single" w:sz="4" w:space="0" w:color="FFFFFF" w:themeColor="background1"/>
            </w:tcBorders>
            <w:shd w:val="clear" w:color="auto" w:fill="2191C9"/>
            <w:tcMar>
              <w:top w:w="15" w:type="dxa"/>
              <w:left w:w="15" w:type="dxa"/>
              <w:bottom w:w="0" w:type="dxa"/>
              <w:right w:w="15" w:type="dxa"/>
            </w:tcMar>
            <w:vAlign w:val="bottom"/>
            <w:hideMark/>
          </w:tcPr>
          <w:p w14:paraId="2291F8C1" w14:textId="77777777" w:rsidR="009568A3" w:rsidRPr="009568A3" w:rsidRDefault="009568A3" w:rsidP="00141EE4">
            <w:pPr>
              <w:spacing w:before="40" w:after="40" w:line="276" w:lineRule="auto"/>
              <w:ind w:left="274"/>
              <w:jc w:val="center"/>
              <w:textAlignment w:val="center"/>
              <w:rPr>
                <w:rFonts w:ascii="72 Black" w:eastAsia="Times New Roman" w:hAnsi="72 Black" w:cs="72 Black"/>
                <w:b/>
                <w:bCs/>
                <w:color w:val="FFFFFF"/>
                <w:sz w:val="19"/>
                <w:szCs w:val="19"/>
                <w:lang w:eastAsia="el-GR"/>
              </w:rPr>
            </w:pPr>
            <w:r w:rsidRPr="009568A3">
              <w:rPr>
                <w:rFonts w:ascii="72 Black" w:eastAsia="Times New Roman" w:hAnsi="72 Black" w:cs="72 Black"/>
                <w:b/>
                <w:bCs/>
                <w:color w:val="FFFFFF"/>
                <w:sz w:val="19"/>
                <w:szCs w:val="19"/>
                <w:lang w:eastAsia="el-GR"/>
              </w:rPr>
              <w:t>9Μ 2021</w:t>
            </w:r>
          </w:p>
        </w:tc>
        <w:tc>
          <w:tcPr>
            <w:tcW w:w="797" w:type="pct"/>
            <w:tcBorders>
              <w:top w:val="nil"/>
              <w:left w:val="single" w:sz="4" w:space="0" w:color="FFFFFF" w:themeColor="background1"/>
              <w:bottom w:val="single" w:sz="12" w:space="0" w:color="4BAFE1"/>
              <w:right w:val="single" w:sz="4" w:space="0" w:color="FFFFFF" w:themeColor="background1"/>
            </w:tcBorders>
            <w:shd w:val="clear" w:color="auto" w:fill="2191C9"/>
            <w:tcMar>
              <w:top w:w="15" w:type="dxa"/>
              <w:left w:w="15" w:type="dxa"/>
              <w:bottom w:w="0" w:type="dxa"/>
              <w:right w:w="15" w:type="dxa"/>
            </w:tcMar>
            <w:vAlign w:val="bottom"/>
            <w:hideMark/>
          </w:tcPr>
          <w:p w14:paraId="5500D4A9" w14:textId="77777777" w:rsidR="009568A3" w:rsidRPr="009568A3" w:rsidRDefault="009568A3" w:rsidP="00141EE4">
            <w:pPr>
              <w:spacing w:before="40" w:after="40" w:line="276" w:lineRule="auto"/>
              <w:ind w:left="274"/>
              <w:jc w:val="center"/>
              <w:textAlignment w:val="center"/>
              <w:rPr>
                <w:rFonts w:ascii="72 Black" w:eastAsia="Times New Roman" w:hAnsi="72 Black" w:cs="72 Black"/>
                <w:b/>
                <w:bCs/>
                <w:color w:val="FFFFFF"/>
                <w:sz w:val="19"/>
                <w:szCs w:val="19"/>
                <w:lang w:eastAsia="el-GR"/>
              </w:rPr>
            </w:pPr>
            <w:r w:rsidRPr="009568A3">
              <w:rPr>
                <w:rFonts w:ascii="72 Black" w:eastAsia="Times New Roman" w:hAnsi="72 Black" w:cs="72 Black"/>
                <w:b/>
                <w:bCs/>
                <w:color w:val="FFFFFF"/>
                <w:sz w:val="19"/>
                <w:szCs w:val="19"/>
                <w:lang w:eastAsia="el-GR"/>
              </w:rPr>
              <w:t>31/12/2020</w:t>
            </w:r>
          </w:p>
        </w:tc>
        <w:tc>
          <w:tcPr>
            <w:tcW w:w="870" w:type="pct"/>
            <w:tcBorders>
              <w:top w:val="nil"/>
              <w:left w:val="single" w:sz="4" w:space="0" w:color="FFFFFF" w:themeColor="background1"/>
              <w:bottom w:val="single" w:sz="12" w:space="0" w:color="4BAFE1"/>
              <w:right w:val="nil"/>
            </w:tcBorders>
            <w:shd w:val="clear" w:color="auto" w:fill="2191C9"/>
            <w:tcMar>
              <w:top w:w="15" w:type="dxa"/>
              <w:left w:w="15" w:type="dxa"/>
              <w:bottom w:w="0" w:type="dxa"/>
              <w:right w:w="15" w:type="dxa"/>
            </w:tcMar>
            <w:vAlign w:val="bottom"/>
            <w:hideMark/>
          </w:tcPr>
          <w:p w14:paraId="1BEB3B5A" w14:textId="5132092F" w:rsidR="009568A3" w:rsidRPr="009568A3" w:rsidRDefault="0039276D" w:rsidP="0039276D">
            <w:pPr>
              <w:spacing w:before="40" w:after="40" w:line="276" w:lineRule="auto"/>
              <w:textAlignment w:val="center"/>
              <w:rPr>
                <w:rFonts w:ascii="72 Black" w:eastAsia="Times New Roman" w:hAnsi="72 Black" w:cs="72 Black"/>
                <w:b/>
                <w:bCs/>
                <w:color w:val="FFFFFF"/>
                <w:sz w:val="19"/>
                <w:szCs w:val="19"/>
                <w:lang w:eastAsia="el-GR"/>
              </w:rPr>
            </w:pPr>
            <w:r>
              <w:rPr>
                <w:rFonts w:ascii="72 Black" w:eastAsia="Times New Roman" w:hAnsi="72 Black" w:cs="72 Black"/>
                <w:b/>
                <w:bCs/>
                <w:color w:val="FFFFFF"/>
                <w:sz w:val="19"/>
                <w:szCs w:val="19"/>
                <w:lang w:val="en-US" w:eastAsia="el-GR"/>
              </w:rPr>
              <w:t xml:space="preserve"> </w:t>
            </w:r>
            <w:r w:rsidR="009568A3" w:rsidRPr="009568A3">
              <w:rPr>
                <w:rFonts w:ascii="72 Black" w:eastAsia="Times New Roman" w:hAnsi="72 Black" w:cs="72 Black"/>
                <w:b/>
                <w:bCs/>
                <w:color w:val="FFFFFF"/>
                <w:sz w:val="19"/>
                <w:szCs w:val="19"/>
                <w:lang w:eastAsia="el-GR"/>
              </w:rPr>
              <w:t>Μεταβολή (%)</w:t>
            </w:r>
          </w:p>
        </w:tc>
      </w:tr>
      <w:tr w:rsidR="0039276D" w:rsidRPr="009568A3" w14:paraId="382F55FF" w14:textId="77777777" w:rsidTr="00E14FC9">
        <w:trPr>
          <w:trHeight w:val="172"/>
        </w:trPr>
        <w:tc>
          <w:tcPr>
            <w:tcW w:w="2609" w:type="pct"/>
            <w:tcBorders>
              <w:top w:val="single" w:sz="12" w:space="0" w:color="4BAFE1"/>
              <w:left w:val="nil"/>
              <w:bottom w:val="nil"/>
              <w:right w:val="nil"/>
            </w:tcBorders>
            <w:shd w:val="clear" w:color="auto" w:fill="F2F2F2"/>
            <w:tcMar>
              <w:top w:w="15" w:type="dxa"/>
              <w:left w:w="283" w:type="dxa"/>
              <w:bottom w:w="0" w:type="dxa"/>
              <w:right w:w="15" w:type="dxa"/>
            </w:tcMar>
            <w:vAlign w:val="center"/>
            <w:hideMark/>
          </w:tcPr>
          <w:p w14:paraId="73BD5838" w14:textId="77777777" w:rsidR="009568A3" w:rsidRPr="009568A3" w:rsidRDefault="009568A3" w:rsidP="0039276D">
            <w:pPr>
              <w:spacing w:after="0" w:line="240" w:lineRule="auto"/>
              <w:textAlignment w:val="center"/>
              <w:rPr>
                <w:rFonts w:asciiTheme="majorHAnsi" w:eastAsia="Times New Roman" w:hAnsiTheme="majorHAnsi" w:cstheme="majorHAnsi"/>
                <w:sz w:val="20"/>
                <w:szCs w:val="20"/>
                <w:lang w:eastAsia="el-GR"/>
              </w:rPr>
            </w:pPr>
            <w:r w:rsidRPr="009568A3">
              <w:rPr>
                <w:rFonts w:asciiTheme="majorHAnsi" w:eastAsiaTheme="minorEastAsia" w:hAnsiTheme="majorHAnsi" w:cstheme="majorHAnsi"/>
                <w:color w:val="262626" w:themeColor="text1" w:themeTint="D9"/>
                <w:kern w:val="24"/>
                <w:sz w:val="20"/>
                <w:szCs w:val="20"/>
                <w:lang w:eastAsia="el-GR"/>
              </w:rPr>
              <w:t>Σύνολο Ενεργητικού</w:t>
            </w:r>
          </w:p>
        </w:tc>
        <w:tc>
          <w:tcPr>
            <w:tcW w:w="724" w:type="pct"/>
            <w:tcBorders>
              <w:top w:val="single" w:sz="12" w:space="0" w:color="4BAFE1"/>
              <w:left w:val="nil"/>
              <w:bottom w:val="nil"/>
              <w:right w:val="nil"/>
            </w:tcBorders>
            <w:shd w:val="clear" w:color="auto" w:fill="F2F2F2"/>
            <w:tcMar>
              <w:top w:w="15" w:type="dxa"/>
              <w:left w:w="15" w:type="dxa"/>
              <w:bottom w:w="0" w:type="dxa"/>
              <w:right w:w="15" w:type="dxa"/>
            </w:tcMar>
            <w:vAlign w:val="center"/>
            <w:hideMark/>
          </w:tcPr>
          <w:p w14:paraId="41EE5D25"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color w:val="262626"/>
                <w:sz w:val="20"/>
                <w:szCs w:val="20"/>
                <w:lang w:eastAsia="el-GR"/>
              </w:rPr>
              <w:t>516.549</w:t>
            </w:r>
          </w:p>
        </w:tc>
        <w:tc>
          <w:tcPr>
            <w:tcW w:w="797" w:type="pct"/>
            <w:tcBorders>
              <w:top w:val="single" w:sz="12" w:space="0" w:color="4BAFE1"/>
              <w:left w:val="nil"/>
              <w:bottom w:val="nil"/>
              <w:right w:val="nil"/>
            </w:tcBorders>
            <w:shd w:val="clear" w:color="auto" w:fill="F2F2F2"/>
            <w:tcMar>
              <w:top w:w="15" w:type="dxa"/>
              <w:left w:w="15" w:type="dxa"/>
              <w:bottom w:w="0" w:type="dxa"/>
              <w:right w:w="15" w:type="dxa"/>
            </w:tcMar>
            <w:vAlign w:val="center"/>
            <w:hideMark/>
          </w:tcPr>
          <w:p w14:paraId="70783792"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color w:val="262626"/>
                <w:sz w:val="20"/>
                <w:szCs w:val="20"/>
                <w:lang w:eastAsia="el-GR"/>
              </w:rPr>
              <w:t>509.714</w:t>
            </w:r>
          </w:p>
        </w:tc>
        <w:tc>
          <w:tcPr>
            <w:tcW w:w="870" w:type="pct"/>
            <w:tcBorders>
              <w:top w:val="single" w:sz="12" w:space="0" w:color="4BAFE1"/>
              <w:left w:val="nil"/>
              <w:bottom w:val="nil"/>
              <w:right w:val="nil"/>
            </w:tcBorders>
            <w:shd w:val="clear" w:color="auto" w:fill="F2F2F2"/>
            <w:tcMar>
              <w:top w:w="15" w:type="dxa"/>
              <w:left w:w="15" w:type="dxa"/>
              <w:bottom w:w="0" w:type="dxa"/>
              <w:right w:w="15" w:type="dxa"/>
            </w:tcMar>
            <w:vAlign w:val="center"/>
            <w:hideMark/>
          </w:tcPr>
          <w:p w14:paraId="4EF8C1CB" w14:textId="5037E4C3" w:rsidR="009568A3" w:rsidRPr="0068129F" w:rsidRDefault="009568A3" w:rsidP="0039276D">
            <w:pPr>
              <w:spacing w:after="0" w:line="24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color w:val="000000" w:themeColor="text1"/>
                <w:sz w:val="20"/>
                <w:szCs w:val="20"/>
                <w:lang w:eastAsia="el-GR"/>
              </w:rPr>
              <w:t>1,3%</w:t>
            </w:r>
          </w:p>
        </w:tc>
      </w:tr>
      <w:tr w:rsidR="0039276D" w:rsidRPr="009568A3" w14:paraId="42787997" w14:textId="77777777" w:rsidTr="00E14FC9">
        <w:trPr>
          <w:trHeight w:val="618"/>
        </w:trPr>
        <w:tc>
          <w:tcPr>
            <w:tcW w:w="2609" w:type="pct"/>
            <w:tcBorders>
              <w:top w:val="nil"/>
              <w:left w:val="nil"/>
              <w:bottom w:val="nil"/>
              <w:right w:val="nil"/>
            </w:tcBorders>
            <w:shd w:val="clear" w:color="auto" w:fill="F2F2F2"/>
            <w:tcMar>
              <w:top w:w="15" w:type="dxa"/>
              <w:left w:w="283" w:type="dxa"/>
              <w:bottom w:w="0" w:type="dxa"/>
              <w:right w:w="15" w:type="dxa"/>
            </w:tcMar>
            <w:vAlign w:val="center"/>
            <w:hideMark/>
          </w:tcPr>
          <w:p w14:paraId="0B02FBE5" w14:textId="77777777" w:rsidR="009568A3" w:rsidRPr="009568A3" w:rsidRDefault="009568A3" w:rsidP="0039276D">
            <w:pPr>
              <w:spacing w:after="0" w:line="240" w:lineRule="auto"/>
              <w:textAlignment w:val="center"/>
              <w:rPr>
                <w:rFonts w:asciiTheme="majorHAnsi" w:eastAsia="Times New Roman" w:hAnsiTheme="majorHAnsi" w:cstheme="majorHAnsi"/>
                <w:sz w:val="20"/>
                <w:szCs w:val="20"/>
                <w:lang w:eastAsia="el-GR"/>
              </w:rPr>
            </w:pPr>
            <w:r w:rsidRPr="009568A3">
              <w:rPr>
                <w:rFonts w:asciiTheme="majorHAnsi" w:eastAsiaTheme="minorEastAsia" w:hAnsiTheme="majorHAnsi" w:cstheme="majorHAnsi"/>
                <w:color w:val="262626" w:themeColor="text1" w:themeTint="D9"/>
                <w:kern w:val="24"/>
                <w:sz w:val="20"/>
                <w:szCs w:val="20"/>
                <w:lang w:eastAsia="el-GR"/>
              </w:rPr>
              <w:t>Μαθηματικά αποθέματα και τεχνικές ασφαλιστικές προβλέψεις</w:t>
            </w:r>
          </w:p>
        </w:tc>
        <w:tc>
          <w:tcPr>
            <w:tcW w:w="724" w:type="pct"/>
            <w:tcBorders>
              <w:top w:val="nil"/>
              <w:left w:val="nil"/>
              <w:bottom w:val="nil"/>
              <w:right w:val="nil"/>
            </w:tcBorders>
            <w:shd w:val="clear" w:color="auto" w:fill="F2F2F2"/>
            <w:tcMar>
              <w:top w:w="15" w:type="dxa"/>
              <w:left w:w="15" w:type="dxa"/>
              <w:bottom w:w="0" w:type="dxa"/>
              <w:right w:w="15" w:type="dxa"/>
            </w:tcMar>
            <w:vAlign w:val="center"/>
            <w:hideMark/>
          </w:tcPr>
          <w:p w14:paraId="0C863505"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color w:val="262626"/>
                <w:sz w:val="20"/>
                <w:szCs w:val="20"/>
                <w:lang w:eastAsia="el-GR"/>
              </w:rPr>
              <w:t>335.602</w:t>
            </w:r>
          </w:p>
        </w:tc>
        <w:tc>
          <w:tcPr>
            <w:tcW w:w="797" w:type="pct"/>
            <w:tcBorders>
              <w:top w:val="nil"/>
              <w:left w:val="nil"/>
              <w:bottom w:val="nil"/>
              <w:right w:val="nil"/>
            </w:tcBorders>
            <w:shd w:val="clear" w:color="auto" w:fill="F2F2F2"/>
            <w:tcMar>
              <w:top w:w="15" w:type="dxa"/>
              <w:left w:w="15" w:type="dxa"/>
              <w:bottom w:w="0" w:type="dxa"/>
              <w:right w:w="15" w:type="dxa"/>
            </w:tcMar>
            <w:vAlign w:val="center"/>
            <w:hideMark/>
          </w:tcPr>
          <w:p w14:paraId="13ACB678"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color w:val="262626"/>
                <w:sz w:val="20"/>
                <w:szCs w:val="20"/>
                <w:lang w:eastAsia="el-GR"/>
              </w:rPr>
              <w:t>312.888</w:t>
            </w:r>
          </w:p>
        </w:tc>
        <w:tc>
          <w:tcPr>
            <w:tcW w:w="870" w:type="pct"/>
            <w:tcBorders>
              <w:top w:val="nil"/>
              <w:left w:val="nil"/>
              <w:bottom w:val="nil"/>
              <w:right w:val="nil"/>
            </w:tcBorders>
            <w:shd w:val="clear" w:color="auto" w:fill="F2F2F2"/>
            <w:tcMar>
              <w:top w:w="15" w:type="dxa"/>
              <w:left w:w="15" w:type="dxa"/>
              <w:bottom w:w="0" w:type="dxa"/>
              <w:right w:w="15" w:type="dxa"/>
            </w:tcMar>
            <w:vAlign w:val="center"/>
            <w:hideMark/>
          </w:tcPr>
          <w:p w14:paraId="63E0CF2A" w14:textId="07973E26" w:rsidR="009568A3" w:rsidRPr="0068129F" w:rsidRDefault="009568A3" w:rsidP="0039276D">
            <w:pPr>
              <w:spacing w:after="0" w:line="24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color w:val="000000" w:themeColor="text1"/>
                <w:sz w:val="20"/>
                <w:szCs w:val="20"/>
                <w:lang w:eastAsia="el-GR"/>
              </w:rPr>
              <w:t>7,3%</w:t>
            </w:r>
          </w:p>
        </w:tc>
      </w:tr>
      <w:tr w:rsidR="0039276D" w:rsidRPr="009568A3" w14:paraId="6C04B353" w14:textId="77777777" w:rsidTr="00E14FC9">
        <w:trPr>
          <w:trHeight w:val="416"/>
        </w:trPr>
        <w:tc>
          <w:tcPr>
            <w:tcW w:w="2609" w:type="pct"/>
            <w:tcBorders>
              <w:top w:val="nil"/>
              <w:left w:val="nil"/>
              <w:bottom w:val="single" w:sz="4" w:space="0" w:color="2E74B5" w:themeColor="accent5" w:themeShade="BF"/>
              <w:right w:val="nil"/>
            </w:tcBorders>
            <w:shd w:val="clear" w:color="auto" w:fill="F2F2F2"/>
            <w:tcMar>
              <w:top w:w="15" w:type="dxa"/>
              <w:left w:w="283" w:type="dxa"/>
              <w:bottom w:w="0" w:type="dxa"/>
              <w:right w:w="15" w:type="dxa"/>
            </w:tcMar>
            <w:vAlign w:val="center"/>
            <w:hideMark/>
          </w:tcPr>
          <w:p w14:paraId="22DD6EF3" w14:textId="77777777" w:rsidR="009568A3" w:rsidRPr="009568A3" w:rsidRDefault="009568A3" w:rsidP="0039276D">
            <w:pPr>
              <w:spacing w:after="0" w:line="240" w:lineRule="auto"/>
              <w:textAlignment w:val="center"/>
              <w:rPr>
                <w:rFonts w:asciiTheme="majorHAnsi" w:eastAsia="Times New Roman" w:hAnsiTheme="majorHAnsi" w:cstheme="majorHAnsi"/>
                <w:sz w:val="20"/>
                <w:szCs w:val="20"/>
                <w:lang w:eastAsia="el-GR"/>
              </w:rPr>
            </w:pPr>
            <w:r w:rsidRPr="009568A3">
              <w:rPr>
                <w:rFonts w:asciiTheme="majorHAnsi" w:eastAsiaTheme="minorEastAsia" w:hAnsiTheme="majorHAnsi" w:cstheme="majorHAnsi"/>
                <w:color w:val="262626" w:themeColor="text1" w:themeTint="D9"/>
                <w:kern w:val="24"/>
                <w:sz w:val="20"/>
                <w:szCs w:val="20"/>
                <w:lang w:eastAsia="el-GR"/>
              </w:rPr>
              <w:t>Σύνολο Ιδίων Κεφαλαίων</w:t>
            </w:r>
          </w:p>
        </w:tc>
        <w:tc>
          <w:tcPr>
            <w:tcW w:w="724" w:type="pct"/>
            <w:tcBorders>
              <w:top w:val="nil"/>
              <w:left w:val="nil"/>
              <w:bottom w:val="single" w:sz="4" w:space="0" w:color="2E74B5" w:themeColor="accent5" w:themeShade="BF"/>
              <w:right w:val="nil"/>
            </w:tcBorders>
            <w:shd w:val="clear" w:color="auto" w:fill="F2F2F2"/>
            <w:tcMar>
              <w:top w:w="15" w:type="dxa"/>
              <w:left w:w="15" w:type="dxa"/>
              <w:bottom w:w="0" w:type="dxa"/>
              <w:right w:w="15" w:type="dxa"/>
            </w:tcMar>
            <w:vAlign w:val="center"/>
            <w:hideMark/>
          </w:tcPr>
          <w:p w14:paraId="23F612A2"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color w:val="262626"/>
                <w:sz w:val="20"/>
                <w:szCs w:val="20"/>
                <w:lang w:eastAsia="el-GR"/>
              </w:rPr>
              <w:t>153.202</w:t>
            </w:r>
          </w:p>
        </w:tc>
        <w:tc>
          <w:tcPr>
            <w:tcW w:w="797" w:type="pct"/>
            <w:tcBorders>
              <w:top w:val="nil"/>
              <w:left w:val="nil"/>
              <w:bottom w:val="single" w:sz="4" w:space="0" w:color="2E74B5" w:themeColor="accent5" w:themeShade="BF"/>
              <w:right w:val="nil"/>
            </w:tcBorders>
            <w:shd w:val="clear" w:color="auto" w:fill="F2F2F2"/>
            <w:tcMar>
              <w:top w:w="15" w:type="dxa"/>
              <w:left w:w="15" w:type="dxa"/>
              <w:bottom w:w="0" w:type="dxa"/>
              <w:right w:w="15" w:type="dxa"/>
            </w:tcMar>
            <w:vAlign w:val="center"/>
            <w:hideMark/>
          </w:tcPr>
          <w:p w14:paraId="323586BA"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color w:val="262626"/>
                <w:sz w:val="20"/>
                <w:szCs w:val="20"/>
                <w:lang w:eastAsia="el-GR"/>
              </w:rPr>
              <w:t>153.982</w:t>
            </w:r>
          </w:p>
        </w:tc>
        <w:tc>
          <w:tcPr>
            <w:tcW w:w="870" w:type="pct"/>
            <w:tcBorders>
              <w:top w:val="nil"/>
              <w:left w:val="nil"/>
              <w:bottom w:val="single" w:sz="4" w:space="0" w:color="2E74B5" w:themeColor="accent5" w:themeShade="BF"/>
              <w:right w:val="nil"/>
            </w:tcBorders>
            <w:shd w:val="clear" w:color="auto" w:fill="F2F2F2"/>
            <w:tcMar>
              <w:top w:w="15" w:type="dxa"/>
              <w:left w:w="15" w:type="dxa"/>
              <w:bottom w:w="0" w:type="dxa"/>
              <w:right w:w="15" w:type="dxa"/>
            </w:tcMar>
            <w:vAlign w:val="center"/>
            <w:hideMark/>
          </w:tcPr>
          <w:p w14:paraId="4A7E580C" w14:textId="2EFE19BE" w:rsidR="009568A3" w:rsidRPr="0068129F" w:rsidRDefault="009568A3" w:rsidP="0039276D">
            <w:pPr>
              <w:spacing w:after="0" w:line="240" w:lineRule="auto"/>
              <w:jc w:val="center"/>
              <w:textAlignment w:val="center"/>
              <w:rPr>
                <w:rFonts w:asciiTheme="majorHAnsi" w:eastAsia="Times New Roman" w:hAnsiTheme="majorHAnsi" w:cstheme="majorHAnsi"/>
                <w:color w:val="000000" w:themeColor="text1"/>
                <w:sz w:val="20"/>
                <w:szCs w:val="20"/>
                <w:lang w:eastAsia="el-GR"/>
              </w:rPr>
            </w:pPr>
            <w:r w:rsidRPr="0068129F">
              <w:rPr>
                <w:rFonts w:asciiTheme="majorHAnsi" w:eastAsia="Times New Roman" w:hAnsiTheme="majorHAnsi" w:cstheme="majorHAnsi"/>
                <w:color w:val="000000" w:themeColor="text1"/>
                <w:sz w:val="20"/>
                <w:szCs w:val="20"/>
                <w:lang w:eastAsia="el-GR"/>
              </w:rPr>
              <w:t>-</w:t>
            </w:r>
            <w:r w:rsidR="0068129F">
              <w:rPr>
                <w:rFonts w:asciiTheme="majorHAnsi" w:eastAsia="Times New Roman" w:hAnsiTheme="majorHAnsi" w:cstheme="majorHAnsi"/>
                <w:color w:val="000000" w:themeColor="text1"/>
                <w:sz w:val="20"/>
                <w:szCs w:val="20"/>
                <w:lang w:val="en-US" w:eastAsia="el-GR"/>
              </w:rPr>
              <w:t xml:space="preserve"> </w:t>
            </w:r>
            <w:r w:rsidRPr="0068129F">
              <w:rPr>
                <w:rFonts w:asciiTheme="majorHAnsi" w:eastAsia="Times New Roman" w:hAnsiTheme="majorHAnsi" w:cstheme="majorHAnsi"/>
                <w:color w:val="000000" w:themeColor="text1"/>
                <w:sz w:val="20"/>
                <w:szCs w:val="20"/>
                <w:lang w:eastAsia="el-GR"/>
              </w:rPr>
              <w:t>0,5%</w:t>
            </w:r>
          </w:p>
        </w:tc>
      </w:tr>
      <w:tr w:rsidR="0039276D" w:rsidRPr="009568A3" w14:paraId="7C1F91E8" w14:textId="77777777" w:rsidTr="00E14FC9">
        <w:trPr>
          <w:trHeight w:val="562"/>
        </w:trPr>
        <w:tc>
          <w:tcPr>
            <w:tcW w:w="2609" w:type="pct"/>
            <w:tcBorders>
              <w:top w:val="single" w:sz="4" w:space="0" w:color="2E74B5" w:themeColor="accent5" w:themeShade="BF"/>
              <w:left w:val="nil"/>
              <w:bottom w:val="nil"/>
              <w:right w:val="nil"/>
            </w:tcBorders>
            <w:shd w:val="clear" w:color="auto" w:fill="auto"/>
            <w:tcMar>
              <w:top w:w="15" w:type="dxa"/>
              <w:left w:w="283" w:type="dxa"/>
              <w:bottom w:w="0" w:type="dxa"/>
              <w:right w:w="15" w:type="dxa"/>
            </w:tcMar>
            <w:vAlign w:val="center"/>
            <w:hideMark/>
          </w:tcPr>
          <w:p w14:paraId="0B6077BC" w14:textId="77777777" w:rsidR="009568A3" w:rsidRPr="009568A3" w:rsidRDefault="009568A3" w:rsidP="0039276D">
            <w:pPr>
              <w:spacing w:after="0" w:line="240" w:lineRule="auto"/>
              <w:textAlignment w:val="bottom"/>
              <w:rPr>
                <w:rFonts w:asciiTheme="majorHAnsi" w:eastAsia="Times New Roman" w:hAnsiTheme="majorHAnsi" w:cstheme="majorHAnsi"/>
                <w:sz w:val="20"/>
                <w:szCs w:val="20"/>
                <w:lang w:eastAsia="el-GR"/>
              </w:rPr>
            </w:pPr>
            <w:r w:rsidRPr="009568A3">
              <w:rPr>
                <w:rFonts w:asciiTheme="majorHAnsi" w:eastAsiaTheme="minorEastAsia" w:hAnsiTheme="majorHAnsi" w:cstheme="majorHAnsi"/>
                <w:b/>
                <w:bCs/>
                <w:color w:val="262626" w:themeColor="text1" w:themeTint="D9"/>
                <w:kern w:val="24"/>
                <w:sz w:val="20"/>
                <w:szCs w:val="20"/>
                <w:lang w:eastAsia="el-GR"/>
              </w:rPr>
              <w:t>Απόδοση Ιδίων Κεφαλαίων προ Φόρων (ROE) (</w:t>
            </w:r>
            <w:proofErr w:type="spellStart"/>
            <w:r w:rsidRPr="009568A3">
              <w:rPr>
                <w:rFonts w:asciiTheme="majorHAnsi" w:eastAsiaTheme="minorEastAsia" w:hAnsiTheme="majorHAnsi" w:cstheme="majorHAnsi"/>
                <w:b/>
                <w:bCs/>
                <w:color w:val="262626" w:themeColor="text1" w:themeTint="D9"/>
                <w:kern w:val="24"/>
                <w:sz w:val="20"/>
                <w:szCs w:val="20"/>
                <w:lang w:eastAsia="el-GR"/>
              </w:rPr>
              <w:t>ετησιοποιημένο</w:t>
            </w:r>
            <w:proofErr w:type="spellEnd"/>
            <w:r w:rsidRPr="009568A3">
              <w:rPr>
                <w:rFonts w:asciiTheme="majorHAnsi" w:eastAsiaTheme="minorEastAsia" w:hAnsiTheme="majorHAnsi" w:cstheme="majorHAnsi"/>
                <w:b/>
                <w:bCs/>
                <w:color w:val="262626" w:themeColor="text1" w:themeTint="D9"/>
                <w:kern w:val="24"/>
                <w:sz w:val="20"/>
                <w:szCs w:val="20"/>
                <w:lang w:eastAsia="el-GR"/>
              </w:rPr>
              <w:t>)</w:t>
            </w:r>
          </w:p>
        </w:tc>
        <w:tc>
          <w:tcPr>
            <w:tcW w:w="724" w:type="pct"/>
            <w:tcBorders>
              <w:top w:val="single" w:sz="4" w:space="0" w:color="2E74B5" w:themeColor="accent5" w:themeShade="BF"/>
              <w:left w:val="nil"/>
              <w:bottom w:val="nil"/>
              <w:right w:val="nil"/>
            </w:tcBorders>
            <w:shd w:val="clear" w:color="auto" w:fill="auto"/>
            <w:tcMar>
              <w:top w:w="15" w:type="dxa"/>
              <w:left w:w="15" w:type="dxa"/>
              <w:bottom w:w="0" w:type="dxa"/>
              <w:right w:w="15" w:type="dxa"/>
            </w:tcMar>
            <w:vAlign w:val="center"/>
            <w:hideMark/>
          </w:tcPr>
          <w:p w14:paraId="0EDE0F16"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b/>
                <w:bCs/>
                <w:color w:val="262626"/>
                <w:sz w:val="20"/>
                <w:szCs w:val="20"/>
                <w:lang w:eastAsia="el-GR"/>
              </w:rPr>
              <w:t>13,5%</w:t>
            </w:r>
          </w:p>
        </w:tc>
        <w:tc>
          <w:tcPr>
            <w:tcW w:w="797" w:type="pct"/>
            <w:tcBorders>
              <w:top w:val="single" w:sz="4" w:space="0" w:color="2E74B5" w:themeColor="accent5" w:themeShade="BF"/>
              <w:left w:val="nil"/>
              <w:bottom w:val="nil"/>
              <w:right w:val="nil"/>
            </w:tcBorders>
            <w:shd w:val="clear" w:color="auto" w:fill="auto"/>
            <w:tcMar>
              <w:top w:w="15" w:type="dxa"/>
              <w:left w:w="15" w:type="dxa"/>
              <w:bottom w:w="0" w:type="dxa"/>
              <w:right w:w="15" w:type="dxa"/>
            </w:tcMar>
            <w:vAlign w:val="center"/>
            <w:hideMark/>
          </w:tcPr>
          <w:p w14:paraId="77F583C6"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b/>
                <w:bCs/>
                <w:color w:val="262626"/>
                <w:sz w:val="20"/>
                <w:szCs w:val="20"/>
                <w:lang w:eastAsia="el-GR"/>
              </w:rPr>
              <w:t>17,1%</w:t>
            </w:r>
          </w:p>
        </w:tc>
        <w:tc>
          <w:tcPr>
            <w:tcW w:w="870" w:type="pct"/>
            <w:tcBorders>
              <w:top w:val="single" w:sz="4" w:space="0" w:color="2E74B5" w:themeColor="accent5" w:themeShade="BF"/>
              <w:left w:val="nil"/>
              <w:bottom w:val="nil"/>
              <w:right w:val="nil"/>
            </w:tcBorders>
            <w:shd w:val="clear" w:color="auto" w:fill="auto"/>
            <w:tcMar>
              <w:top w:w="15" w:type="dxa"/>
              <w:left w:w="15" w:type="dxa"/>
              <w:bottom w:w="0" w:type="dxa"/>
              <w:right w:w="15" w:type="dxa"/>
            </w:tcMar>
            <w:vAlign w:val="center"/>
            <w:hideMark/>
          </w:tcPr>
          <w:p w14:paraId="20CD3965" w14:textId="3E03CB0E" w:rsidR="009568A3" w:rsidRPr="0068129F" w:rsidRDefault="0068129F" w:rsidP="0039276D">
            <w:pPr>
              <w:spacing w:after="0" w:line="240" w:lineRule="auto"/>
              <w:jc w:val="center"/>
              <w:textAlignment w:val="center"/>
              <w:rPr>
                <w:rFonts w:asciiTheme="majorHAnsi" w:eastAsia="Times New Roman" w:hAnsiTheme="majorHAnsi" w:cstheme="majorHAnsi"/>
                <w:color w:val="000000" w:themeColor="text1"/>
                <w:sz w:val="20"/>
                <w:szCs w:val="20"/>
                <w:lang w:eastAsia="el-GR"/>
              </w:rPr>
            </w:pPr>
            <w:r>
              <w:rPr>
                <w:rFonts w:asciiTheme="majorHAnsi" w:eastAsia="Times New Roman" w:hAnsiTheme="majorHAnsi" w:cstheme="majorHAnsi"/>
                <w:b/>
                <w:bCs/>
                <w:color w:val="000000" w:themeColor="text1"/>
                <w:sz w:val="20"/>
                <w:szCs w:val="20"/>
                <w:lang w:val="en-US" w:eastAsia="el-GR"/>
              </w:rPr>
              <w:t xml:space="preserve">- </w:t>
            </w:r>
            <w:r w:rsidR="009568A3" w:rsidRPr="0068129F">
              <w:rPr>
                <w:rFonts w:asciiTheme="majorHAnsi" w:eastAsia="Times New Roman" w:hAnsiTheme="majorHAnsi" w:cstheme="majorHAnsi"/>
                <w:b/>
                <w:bCs/>
                <w:color w:val="000000" w:themeColor="text1"/>
                <w:sz w:val="20"/>
                <w:szCs w:val="20"/>
                <w:lang w:eastAsia="el-GR"/>
              </w:rPr>
              <w:t>3,6 π.μ.</w:t>
            </w:r>
          </w:p>
        </w:tc>
      </w:tr>
      <w:tr w:rsidR="0039276D" w:rsidRPr="009568A3" w14:paraId="66F0E564" w14:textId="77777777" w:rsidTr="00E14FC9">
        <w:trPr>
          <w:trHeight w:val="421"/>
        </w:trPr>
        <w:tc>
          <w:tcPr>
            <w:tcW w:w="2609" w:type="pct"/>
            <w:tcBorders>
              <w:top w:val="nil"/>
              <w:left w:val="nil"/>
              <w:bottom w:val="nil"/>
              <w:right w:val="nil"/>
            </w:tcBorders>
            <w:shd w:val="clear" w:color="auto" w:fill="auto"/>
            <w:tcMar>
              <w:top w:w="15" w:type="dxa"/>
              <w:left w:w="283" w:type="dxa"/>
              <w:bottom w:w="0" w:type="dxa"/>
              <w:right w:w="15" w:type="dxa"/>
            </w:tcMar>
            <w:vAlign w:val="center"/>
            <w:hideMark/>
          </w:tcPr>
          <w:p w14:paraId="622D76A7" w14:textId="77777777" w:rsidR="009568A3" w:rsidRPr="009568A3" w:rsidRDefault="009568A3" w:rsidP="0039276D">
            <w:pPr>
              <w:spacing w:after="0" w:line="240" w:lineRule="auto"/>
              <w:textAlignment w:val="center"/>
              <w:rPr>
                <w:rFonts w:asciiTheme="majorHAnsi" w:eastAsia="Times New Roman" w:hAnsiTheme="majorHAnsi" w:cstheme="majorHAnsi"/>
                <w:sz w:val="20"/>
                <w:szCs w:val="20"/>
                <w:lang w:eastAsia="el-GR"/>
              </w:rPr>
            </w:pPr>
            <w:r w:rsidRPr="009568A3">
              <w:rPr>
                <w:rFonts w:asciiTheme="majorHAnsi" w:eastAsiaTheme="minorEastAsia" w:hAnsiTheme="majorHAnsi" w:cstheme="majorHAnsi"/>
                <w:b/>
                <w:bCs/>
                <w:color w:val="262626" w:themeColor="text1" w:themeTint="D9"/>
                <w:kern w:val="24"/>
                <w:sz w:val="20"/>
                <w:szCs w:val="20"/>
                <w:lang w:eastAsia="el-GR"/>
              </w:rPr>
              <w:t>Απόδοση Περιουσιακών στοιχείων προ Φόρων (ROA) (</w:t>
            </w:r>
            <w:proofErr w:type="spellStart"/>
            <w:r w:rsidRPr="009568A3">
              <w:rPr>
                <w:rFonts w:asciiTheme="majorHAnsi" w:eastAsiaTheme="minorEastAsia" w:hAnsiTheme="majorHAnsi" w:cstheme="majorHAnsi"/>
                <w:b/>
                <w:bCs/>
                <w:color w:val="262626" w:themeColor="text1" w:themeTint="D9"/>
                <w:kern w:val="24"/>
                <w:sz w:val="20"/>
                <w:szCs w:val="20"/>
                <w:lang w:eastAsia="el-GR"/>
              </w:rPr>
              <w:t>ετησιοποιημένο</w:t>
            </w:r>
            <w:proofErr w:type="spellEnd"/>
            <w:r w:rsidRPr="009568A3">
              <w:rPr>
                <w:rFonts w:asciiTheme="majorHAnsi" w:eastAsiaTheme="minorEastAsia" w:hAnsiTheme="majorHAnsi" w:cstheme="majorHAnsi"/>
                <w:b/>
                <w:bCs/>
                <w:color w:val="262626" w:themeColor="text1" w:themeTint="D9"/>
                <w:kern w:val="24"/>
                <w:sz w:val="20"/>
                <w:szCs w:val="20"/>
                <w:lang w:eastAsia="el-GR"/>
              </w:rPr>
              <w:t>)</w:t>
            </w:r>
          </w:p>
        </w:tc>
        <w:tc>
          <w:tcPr>
            <w:tcW w:w="724" w:type="pct"/>
            <w:tcBorders>
              <w:top w:val="nil"/>
              <w:left w:val="nil"/>
              <w:bottom w:val="nil"/>
              <w:right w:val="nil"/>
            </w:tcBorders>
            <w:shd w:val="clear" w:color="auto" w:fill="auto"/>
            <w:tcMar>
              <w:top w:w="15" w:type="dxa"/>
              <w:left w:w="15" w:type="dxa"/>
              <w:bottom w:w="0" w:type="dxa"/>
              <w:right w:w="15" w:type="dxa"/>
            </w:tcMar>
            <w:vAlign w:val="center"/>
            <w:hideMark/>
          </w:tcPr>
          <w:p w14:paraId="052DCACD"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b/>
                <w:bCs/>
                <w:color w:val="262626"/>
                <w:sz w:val="20"/>
                <w:szCs w:val="20"/>
                <w:lang w:eastAsia="el-GR"/>
              </w:rPr>
              <w:t>4,1%</w:t>
            </w:r>
          </w:p>
        </w:tc>
        <w:tc>
          <w:tcPr>
            <w:tcW w:w="797" w:type="pct"/>
            <w:tcBorders>
              <w:top w:val="nil"/>
              <w:left w:val="nil"/>
              <w:bottom w:val="nil"/>
              <w:right w:val="nil"/>
            </w:tcBorders>
            <w:shd w:val="clear" w:color="auto" w:fill="auto"/>
            <w:tcMar>
              <w:top w:w="15" w:type="dxa"/>
              <w:left w:w="15" w:type="dxa"/>
              <w:bottom w:w="0" w:type="dxa"/>
              <w:right w:w="15" w:type="dxa"/>
            </w:tcMar>
            <w:vAlign w:val="center"/>
            <w:hideMark/>
          </w:tcPr>
          <w:p w14:paraId="48C9BDB0"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b/>
                <w:bCs/>
                <w:color w:val="262626"/>
                <w:sz w:val="20"/>
                <w:szCs w:val="20"/>
                <w:lang w:eastAsia="el-GR"/>
              </w:rPr>
              <w:t>5,0%</w:t>
            </w:r>
          </w:p>
        </w:tc>
        <w:tc>
          <w:tcPr>
            <w:tcW w:w="870" w:type="pct"/>
            <w:tcBorders>
              <w:top w:val="nil"/>
              <w:left w:val="nil"/>
              <w:bottom w:val="nil"/>
              <w:right w:val="nil"/>
            </w:tcBorders>
            <w:shd w:val="clear" w:color="auto" w:fill="auto"/>
            <w:tcMar>
              <w:top w:w="15" w:type="dxa"/>
              <w:left w:w="15" w:type="dxa"/>
              <w:bottom w:w="0" w:type="dxa"/>
              <w:right w:w="15" w:type="dxa"/>
            </w:tcMar>
            <w:vAlign w:val="center"/>
            <w:hideMark/>
          </w:tcPr>
          <w:p w14:paraId="7E7EF102" w14:textId="0B41D87E" w:rsidR="009568A3" w:rsidRPr="0068129F" w:rsidRDefault="0068129F" w:rsidP="0039276D">
            <w:pPr>
              <w:spacing w:after="0" w:line="240" w:lineRule="auto"/>
              <w:jc w:val="center"/>
              <w:textAlignment w:val="center"/>
              <w:rPr>
                <w:rFonts w:asciiTheme="majorHAnsi" w:eastAsia="Times New Roman" w:hAnsiTheme="majorHAnsi" w:cstheme="majorHAnsi"/>
                <w:color w:val="000000" w:themeColor="text1"/>
                <w:sz w:val="20"/>
                <w:szCs w:val="20"/>
                <w:lang w:eastAsia="el-GR"/>
              </w:rPr>
            </w:pPr>
            <w:r>
              <w:rPr>
                <w:rFonts w:asciiTheme="majorHAnsi" w:eastAsia="Times New Roman" w:hAnsiTheme="majorHAnsi" w:cstheme="majorHAnsi"/>
                <w:b/>
                <w:bCs/>
                <w:color w:val="000000" w:themeColor="text1"/>
                <w:sz w:val="20"/>
                <w:szCs w:val="20"/>
                <w:lang w:val="en-US" w:eastAsia="el-GR"/>
              </w:rPr>
              <w:t xml:space="preserve">- </w:t>
            </w:r>
            <w:r w:rsidR="009568A3" w:rsidRPr="0068129F">
              <w:rPr>
                <w:rFonts w:asciiTheme="majorHAnsi" w:eastAsia="Times New Roman" w:hAnsiTheme="majorHAnsi" w:cstheme="majorHAnsi"/>
                <w:b/>
                <w:bCs/>
                <w:color w:val="000000" w:themeColor="text1"/>
                <w:sz w:val="20"/>
                <w:szCs w:val="20"/>
                <w:lang w:eastAsia="el-GR"/>
              </w:rPr>
              <w:t>0,9 π.μ.</w:t>
            </w:r>
          </w:p>
        </w:tc>
      </w:tr>
      <w:tr w:rsidR="0039276D" w:rsidRPr="009568A3" w14:paraId="5D427B06" w14:textId="77777777" w:rsidTr="00E14FC9">
        <w:trPr>
          <w:trHeight w:val="471"/>
        </w:trPr>
        <w:tc>
          <w:tcPr>
            <w:tcW w:w="2609" w:type="pct"/>
            <w:tcBorders>
              <w:top w:val="nil"/>
              <w:left w:val="nil"/>
              <w:bottom w:val="single" w:sz="12" w:space="0" w:color="4BAFE1"/>
              <w:right w:val="nil"/>
            </w:tcBorders>
            <w:shd w:val="clear" w:color="auto" w:fill="auto"/>
            <w:tcMar>
              <w:top w:w="15" w:type="dxa"/>
              <w:left w:w="283" w:type="dxa"/>
              <w:bottom w:w="0" w:type="dxa"/>
              <w:right w:w="15" w:type="dxa"/>
            </w:tcMar>
            <w:vAlign w:val="center"/>
            <w:hideMark/>
          </w:tcPr>
          <w:p w14:paraId="429D1D59" w14:textId="77777777" w:rsidR="009568A3" w:rsidRPr="009568A3" w:rsidRDefault="009568A3" w:rsidP="0039276D">
            <w:pPr>
              <w:spacing w:after="0" w:line="240" w:lineRule="auto"/>
              <w:textAlignment w:val="center"/>
              <w:rPr>
                <w:rFonts w:asciiTheme="majorHAnsi" w:eastAsia="Times New Roman" w:hAnsiTheme="majorHAnsi" w:cstheme="majorHAnsi"/>
                <w:sz w:val="20"/>
                <w:szCs w:val="20"/>
                <w:lang w:eastAsia="el-GR"/>
              </w:rPr>
            </w:pPr>
            <w:r w:rsidRPr="009568A3">
              <w:rPr>
                <w:rFonts w:asciiTheme="majorHAnsi" w:eastAsiaTheme="minorEastAsia" w:hAnsiTheme="majorHAnsi" w:cstheme="majorHAnsi"/>
                <w:b/>
                <w:bCs/>
                <w:color w:val="262626" w:themeColor="text1" w:themeTint="D9"/>
                <w:kern w:val="24"/>
                <w:sz w:val="20"/>
                <w:szCs w:val="20"/>
                <w:lang w:eastAsia="el-GR"/>
              </w:rPr>
              <w:t>Περιθώριο Κέρδους προ Φόρων</w:t>
            </w:r>
          </w:p>
        </w:tc>
        <w:tc>
          <w:tcPr>
            <w:tcW w:w="724" w:type="pct"/>
            <w:tcBorders>
              <w:top w:val="nil"/>
              <w:left w:val="nil"/>
              <w:bottom w:val="single" w:sz="12" w:space="0" w:color="4BAFE1"/>
              <w:right w:val="nil"/>
            </w:tcBorders>
            <w:shd w:val="clear" w:color="auto" w:fill="auto"/>
            <w:tcMar>
              <w:top w:w="15" w:type="dxa"/>
              <w:left w:w="15" w:type="dxa"/>
              <w:bottom w:w="0" w:type="dxa"/>
              <w:right w:w="15" w:type="dxa"/>
            </w:tcMar>
            <w:vAlign w:val="center"/>
            <w:hideMark/>
          </w:tcPr>
          <w:p w14:paraId="207BA804"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b/>
                <w:bCs/>
                <w:color w:val="262626"/>
                <w:sz w:val="20"/>
                <w:szCs w:val="20"/>
                <w:lang w:eastAsia="el-GR"/>
              </w:rPr>
              <w:t>8,5%</w:t>
            </w:r>
          </w:p>
        </w:tc>
        <w:tc>
          <w:tcPr>
            <w:tcW w:w="797" w:type="pct"/>
            <w:tcBorders>
              <w:top w:val="nil"/>
              <w:left w:val="nil"/>
              <w:bottom w:val="single" w:sz="12" w:space="0" w:color="4BAFE1"/>
              <w:right w:val="nil"/>
            </w:tcBorders>
            <w:shd w:val="clear" w:color="auto" w:fill="auto"/>
            <w:tcMar>
              <w:top w:w="15" w:type="dxa"/>
              <w:left w:w="15" w:type="dxa"/>
              <w:bottom w:w="0" w:type="dxa"/>
              <w:right w:w="15" w:type="dxa"/>
            </w:tcMar>
            <w:vAlign w:val="center"/>
            <w:hideMark/>
          </w:tcPr>
          <w:p w14:paraId="42E95C46" w14:textId="77777777" w:rsidR="009568A3" w:rsidRPr="009568A3" w:rsidRDefault="009568A3" w:rsidP="00141EE4">
            <w:pPr>
              <w:spacing w:after="0" w:line="240" w:lineRule="auto"/>
              <w:ind w:left="274"/>
              <w:jc w:val="center"/>
              <w:textAlignment w:val="center"/>
              <w:rPr>
                <w:rFonts w:asciiTheme="majorHAnsi" w:eastAsia="Times New Roman" w:hAnsiTheme="majorHAnsi" w:cstheme="majorHAnsi"/>
                <w:sz w:val="20"/>
                <w:szCs w:val="20"/>
                <w:lang w:eastAsia="el-GR"/>
              </w:rPr>
            </w:pPr>
            <w:r w:rsidRPr="009568A3">
              <w:rPr>
                <w:rFonts w:asciiTheme="majorHAnsi" w:eastAsia="Times New Roman" w:hAnsiTheme="majorHAnsi" w:cstheme="majorHAnsi"/>
                <w:b/>
                <w:bCs/>
                <w:color w:val="262626"/>
                <w:sz w:val="20"/>
                <w:szCs w:val="20"/>
                <w:lang w:eastAsia="el-GR"/>
              </w:rPr>
              <w:t>10,9%</w:t>
            </w:r>
          </w:p>
        </w:tc>
        <w:tc>
          <w:tcPr>
            <w:tcW w:w="870" w:type="pct"/>
            <w:tcBorders>
              <w:top w:val="nil"/>
              <w:left w:val="nil"/>
              <w:bottom w:val="single" w:sz="12" w:space="0" w:color="4BAFE1"/>
              <w:right w:val="nil"/>
            </w:tcBorders>
            <w:shd w:val="clear" w:color="auto" w:fill="auto"/>
            <w:tcMar>
              <w:top w:w="15" w:type="dxa"/>
              <w:left w:w="15" w:type="dxa"/>
              <w:bottom w:w="0" w:type="dxa"/>
              <w:right w:w="15" w:type="dxa"/>
            </w:tcMar>
            <w:vAlign w:val="center"/>
            <w:hideMark/>
          </w:tcPr>
          <w:p w14:paraId="0D85B376" w14:textId="651EF7E1" w:rsidR="009568A3" w:rsidRPr="0068129F" w:rsidRDefault="0068129F" w:rsidP="0039276D">
            <w:pPr>
              <w:spacing w:after="0" w:line="240" w:lineRule="auto"/>
              <w:jc w:val="center"/>
              <w:textAlignment w:val="center"/>
              <w:rPr>
                <w:rFonts w:asciiTheme="majorHAnsi" w:eastAsia="Times New Roman" w:hAnsiTheme="majorHAnsi" w:cstheme="majorHAnsi"/>
                <w:color w:val="000000" w:themeColor="text1"/>
                <w:sz w:val="20"/>
                <w:szCs w:val="20"/>
                <w:lang w:eastAsia="el-GR"/>
              </w:rPr>
            </w:pPr>
            <w:r>
              <w:rPr>
                <w:rFonts w:asciiTheme="majorHAnsi" w:eastAsia="Times New Roman" w:hAnsiTheme="majorHAnsi" w:cstheme="majorHAnsi"/>
                <w:b/>
                <w:bCs/>
                <w:color w:val="000000" w:themeColor="text1"/>
                <w:sz w:val="20"/>
                <w:szCs w:val="20"/>
                <w:lang w:val="en-US" w:eastAsia="el-GR"/>
              </w:rPr>
              <w:t xml:space="preserve">- </w:t>
            </w:r>
            <w:r w:rsidR="009568A3" w:rsidRPr="0068129F">
              <w:rPr>
                <w:rFonts w:asciiTheme="majorHAnsi" w:eastAsia="Times New Roman" w:hAnsiTheme="majorHAnsi" w:cstheme="majorHAnsi"/>
                <w:b/>
                <w:bCs/>
                <w:color w:val="000000" w:themeColor="text1"/>
                <w:sz w:val="20"/>
                <w:szCs w:val="20"/>
                <w:lang w:eastAsia="el-GR"/>
              </w:rPr>
              <w:t>2,4 π.μ.</w:t>
            </w:r>
          </w:p>
        </w:tc>
      </w:tr>
    </w:tbl>
    <w:p w14:paraId="12E43DDA" w14:textId="77777777" w:rsidR="009568A3" w:rsidRPr="00756DF8" w:rsidRDefault="009568A3" w:rsidP="00F87003">
      <w:pPr>
        <w:rPr>
          <w:rFonts w:asciiTheme="majorHAnsi" w:eastAsiaTheme="majorEastAsia" w:hAnsiTheme="majorHAnsi" w:cstheme="majorBidi"/>
          <w:sz w:val="24"/>
          <w:szCs w:val="24"/>
        </w:rPr>
      </w:pPr>
    </w:p>
    <w:p w14:paraId="44C9FEF7" w14:textId="6C4416E1" w:rsidR="00F87003" w:rsidRPr="0068129F" w:rsidRDefault="00F87003"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Η Ευρωπαϊκή Πίστη Α.Ε.Γ.Α συνεχίζει να αυξάνει το μερίδιο της στην Ελληνική Ασφαλιστική Αγορά, εκτιμώντας ότι κατέχει πλέον το </w:t>
      </w:r>
      <w:r w:rsidRPr="00756DF8">
        <w:rPr>
          <w:rFonts w:asciiTheme="majorHAnsi" w:eastAsiaTheme="majorEastAsia" w:hAnsiTheme="majorHAnsi" w:cstheme="majorBidi"/>
          <w:b/>
          <w:bCs/>
          <w:sz w:val="24"/>
          <w:szCs w:val="24"/>
        </w:rPr>
        <w:t>5,9%</w:t>
      </w:r>
      <w:r w:rsidRPr="00756DF8">
        <w:rPr>
          <w:rFonts w:asciiTheme="majorHAnsi" w:eastAsiaTheme="majorEastAsia" w:hAnsiTheme="majorHAnsi" w:cstheme="majorBidi"/>
          <w:sz w:val="24"/>
          <w:szCs w:val="24"/>
        </w:rPr>
        <w:t>. Παράλληλα, η Εταιρία παρουσιάζει ρυθμό ανάπτυξης ασφαλίστρων ύψους 4,0% στο εννεάμηνο του 2021</w:t>
      </w:r>
      <w:r w:rsidR="0068129F" w:rsidRPr="0068129F">
        <w:rPr>
          <w:rFonts w:asciiTheme="majorHAnsi" w:eastAsiaTheme="majorEastAsia" w:hAnsiTheme="majorHAnsi" w:cstheme="majorBidi"/>
          <w:sz w:val="24"/>
          <w:szCs w:val="24"/>
        </w:rPr>
        <w:t xml:space="preserve">, </w:t>
      </w:r>
      <w:r w:rsidR="0068129F">
        <w:rPr>
          <w:rFonts w:asciiTheme="majorHAnsi" w:eastAsiaTheme="majorEastAsia" w:hAnsiTheme="majorHAnsi" w:cstheme="majorBidi"/>
          <w:sz w:val="24"/>
          <w:szCs w:val="24"/>
        </w:rPr>
        <w:t>σε σχέση με το αντίστοιχο διάστημα του έτους 2020.</w:t>
      </w:r>
    </w:p>
    <w:p w14:paraId="14472239" w14:textId="25727AC8" w:rsidR="00F87003" w:rsidRPr="00756DF8" w:rsidRDefault="00E14FC9"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Αναφορικά με το</w:t>
      </w:r>
      <w:r w:rsidR="00F87003" w:rsidRPr="00756DF8">
        <w:rPr>
          <w:rFonts w:asciiTheme="majorHAnsi" w:eastAsiaTheme="majorEastAsia" w:hAnsiTheme="majorHAnsi" w:cstheme="majorBidi"/>
          <w:sz w:val="24"/>
          <w:szCs w:val="24"/>
        </w:rPr>
        <w:t xml:space="preserve"> </w:t>
      </w:r>
      <w:r w:rsidR="00F87003" w:rsidRPr="00756DF8">
        <w:rPr>
          <w:rFonts w:asciiTheme="majorHAnsi" w:eastAsiaTheme="majorEastAsia" w:hAnsiTheme="majorHAnsi" w:cstheme="majorBidi"/>
          <w:b/>
          <w:bCs/>
          <w:sz w:val="24"/>
          <w:szCs w:val="24"/>
        </w:rPr>
        <w:t>τρίτο τρίμηνο του 2021</w:t>
      </w:r>
      <w:r w:rsidR="00F87003" w:rsidRPr="00756DF8">
        <w:rPr>
          <w:rFonts w:asciiTheme="majorHAnsi" w:eastAsiaTheme="majorEastAsia" w:hAnsiTheme="majorHAnsi" w:cstheme="majorBidi"/>
          <w:sz w:val="24"/>
          <w:szCs w:val="24"/>
        </w:rPr>
        <w:t>, η Ευρωπαϊκή Πίστη Α.Ε.Γ.Α σημείωσε σημαντική δυναμική τόσο σε επίπεδο κύκλου εργασιών</w:t>
      </w:r>
      <w:r w:rsidR="004D500D">
        <w:rPr>
          <w:rFonts w:asciiTheme="majorHAnsi" w:eastAsiaTheme="majorEastAsia" w:hAnsiTheme="majorHAnsi" w:cstheme="majorBidi"/>
          <w:sz w:val="24"/>
          <w:szCs w:val="24"/>
        </w:rPr>
        <w:t>,</w:t>
      </w:r>
      <w:r w:rsidR="00F87003" w:rsidRPr="00756DF8">
        <w:rPr>
          <w:rFonts w:asciiTheme="majorHAnsi" w:eastAsiaTheme="majorEastAsia" w:hAnsiTheme="majorHAnsi" w:cstheme="majorBidi"/>
          <w:sz w:val="24"/>
          <w:szCs w:val="24"/>
        </w:rPr>
        <w:t xml:space="preserve"> όσο και σε επίπεδο κερδοφορίας.</w:t>
      </w:r>
    </w:p>
    <w:p w14:paraId="07F8AC0B" w14:textId="464DDA6A" w:rsidR="00F87003" w:rsidRPr="00756DF8" w:rsidRDefault="00F87003"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Πιο αναλυτικά, το τρίτο τρίμηνο </w:t>
      </w:r>
      <w:r w:rsidR="00896C06" w:rsidRPr="00756DF8">
        <w:rPr>
          <w:rFonts w:asciiTheme="majorHAnsi" w:eastAsiaTheme="majorEastAsia" w:hAnsiTheme="majorHAnsi" w:cstheme="majorBidi"/>
          <w:sz w:val="24"/>
          <w:szCs w:val="24"/>
        </w:rPr>
        <w:t>(</w:t>
      </w:r>
      <w:r w:rsidR="00896C06" w:rsidRPr="00756DF8">
        <w:rPr>
          <w:rFonts w:asciiTheme="majorHAnsi" w:eastAsiaTheme="majorEastAsia" w:hAnsiTheme="majorHAnsi" w:cstheme="majorBidi"/>
          <w:sz w:val="24"/>
          <w:szCs w:val="24"/>
          <w:lang w:val="en-US"/>
        </w:rPr>
        <w:t>Q</w:t>
      </w:r>
      <w:r w:rsidR="00896C06" w:rsidRPr="00756DF8">
        <w:rPr>
          <w:rFonts w:asciiTheme="majorHAnsi" w:eastAsiaTheme="majorEastAsia" w:hAnsiTheme="majorHAnsi" w:cstheme="majorBidi"/>
          <w:sz w:val="24"/>
          <w:szCs w:val="24"/>
        </w:rPr>
        <w:t xml:space="preserve">3) </w:t>
      </w:r>
      <w:r w:rsidRPr="00756DF8">
        <w:rPr>
          <w:rFonts w:asciiTheme="majorHAnsi" w:eastAsiaTheme="majorEastAsia" w:hAnsiTheme="majorHAnsi" w:cstheme="majorBidi"/>
          <w:sz w:val="24"/>
          <w:szCs w:val="24"/>
        </w:rPr>
        <w:t>του 2021:</w:t>
      </w:r>
    </w:p>
    <w:p w14:paraId="69ECD279" w14:textId="157235F7" w:rsidR="00F87003" w:rsidRPr="00756DF8" w:rsidRDefault="00F87003" w:rsidP="00D05996">
      <w:pPr>
        <w:pStyle w:val="a6"/>
        <w:numPr>
          <w:ilvl w:val="0"/>
          <w:numId w:val="3"/>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w:t>
      </w:r>
      <w:r w:rsidRPr="00756DF8">
        <w:rPr>
          <w:rFonts w:asciiTheme="majorHAnsi" w:eastAsiaTheme="majorEastAsia" w:hAnsiTheme="majorHAnsi" w:cstheme="majorBidi"/>
          <w:b/>
          <w:bCs/>
          <w:sz w:val="24"/>
          <w:szCs w:val="24"/>
        </w:rPr>
        <w:t xml:space="preserve">Εγγεγραμμένα Ασφάλιστρα και συναφή έσοδα </w:t>
      </w:r>
      <w:r w:rsidRPr="00756DF8">
        <w:rPr>
          <w:rFonts w:asciiTheme="majorHAnsi" w:eastAsiaTheme="majorEastAsia" w:hAnsiTheme="majorHAnsi" w:cstheme="majorBidi"/>
          <w:sz w:val="24"/>
          <w:szCs w:val="24"/>
        </w:rPr>
        <w:t>της Εταιρίας διαμορφώθηκαν στα 54,1 εκ. ευρώ</w:t>
      </w:r>
      <w:r w:rsidR="00BC05F0" w:rsidRPr="00756DF8">
        <w:rPr>
          <w:rFonts w:asciiTheme="majorHAnsi" w:eastAsiaTheme="majorEastAsia" w:hAnsiTheme="majorHAnsi" w:cstheme="majorBidi"/>
          <w:sz w:val="24"/>
          <w:szCs w:val="24"/>
        </w:rPr>
        <w:t xml:space="preserve"> στο </w:t>
      </w:r>
      <w:r w:rsidR="00BC05F0" w:rsidRPr="00756DF8">
        <w:rPr>
          <w:rFonts w:asciiTheme="majorHAnsi" w:eastAsiaTheme="majorEastAsia" w:hAnsiTheme="majorHAnsi" w:cstheme="majorBidi"/>
          <w:sz w:val="24"/>
          <w:szCs w:val="24"/>
          <w:lang w:val="en-US"/>
        </w:rPr>
        <w:t>Q</w:t>
      </w:r>
      <w:r w:rsidR="00BC05F0" w:rsidRPr="00756DF8">
        <w:rPr>
          <w:rFonts w:asciiTheme="majorHAnsi" w:eastAsiaTheme="majorEastAsia" w:hAnsiTheme="majorHAnsi" w:cstheme="majorBidi"/>
          <w:sz w:val="24"/>
          <w:szCs w:val="24"/>
        </w:rPr>
        <w:t>3 2021</w:t>
      </w:r>
      <w:r w:rsidR="00E14FC9" w:rsidRPr="00756DF8">
        <w:rPr>
          <w:rFonts w:asciiTheme="majorHAnsi" w:eastAsiaTheme="majorEastAsia" w:hAnsiTheme="majorHAnsi" w:cstheme="majorBidi"/>
          <w:sz w:val="24"/>
          <w:szCs w:val="24"/>
        </w:rPr>
        <w:t>,</w:t>
      </w:r>
      <w:r w:rsidRPr="00756DF8">
        <w:rPr>
          <w:rFonts w:asciiTheme="majorHAnsi" w:eastAsiaTheme="majorEastAsia" w:hAnsiTheme="majorHAnsi" w:cstheme="majorBidi"/>
          <w:sz w:val="24"/>
          <w:szCs w:val="24"/>
        </w:rPr>
        <w:t xml:space="preserve"> έναντι 54,3 εκ. ευρώ </w:t>
      </w:r>
      <w:r w:rsidR="00BC05F0" w:rsidRPr="00756DF8">
        <w:rPr>
          <w:rFonts w:asciiTheme="majorHAnsi" w:eastAsiaTheme="majorEastAsia" w:hAnsiTheme="majorHAnsi" w:cstheme="majorBidi"/>
          <w:sz w:val="24"/>
          <w:szCs w:val="24"/>
        </w:rPr>
        <w:t xml:space="preserve">το </w:t>
      </w:r>
      <w:r w:rsidR="00BC05F0" w:rsidRPr="00756DF8">
        <w:rPr>
          <w:rFonts w:asciiTheme="majorHAnsi" w:eastAsiaTheme="majorEastAsia" w:hAnsiTheme="majorHAnsi" w:cstheme="majorBidi"/>
          <w:sz w:val="24"/>
          <w:szCs w:val="24"/>
          <w:lang w:val="en-US"/>
        </w:rPr>
        <w:t>Q</w:t>
      </w:r>
      <w:r w:rsidR="00BC05F0" w:rsidRPr="00756DF8">
        <w:rPr>
          <w:rFonts w:asciiTheme="majorHAnsi" w:eastAsiaTheme="majorEastAsia" w:hAnsiTheme="majorHAnsi" w:cstheme="majorBidi"/>
          <w:sz w:val="24"/>
          <w:szCs w:val="24"/>
        </w:rPr>
        <w:t>3 2020</w:t>
      </w:r>
      <w:r w:rsidRPr="00756DF8">
        <w:rPr>
          <w:rFonts w:asciiTheme="majorHAnsi" w:eastAsiaTheme="majorEastAsia" w:hAnsiTheme="majorHAnsi" w:cstheme="majorBidi"/>
          <w:sz w:val="24"/>
          <w:szCs w:val="24"/>
        </w:rPr>
        <w:t>, παρουσιάζοντας μείωση 0,4%</w:t>
      </w:r>
      <w:r w:rsidR="00BC05F0" w:rsidRPr="00756DF8">
        <w:rPr>
          <w:rFonts w:asciiTheme="majorHAnsi" w:eastAsiaTheme="majorEastAsia" w:hAnsiTheme="majorHAnsi" w:cstheme="majorBidi"/>
          <w:sz w:val="24"/>
          <w:szCs w:val="24"/>
        </w:rPr>
        <w:t xml:space="preserve">. Τα εν λόγω αποτελέσματα επηρεάστηκαν </w:t>
      </w:r>
      <w:r w:rsidR="004E3CE8" w:rsidRPr="00756DF8">
        <w:rPr>
          <w:rFonts w:asciiTheme="majorHAnsi" w:eastAsiaTheme="majorEastAsia" w:hAnsiTheme="majorHAnsi" w:cstheme="majorBidi"/>
          <w:sz w:val="24"/>
          <w:szCs w:val="24"/>
        </w:rPr>
        <w:t xml:space="preserve">κυρίως </w:t>
      </w:r>
      <w:r w:rsidR="00BC05F0" w:rsidRPr="00756DF8">
        <w:rPr>
          <w:rFonts w:asciiTheme="majorHAnsi" w:eastAsiaTheme="majorEastAsia" w:hAnsiTheme="majorHAnsi" w:cstheme="majorBidi"/>
          <w:sz w:val="24"/>
          <w:szCs w:val="24"/>
        </w:rPr>
        <w:t xml:space="preserve">από τη μείωση παραγωγής ασφαλίστρων ύψους 3,0% στον Κλάδο </w:t>
      </w:r>
      <w:r w:rsidR="004E3CE8" w:rsidRPr="00756DF8">
        <w:rPr>
          <w:rFonts w:asciiTheme="majorHAnsi" w:eastAsiaTheme="majorEastAsia" w:hAnsiTheme="majorHAnsi" w:cstheme="majorBidi"/>
          <w:sz w:val="24"/>
          <w:szCs w:val="24"/>
        </w:rPr>
        <w:t>Α</w:t>
      </w:r>
      <w:r w:rsidR="00BC05F0" w:rsidRPr="00756DF8">
        <w:rPr>
          <w:rFonts w:asciiTheme="majorHAnsi" w:eastAsiaTheme="majorEastAsia" w:hAnsiTheme="majorHAnsi" w:cstheme="majorBidi"/>
          <w:sz w:val="24"/>
          <w:szCs w:val="24"/>
        </w:rPr>
        <w:t>υτοκινήτων</w:t>
      </w:r>
      <w:r w:rsidR="004E3CE8" w:rsidRPr="00756DF8">
        <w:rPr>
          <w:rFonts w:asciiTheme="majorHAnsi" w:eastAsiaTheme="majorEastAsia" w:hAnsiTheme="majorHAnsi" w:cstheme="majorBidi"/>
          <w:sz w:val="24"/>
          <w:szCs w:val="24"/>
        </w:rPr>
        <w:t xml:space="preserve">, τα οποία ανήλθαν σε 24,9 εκ. ευρώ το </w:t>
      </w:r>
      <w:r w:rsidR="004E3CE8" w:rsidRPr="00756DF8">
        <w:rPr>
          <w:rFonts w:asciiTheme="majorHAnsi" w:eastAsiaTheme="majorEastAsia" w:hAnsiTheme="majorHAnsi" w:cstheme="majorBidi"/>
          <w:sz w:val="24"/>
          <w:szCs w:val="24"/>
          <w:lang w:val="en-US"/>
        </w:rPr>
        <w:t>Q</w:t>
      </w:r>
      <w:r w:rsidR="004E3CE8" w:rsidRPr="00756DF8">
        <w:rPr>
          <w:rFonts w:asciiTheme="majorHAnsi" w:eastAsiaTheme="majorEastAsia" w:hAnsiTheme="majorHAnsi" w:cstheme="majorBidi"/>
          <w:sz w:val="24"/>
          <w:szCs w:val="24"/>
        </w:rPr>
        <w:t xml:space="preserve">3 2021, έναντι 25,6 εκ. ευρώ το </w:t>
      </w:r>
      <w:r w:rsidR="004E3CE8" w:rsidRPr="00756DF8">
        <w:rPr>
          <w:rFonts w:asciiTheme="majorHAnsi" w:eastAsiaTheme="majorEastAsia" w:hAnsiTheme="majorHAnsi" w:cstheme="majorBidi"/>
          <w:sz w:val="24"/>
          <w:szCs w:val="24"/>
          <w:lang w:val="en-US"/>
        </w:rPr>
        <w:t>Q</w:t>
      </w:r>
      <w:r w:rsidR="004E3CE8" w:rsidRPr="00756DF8">
        <w:rPr>
          <w:rFonts w:asciiTheme="majorHAnsi" w:eastAsiaTheme="majorEastAsia" w:hAnsiTheme="majorHAnsi" w:cstheme="majorBidi"/>
          <w:sz w:val="24"/>
          <w:szCs w:val="24"/>
        </w:rPr>
        <w:t xml:space="preserve">3 2020 και από την αύξηση </w:t>
      </w:r>
      <w:r w:rsidR="007F2734" w:rsidRPr="00756DF8">
        <w:rPr>
          <w:rFonts w:asciiTheme="majorHAnsi" w:eastAsiaTheme="majorEastAsia" w:hAnsiTheme="majorHAnsi" w:cstheme="majorBidi"/>
          <w:sz w:val="24"/>
          <w:szCs w:val="24"/>
        </w:rPr>
        <w:t>της</w:t>
      </w:r>
      <w:r w:rsidR="004E3CE8" w:rsidRPr="00756DF8">
        <w:rPr>
          <w:rFonts w:asciiTheme="majorHAnsi" w:eastAsiaTheme="majorEastAsia" w:hAnsiTheme="majorHAnsi" w:cstheme="majorBidi"/>
          <w:sz w:val="24"/>
          <w:szCs w:val="24"/>
        </w:rPr>
        <w:t xml:space="preserve"> παραγωγή</w:t>
      </w:r>
      <w:r w:rsidR="007F2734" w:rsidRPr="00756DF8">
        <w:rPr>
          <w:rFonts w:asciiTheme="majorHAnsi" w:eastAsiaTheme="majorEastAsia" w:hAnsiTheme="majorHAnsi" w:cstheme="majorBidi"/>
          <w:sz w:val="24"/>
          <w:szCs w:val="24"/>
        </w:rPr>
        <w:t>ς</w:t>
      </w:r>
      <w:r w:rsidR="004E3CE8" w:rsidRPr="00756DF8">
        <w:rPr>
          <w:rFonts w:asciiTheme="majorHAnsi" w:eastAsiaTheme="majorEastAsia" w:hAnsiTheme="majorHAnsi" w:cstheme="majorBidi"/>
          <w:sz w:val="24"/>
          <w:szCs w:val="24"/>
        </w:rPr>
        <w:t xml:space="preserve"> ασφαλίστρων </w:t>
      </w:r>
      <w:r w:rsidR="007F2734" w:rsidRPr="00756DF8">
        <w:rPr>
          <w:rFonts w:asciiTheme="majorHAnsi" w:eastAsiaTheme="majorEastAsia" w:hAnsiTheme="majorHAnsi" w:cstheme="majorBidi"/>
          <w:sz w:val="24"/>
          <w:szCs w:val="24"/>
        </w:rPr>
        <w:t>των Λοιπών Γενικών Κλάδων</w:t>
      </w:r>
      <w:r w:rsidR="004E3CE8" w:rsidRPr="00756DF8">
        <w:rPr>
          <w:rFonts w:asciiTheme="majorHAnsi" w:eastAsiaTheme="majorEastAsia" w:hAnsiTheme="majorHAnsi" w:cstheme="majorBidi"/>
          <w:sz w:val="24"/>
          <w:szCs w:val="24"/>
        </w:rPr>
        <w:t xml:space="preserve"> καθώς και </w:t>
      </w:r>
      <w:r w:rsidR="007F2734" w:rsidRPr="00756DF8">
        <w:rPr>
          <w:rFonts w:asciiTheme="majorHAnsi" w:eastAsiaTheme="majorEastAsia" w:hAnsiTheme="majorHAnsi" w:cstheme="majorBidi"/>
          <w:sz w:val="24"/>
          <w:szCs w:val="24"/>
        </w:rPr>
        <w:t>του</w:t>
      </w:r>
      <w:r w:rsidR="004E3CE8" w:rsidRPr="00756DF8">
        <w:rPr>
          <w:rFonts w:asciiTheme="majorHAnsi" w:eastAsiaTheme="majorEastAsia" w:hAnsiTheme="majorHAnsi" w:cstheme="majorBidi"/>
          <w:sz w:val="24"/>
          <w:szCs w:val="24"/>
        </w:rPr>
        <w:t xml:space="preserve"> Κλάδο</w:t>
      </w:r>
      <w:r w:rsidR="007F2734" w:rsidRPr="00756DF8">
        <w:rPr>
          <w:rFonts w:asciiTheme="majorHAnsi" w:eastAsiaTheme="majorEastAsia" w:hAnsiTheme="majorHAnsi" w:cstheme="majorBidi"/>
          <w:sz w:val="24"/>
          <w:szCs w:val="24"/>
        </w:rPr>
        <w:t>υ</w:t>
      </w:r>
      <w:r w:rsidR="004E3CE8" w:rsidRPr="00756DF8">
        <w:rPr>
          <w:rFonts w:asciiTheme="majorHAnsi" w:eastAsiaTheme="majorEastAsia" w:hAnsiTheme="majorHAnsi" w:cstheme="majorBidi"/>
          <w:sz w:val="24"/>
          <w:szCs w:val="24"/>
        </w:rPr>
        <w:t xml:space="preserve"> Ζωής</w:t>
      </w:r>
      <w:r w:rsidR="004D500D">
        <w:rPr>
          <w:rFonts w:asciiTheme="majorHAnsi" w:eastAsiaTheme="majorEastAsia" w:hAnsiTheme="majorHAnsi" w:cstheme="majorBidi"/>
          <w:sz w:val="24"/>
          <w:szCs w:val="24"/>
        </w:rPr>
        <w:t>,</w:t>
      </w:r>
      <w:r w:rsidR="004E3CE8" w:rsidRPr="00756DF8">
        <w:rPr>
          <w:rFonts w:asciiTheme="majorHAnsi" w:eastAsiaTheme="majorEastAsia" w:hAnsiTheme="majorHAnsi" w:cstheme="majorBidi"/>
          <w:sz w:val="24"/>
          <w:szCs w:val="24"/>
        </w:rPr>
        <w:t xml:space="preserve"> ύψους 5,1% και 0,1% αντίστοιχα.</w:t>
      </w:r>
    </w:p>
    <w:p w14:paraId="3D5359CD" w14:textId="598D1461" w:rsidR="00F87003" w:rsidRPr="00756DF8" w:rsidRDefault="00F87003" w:rsidP="00D05996">
      <w:pPr>
        <w:pStyle w:val="a6"/>
        <w:numPr>
          <w:ilvl w:val="0"/>
          <w:numId w:val="3"/>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w:t>
      </w:r>
      <w:r w:rsidRPr="00756DF8">
        <w:rPr>
          <w:rFonts w:asciiTheme="majorHAnsi" w:eastAsiaTheme="majorEastAsia" w:hAnsiTheme="majorHAnsi" w:cstheme="majorBidi"/>
          <w:b/>
          <w:bCs/>
          <w:sz w:val="24"/>
          <w:szCs w:val="24"/>
        </w:rPr>
        <w:t>Έσοδα Επενδύσεων &amp; Λοιπά Έσοδα</w:t>
      </w:r>
      <w:r w:rsidRPr="00756DF8">
        <w:rPr>
          <w:rFonts w:asciiTheme="majorHAnsi" w:eastAsiaTheme="majorEastAsia" w:hAnsiTheme="majorHAnsi" w:cstheme="majorBidi"/>
          <w:sz w:val="24"/>
          <w:szCs w:val="24"/>
        </w:rPr>
        <w:t xml:space="preserve"> ανήλθαν στα </w:t>
      </w:r>
      <w:r w:rsidR="008A2D4B" w:rsidRPr="00756DF8">
        <w:rPr>
          <w:rFonts w:asciiTheme="majorHAnsi" w:eastAsiaTheme="majorEastAsia" w:hAnsiTheme="majorHAnsi" w:cstheme="majorBidi"/>
          <w:sz w:val="24"/>
          <w:szCs w:val="24"/>
        </w:rPr>
        <w:t xml:space="preserve">3,0 </w:t>
      </w:r>
      <w:r w:rsidRPr="00756DF8">
        <w:rPr>
          <w:rFonts w:asciiTheme="majorHAnsi" w:eastAsiaTheme="majorEastAsia" w:hAnsiTheme="majorHAnsi" w:cstheme="majorBidi"/>
          <w:sz w:val="24"/>
          <w:szCs w:val="24"/>
        </w:rPr>
        <w:t>εκ. ευρώ</w:t>
      </w:r>
      <w:r w:rsidR="004D500D">
        <w:rPr>
          <w:rFonts w:asciiTheme="majorHAnsi" w:eastAsiaTheme="majorEastAsia" w:hAnsiTheme="majorHAnsi" w:cstheme="majorBidi"/>
          <w:sz w:val="24"/>
          <w:szCs w:val="24"/>
        </w:rPr>
        <w:t>,</w:t>
      </w:r>
      <w:r w:rsidRPr="00756DF8">
        <w:rPr>
          <w:rFonts w:asciiTheme="majorHAnsi" w:eastAsiaTheme="majorEastAsia" w:hAnsiTheme="majorHAnsi" w:cstheme="majorBidi"/>
          <w:sz w:val="24"/>
          <w:szCs w:val="24"/>
        </w:rPr>
        <w:t xml:space="preserve"> έναντι 2,</w:t>
      </w:r>
      <w:r w:rsidR="008A2D4B" w:rsidRPr="00756DF8">
        <w:rPr>
          <w:rFonts w:asciiTheme="majorHAnsi" w:eastAsiaTheme="majorEastAsia" w:hAnsiTheme="majorHAnsi" w:cstheme="majorBidi"/>
          <w:sz w:val="24"/>
          <w:szCs w:val="24"/>
        </w:rPr>
        <w:t>3</w:t>
      </w:r>
      <w:r w:rsidRPr="00756DF8">
        <w:rPr>
          <w:rFonts w:asciiTheme="majorHAnsi" w:eastAsiaTheme="majorEastAsia" w:hAnsiTheme="majorHAnsi" w:cstheme="majorBidi"/>
          <w:sz w:val="24"/>
          <w:szCs w:val="24"/>
        </w:rPr>
        <w:t xml:space="preserve"> εκ. ευρώ την αντίστοιχη περσινή περίοδο, σημειώνοντας αύξηση ύψους 31,</w:t>
      </w:r>
      <w:r w:rsidR="008A2D4B" w:rsidRPr="00756DF8">
        <w:rPr>
          <w:rFonts w:asciiTheme="majorHAnsi" w:eastAsiaTheme="majorEastAsia" w:hAnsiTheme="majorHAnsi" w:cstheme="majorBidi"/>
          <w:sz w:val="24"/>
          <w:szCs w:val="24"/>
        </w:rPr>
        <w:t>2</w:t>
      </w:r>
      <w:r w:rsidRPr="00756DF8">
        <w:rPr>
          <w:rFonts w:asciiTheme="majorHAnsi" w:eastAsiaTheme="majorEastAsia" w:hAnsiTheme="majorHAnsi" w:cstheme="majorBidi"/>
          <w:sz w:val="24"/>
          <w:szCs w:val="24"/>
        </w:rPr>
        <w:t>%.</w:t>
      </w:r>
    </w:p>
    <w:p w14:paraId="41A8F240" w14:textId="5E71A96C" w:rsidR="00F87003" w:rsidRDefault="00F87003" w:rsidP="00D05996">
      <w:pPr>
        <w:pStyle w:val="a6"/>
        <w:numPr>
          <w:ilvl w:val="0"/>
          <w:numId w:val="3"/>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Τα </w:t>
      </w:r>
      <w:r w:rsidRPr="00756DF8">
        <w:rPr>
          <w:rFonts w:asciiTheme="majorHAnsi" w:eastAsiaTheme="majorEastAsia" w:hAnsiTheme="majorHAnsi" w:cstheme="majorBidi"/>
          <w:b/>
          <w:bCs/>
          <w:sz w:val="24"/>
          <w:szCs w:val="24"/>
        </w:rPr>
        <w:t xml:space="preserve">Κέρδη προ Φόρων </w:t>
      </w:r>
      <w:r w:rsidRPr="00756DF8">
        <w:rPr>
          <w:rFonts w:asciiTheme="majorHAnsi" w:eastAsiaTheme="majorEastAsia" w:hAnsiTheme="majorHAnsi" w:cstheme="majorBidi"/>
          <w:sz w:val="24"/>
          <w:szCs w:val="24"/>
        </w:rPr>
        <w:t>κατέγραψαν υψηλή αύξηση το τρίτο τρίμηνο του 2021 ύψους 56,0% και διαμορφώθηκαν στα 7,</w:t>
      </w:r>
      <w:r w:rsidR="008A2D4B" w:rsidRPr="00756DF8">
        <w:rPr>
          <w:rFonts w:asciiTheme="majorHAnsi" w:eastAsiaTheme="majorEastAsia" w:hAnsiTheme="majorHAnsi" w:cstheme="majorBidi"/>
          <w:sz w:val="24"/>
          <w:szCs w:val="24"/>
        </w:rPr>
        <w:t>9</w:t>
      </w:r>
      <w:r w:rsidRPr="00756DF8">
        <w:rPr>
          <w:rFonts w:asciiTheme="majorHAnsi" w:eastAsiaTheme="majorEastAsia" w:hAnsiTheme="majorHAnsi" w:cstheme="majorBidi"/>
          <w:sz w:val="24"/>
          <w:szCs w:val="24"/>
        </w:rPr>
        <w:t xml:space="preserve"> εκ. ευρώ σε σχέση με την αντίστοιχη περσινή περίοδο</w:t>
      </w:r>
      <w:r w:rsidR="008A2D4B" w:rsidRPr="00756DF8">
        <w:rPr>
          <w:rFonts w:asciiTheme="majorHAnsi" w:eastAsiaTheme="majorEastAsia" w:hAnsiTheme="majorHAnsi" w:cstheme="majorBidi"/>
          <w:sz w:val="24"/>
          <w:szCs w:val="24"/>
        </w:rPr>
        <w:t>,</w:t>
      </w:r>
      <w:r w:rsidRPr="00756DF8">
        <w:rPr>
          <w:rFonts w:asciiTheme="majorHAnsi" w:eastAsiaTheme="majorEastAsia" w:hAnsiTheme="majorHAnsi" w:cstheme="majorBidi"/>
          <w:sz w:val="24"/>
          <w:szCs w:val="24"/>
        </w:rPr>
        <w:t xml:space="preserve"> </w:t>
      </w:r>
      <w:r w:rsidR="008A2D4B" w:rsidRPr="00756DF8">
        <w:rPr>
          <w:rFonts w:asciiTheme="majorHAnsi" w:eastAsiaTheme="majorEastAsia" w:hAnsiTheme="majorHAnsi" w:cstheme="majorBidi"/>
          <w:sz w:val="24"/>
          <w:szCs w:val="24"/>
        </w:rPr>
        <w:t>ό</w:t>
      </w:r>
      <w:r w:rsidRPr="00756DF8">
        <w:rPr>
          <w:rFonts w:asciiTheme="majorHAnsi" w:eastAsiaTheme="majorEastAsia" w:hAnsiTheme="majorHAnsi" w:cstheme="majorBidi"/>
          <w:sz w:val="24"/>
          <w:szCs w:val="24"/>
        </w:rPr>
        <w:t>που ανήλθαν στα 5,</w:t>
      </w:r>
      <w:r w:rsidR="008A2D4B" w:rsidRPr="00756DF8">
        <w:rPr>
          <w:rFonts w:asciiTheme="majorHAnsi" w:eastAsiaTheme="majorEastAsia" w:hAnsiTheme="majorHAnsi" w:cstheme="majorBidi"/>
          <w:sz w:val="24"/>
          <w:szCs w:val="24"/>
        </w:rPr>
        <w:t>1</w:t>
      </w:r>
      <w:r w:rsidRPr="00756DF8">
        <w:rPr>
          <w:rFonts w:asciiTheme="majorHAnsi" w:eastAsiaTheme="majorEastAsia" w:hAnsiTheme="majorHAnsi" w:cstheme="majorBidi"/>
          <w:sz w:val="24"/>
          <w:szCs w:val="24"/>
        </w:rPr>
        <w:t xml:space="preserve"> εκ. ευρώ.</w:t>
      </w:r>
    </w:p>
    <w:p w14:paraId="3DF65401" w14:textId="3546552E" w:rsidR="003635D4" w:rsidRDefault="003635D4" w:rsidP="003635D4">
      <w:pPr>
        <w:jc w:val="both"/>
        <w:rPr>
          <w:rFonts w:asciiTheme="majorHAnsi" w:eastAsiaTheme="majorEastAsia" w:hAnsiTheme="majorHAnsi" w:cstheme="majorBidi"/>
          <w:sz w:val="24"/>
          <w:szCs w:val="24"/>
        </w:rPr>
      </w:pPr>
    </w:p>
    <w:p w14:paraId="663E9A27" w14:textId="0AACBF36" w:rsidR="003635D4" w:rsidRDefault="003635D4" w:rsidP="003635D4">
      <w:pPr>
        <w:jc w:val="both"/>
        <w:rPr>
          <w:rFonts w:asciiTheme="majorHAnsi" w:eastAsiaTheme="majorEastAsia" w:hAnsiTheme="majorHAnsi" w:cstheme="majorBidi"/>
          <w:sz w:val="24"/>
          <w:szCs w:val="24"/>
        </w:rPr>
      </w:pPr>
    </w:p>
    <w:p w14:paraId="20302375" w14:textId="71CCF2C1" w:rsidR="003635D4" w:rsidRDefault="003635D4" w:rsidP="003635D4">
      <w:pPr>
        <w:jc w:val="both"/>
        <w:rPr>
          <w:rFonts w:asciiTheme="majorHAnsi" w:eastAsiaTheme="majorEastAsia" w:hAnsiTheme="majorHAnsi" w:cstheme="majorBidi"/>
          <w:sz w:val="24"/>
          <w:szCs w:val="24"/>
        </w:rPr>
      </w:pPr>
    </w:p>
    <w:p w14:paraId="5E89B93E" w14:textId="77777777" w:rsidR="003635D4" w:rsidRPr="003635D4" w:rsidRDefault="003635D4" w:rsidP="003635D4">
      <w:pPr>
        <w:jc w:val="both"/>
        <w:rPr>
          <w:rFonts w:asciiTheme="majorHAnsi" w:eastAsiaTheme="majorEastAsia" w:hAnsiTheme="majorHAnsi" w:cstheme="majorBidi"/>
          <w:sz w:val="24"/>
          <w:szCs w:val="24"/>
        </w:rPr>
      </w:pPr>
    </w:p>
    <w:p w14:paraId="51908FEC" w14:textId="5C0B831D" w:rsidR="00652CF2" w:rsidRPr="00756DF8" w:rsidRDefault="00652CF2" w:rsidP="00D05996">
      <w:pPr>
        <w:jc w:val="both"/>
        <w:rPr>
          <w:rFonts w:asciiTheme="majorHAnsi" w:eastAsiaTheme="majorEastAsia" w:hAnsiTheme="majorHAnsi" w:cstheme="majorBidi"/>
        </w:rPr>
      </w:pPr>
      <w:r w:rsidRPr="00756DF8">
        <w:rPr>
          <w:rFonts w:ascii="72 Black" w:eastAsiaTheme="majorEastAsia" w:hAnsi="72 Black" w:cs="72 Black"/>
        </w:rPr>
        <w:t>Σημαντικά γεγονότα περιόδου</w:t>
      </w:r>
      <w:r w:rsidR="00763B04">
        <w:rPr>
          <w:rFonts w:ascii="72 Black" w:eastAsiaTheme="majorEastAsia" w:hAnsi="72 Black" w:cs="72 Black"/>
        </w:rPr>
        <w:t>: Εννεάμηνο 2021</w:t>
      </w:r>
    </w:p>
    <w:p w14:paraId="3A22AD95" w14:textId="77777777"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Διεύρυνση μεριδίου αγοράς στον </w:t>
      </w:r>
      <w:r w:rsidRPr="00756DF8">
        <w:rPr>
          <w:rFonts w:asciiTheme="majorHAnsi" w:eastAsiaTheme="majorEastAsia" w:hAnsiTheme="majorHAnsi" w:cstheme="majorBidi"/>
          <w:b/>
          <w:bCs/>
          <w:sz w:val="24"/>
          <w:szCs w:val="24"/>
        </w:rPr>
        <w:t>Κλάδο Ζωής</w:t>
      </w:r>
      <w:r w:rsidRPr="00756DF8">
        <w:rPr>
          <w:rFonts w:asciiTheme="majorHAnsi" w:eastAsiaTheme="majorEastAsia" w:hAnsiTheme="majorHAnsi" w:cstheme="majorBidi"/>
          <w:sz w:val="24"/>
          <w:szCs w:val="24"/>
        </w:rPr>
        <w:t xml:space="preserve">, η οποία εκτιμάται στο </w:t>
      </w:r>
      <w:r w:rsidRPr="00756DF8">
        <w:rPr>
          <w:rFonts w:asciiTheme="majorHAnsi" w:eastAsiaTheme="majorEastAsia" w:hAnsiTheme="majorHAnsi" w:cstheme="majorBidi"/>
          <w:b/>
          <w:bCs/>
          <w:sz w:val="24"/>
          <w:szCs w:val="24"/>
        </w:rPr>
        <w:t>3,9%,</w:t>
      </w:r>
      <w:r w:rsidRPr="00756DF8">
        <w:rPr>
          <w:rFonts w:asciiTheme="majorHAnsi" w:eastAsiaTheme="majorEastAsia" w:hAnsiTheme="majorHAnsi" w:cstheme="majorBidi"/>
          <w:sz w:val="24"/>
          <w:szCs w:val="24"/>
        </w:rPr>
        <w:t xml:space="preserve"> ενώ στον </w:t>
      </w:r>
      <w:r w:rsidRPr="00756DF8">
        <w:rPr>
          <w:rFonts w:asciiTheme="majorHAnsi" w:eastAsiaTheme="majorEastAsia" w:hAnsiTheme="majorHAnsi" w:cstheme="majorBidi"/>
          <w:b/>
          <w:bCs/>
          <w:sz w:val="24"/>
          <w:szCs w:val="24"/>
        </w:rPr>
        <w:t>Κλάδο Ζημιών</w:t>
      </w:r>
      <w:r w:rsidRPr="00756DF8">
        <w:rPr>
          <w:rFonts w:asciiTheme="majorHAnsi" w:eastAsiaTheme="majorEastAsia" w:hAnsiTheme="majorHAnsi" w:cstheme="majorBidi"/>
          <w:sz w:val="24"/>
          <w:szCs w:val="24"/>
        </w:rPr>
        <w:t xml:space="preserve"> εκτιμάται στο </w:t>
      </w:r>
      <w:r w:rsidRPr="00756DF8">
        <w:rPr>
          <w:rFonts w:asciiTheme="majorHAnsi" w:eastAsiaTheme="majorEastAsia" w:hAnsiTheme="majorHAnsi" w:cstheme="majorBidi"/>
          <w:b/>
          <w:bCs/>
          <w:sz w:val="24"/>
          <w:szCs w:val="24"/>
        </w:rPr>
        <w:t>6,7%</w:t>
      </w:r>
      <w:r w:rsidRPr="00756DF8">
        <w:rPr>
          <w:rFonts w:asciiTheme="majorHAnsi" w:eastAsiaTheme="majorEastAsia" w:hAnsiTheme="majorHAnsi" w:cstheme="majorBidi"/>
          <w:sz w:val="24"/>
          <w:szCs w:val="24"/>
        </w:rPr>
        <w:t>.</w:t>
      </w:r>
    </w:p>
    <w:p w14:paraId="00EAD1A9" w14:textId="77777777"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Ανάπτυξη </w:t>
      </w:r>
      <w:r w:rsidRPr="00756DF8">
        <w:rPr>
          <w:rFonts w:asciiTheme="majorHAnsi" w:eastAsiaTheme="majorEastAsia" w:hAnsiTheme="majorHAnsi" w:cstheme="majorBidi"/>
          <w:b/>
          <w:bCs/>
          <w:sz w:val="24"/>
          <w:szCs w:val="24"/>
        </w:rPr>
        <w:t>δύο νέων καινοτόμων προϊόντων</w:t>
      </w:r>
      <w:r w:rsidRPr="00756DF8">
        <w:rPr>
          <w:rFonts w:asciiTheme="majorHAnsi" w:eastAsiaTheme="majorEastAsia" w:hAnsiTheme="majorHAnsi" w:cstheme="majorBidi"/>
          <w:sz w:val="24"/>
          <w:szCs w:val="24"/>
        </w:rPr>
        <w:t xml:space="preserve"> στους Γενικούς Κλάδους και στις Ομαδικές Ασφαλίσεις Ζωής. </w:t>
      </w:r>
    </w:p>
    <w:p w14:paraId="06508552" w14:textId="4B584ED6"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Διανομή μερίσματος ύψους </w:t>
      </w:r>
      <w:r w:rsidRPr="00756DF8">
        <w:rPr>
          <w:rFonts w:asciiTheme="majorHAnsi" w:eastAsiaTheme="majorEastAsia" w:hAnsiTheme="majorHAnsi" w:cstheme="majorBidi"/>
          <w:b/>
          <w:bCs/>
          <w:sz w:val="24"/>
          <w:szCs w:val="24"/>
        </w:rPr>
        <w:t>€</w:t>
      </w:r>
      <w:r w:rsidR="004954A7" w:rsidRPr="00756DF8">
        <w:rPr>
          <w:rFonts w:asciiTheme="majorHAnsi" w:eastAsiaTheme="majorEastAsia" w:hAnsiTheme="majorHAnsi" w:cstheme="majorBidi"/>
          <w:b/>
          <w:bCs/>
          <w:sz w:val="24"/>
          <w:szCs w:val="24"/>
        </w:rPr>
        <w:t xml:space="preserve"> </w:t>
      </w:r>
      <w:r w:rsidRPr="00756DF8">
        <w:rPr>
          <w:rFonts w:asciiTheme="majorHAnsi" w:eastAsiaTheme="majorEastAsia" w:hAnsiTheme="majorHAnsi" w:cstheme="majorBidi"/>
          <w:b/>
          <w:bCs/>
          <w:sz w:val="24"/>
          <w:szCs w:val="24"/>
        </w:rPr>
        <w:t>0,30 ανά μετοχή</w:t>
      </w:r>
      <w:r w:rsidRPr="00756DF8">
        <w:rPr>
          <w:rFonts w:asciiTheme="majorHAnsi" w:eastAsiaTheme="majorEastAsia" w:hAnsiTheme="majorHAnsi" w:cstheme="majorBidi"/>
          <w:sz w:val="24"/>
          <w:szCs w:val="24"/>
        </w:rPr>
        <w:t>, η οποία αποφασίστηκε κατά τη Γενική Συνέλευση της 27</w:t>
      </w:r>
      <w:r w:rsidRPr="00756DF8">
        <w:rPr>
          <w:rFonts w:asciiTheme="majorHAnsi" w:eastAsiaTheme="majorEastAsia" w:hAnsiTheme="majorHAnsi" w:cstheme="majorBidi"/>
          <w:sz w:val="24"/>
          <w:szCs w:val="24"/>
          <w:vertAlign w:val="superscript"/>
        </w:rPr>
        <w:t>ης</w:t>
      </w:r>
      <w:r w:rsidRPr="00756DF8">
        <w:rPr>
          <w:rFonts w:asciiTheme="majorHAnsi" w:eastAsiaTheme="majorEastAsia" w:hAnsiTheme="majorHAnsi" w:cstheme="majorBidi"/>
          <w:sz w:val="24"/>
          <w:szCs w:val="24"/>
        </w:rPr>
        <w:t xml:space="preserve"> Απριλίου 2021. Η καταβολή μερίσματος ολοκληρώθηκε στις 11/05/2021.</w:t>
      </w:r>
    </w:p>
    <w:p w14:paraId="59647D76" w14:textId="51DF3403"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354A3C">
        <w:rPr>
          <w:rFonts w:asciiTheme="majorHAnsi" w:eastAsiaTheme="majorEastAsia" w:hAnsiTheme="majorHAnsi" w:cstheme="majorBidi"/>
          <w:b/>
          <w:bCs/>
          <w:sz w:val="24"/>
          <w:szCs w:val="24"/>
        </w:rPr>
        <w:t>Εκλογή νέου Δ.Σ.</w:t>
      </w:r>
      <w:r w:rsidRPr="00354A3C">
        <w:rPr>
          <w:rFonts w:asciiTheme="majorHAnsi" w:eastAsiaTheme="majorEastAsia" w:hAnsiTheme="majorHAnsi" w:cstheme="majorBidi"/>
          <w:sz w:val="24"/>
          <w:szCs w:val="24"/>
        </w:rPr>
        <w:t xml:space="preserve"> πλήρους εναρμονισμένου με τη </w:t>
      </w:r>
      <w:r w:rsidRPr="00354A3C">
        <w:rPr>
          <w:rFonts w:asciiTheme="majorHAnsi" w:eastAsiaTheme="majorEastAsia" w:hAnsiTheme="majorHAnsi" w:cstheme="majorBidi"/>
          <w:b/>
          <w:bCs/>
          <w:sz w:val="24"/>
          <w:szCs w:val="24"/>
        </w:rPr>
        <w:t>Νέα Νομοθεσία</w:t>
      </w:r>
      <w:r w:rsidRPr="00354A3C">
        <w:rPr>
          <w:rFonts w:asciiTheme="majorHAnsi" w:eastAsiaTheme="majorEastAsia" w:hAnsiTheme="majorHAnsi" w:cstheme="majorBidi"/>
          <w:sz w:val="24"/>
          <w:szCs w:val="24"/>
        </w:rPr>
        <w:t>, N.4706/2020, για την Εταιρική Διακυβέρνηση</w:t>
      </w:r>
      <w:r w:rsidR="004D500D">
        <w:rPr>
          <w:rFonts w:asciiTheme="majorHAnsi" w:eastAsiaTheme="majorEastAsia" w:hAnsiTheme="majorHAnsi" w:cstheme="majorBidi"/>
          <w:sz w:val="24"/>
          <w:szCs w:val="24"/>
        </w:rPr>
        <w:t xml:space="preserve"> εισηγμένων σε οργανωμένη αγορά εταιριών</w:t>
      </w:r>
      <w:r w:rsidRPr="00354A3C">
        <w:rPr>
          <w:rFonts w:asciiTheme="majorHAnsi" w:eastAsiaTheme="majorEastAsia" w:hAnsiTheme="majorHAnsi" w:cstheme="majorBidi"/>
          <w:sz w:val="24"/>
          <w:szCs w:val="24"/>
        </w:rPr>
        <w:t>.</w:t>
      </w:r>
    </w:p>
    <w:p w14:paraId="7A571B20" w14:textId="77777777"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354A3C">
        <w:rPr>
          <w:rFonts w:asciiTheme="majorHAnsi" w:eastAsiaTheme="majorEastAsia" w:hAnsiTheme="majorHAnsi" w:cstheme="majorBidi"/>
          <w:sz w:val="24"/>
          <w:szCs w:val="24"/>
        </w:rPr>
        <w:t xml:space="preserve">Ένταξη της Εταιρίας στο νέο </w:t>
      </w:r>
      <w:r w:rsidRPr="00354A3C">
        <w:rPr>
          <w:rFonts w:asciiTheme="majorHAnsi" w:eastAsiaTheme="majorEastAsia" w:hAnsiTheme="majorHAnsi" w:cstheme="majorBidi"/>
          <w:b/>
          <w:bCs/>
          <w:sz w:val="24"/>
          <w:szCs w:val="24"/>
        </w:rPr>
        <w:t xml:space="preserve">“Πράσινο” δείκτη ESG </w:t>
      </w:r>
      <w:r w:rsidRPr="00354A3C">
        <w:rPr>
          <w:rFonts w:asciiTheme="majorHAnsi" w:eastAsiaTheme="majorEastAsia" w:hAnsiTheme="majorHAnsi" w:cstheme="majorBidi"/>
          <w:sz w:val="24"/>
          <w:szCs w:val="24"/>
        </w:rPr>
        <w:t xml:space="preserve">του Χρηματιστηρίου Αθηνών. </w:t>
      </w:r>
    </w:p>
    <w:p w14:paraId="23D48311" w14:textId="1453AA4D"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354A3C">
        <w:rPr>
          <w:rFonts w:asciiTheme="majorHAnsi" w:eastAsiaTheme="majorEastAsia" w:hAnsiTheme="majorHAnsi" w:cstheme="majorBidi"/>
          <w:sz w:val="24"/>
          <w:szCs w:val="24"/>
        </w:rPr>
        <w:t xml:space="preserve">Υλοποίηση πολυάριθμων δράσεων </w:t>
      </w:r>
      <w:r w:rsidRPr="00354A3C">
        <w:rPr>
          <w:rFonts w:asciiTheme="majorHAnsi" w:eastAsiaTheme="majorEastAsia" w:hAnsiTheme="majorHAnsi" w:cstheme="majorBidi"/>
          <w:b/>
          <w:bCs/>
          <w:sz w:val="24"/>
          <w:szCs w:val="24"/>
        </w:rPr>
        <w:t>Εταιρικής και Κοινωνικής Ευθύνης</w:t>
      </w:r>
      <w:r w:rsidRPr="00354A3C">
        <w:rPr>
          <w:rFonts w:asciiTheme="majorHAnsi" w:eastAsiaTheme="majorEastAsia" w:hAnsiTheme="majorHAnsi" w:cstheme="majorBidi"/>
          <w:sz w:val="24"/>
          <w:szCs w:val="24"/>
        </w:rPr>
        <w:t xml:space="preserve"> (</w:t>
      </w:r>
      <w:r w:rsidRPr="00354A3C">
        <w:rPr>
          <w:rFonts w:asciiTheme="majorHAnsi" w:eastAsiaTheme="majorEastAsia" w:hAnsiTheme="majorHAnsi" w:cstheme="majorBidi"/>
          <w:b/>
          <w:bCs/>
          <w:sz w:val="24"/>
          <w:szCs w:val="24"/>
        </w:rPr>
        <w:t>36 δράσεις μέσα στο πρώτο εν</w:t>
      </w:r>
      <w:r w:rsidR="008B3096">
        <w:rPr>
          <w:rFonts w:asciiTheme="majorHAnsi" w:eastAsiaTheme="majorEastAsia" w:hAnsiTheme="majorHAnsi" w:cstheme="majorBidi"/>
          <w:b/>
          <w:bCs/>
          <w:sz w:val="24"/>
          <w:szCs w:val="24"/>
        </w:rPr>
        <w:t>ν</w:t>
      </w:r>
      <w:r w:rsidR="004D500D">
        <w:rPr>
          <w:rFonts w:asciiTheme="majorHAnsi" w:eastAsiaTheme="majorEastAsia" w:hAnsiTheme="majorHAnsi" w:cstheme="majorBidi"/>
          <w:b/>
          <w:bCs/>
          <w:sz w:val="24"/>
          <w:szCs w:val="24"/>
        </w:rPr>
        <w:t>ε</w:t>
      </w:r>
      <w:r w:rsidRPr="00354A3C">
        <w:rPr>
          <w:rFonts w:asciiTheme="majorHAnsi" w:eastAsiaTheme="majorEastAsia" w:hAnsiTheme="majorHAnsi" w:cstheme="majorBidi"/>
          <w:b/>
          <w:bCs/>
          <w:sz w:val="24"/>
          <w:szCs w:val="24"/>
        </w:rPr>
        <w:t>άμηνο 2021</w:t>
      </w:r>
      <w:r w:rsidRPr="00354A3C">
        <w:rPr>
          <w:rFonts w:asciiTheme="majorHAnsi" w:eastAsiaTheme="majorEastAsia" w:hAnsiTheme="majorHAnsi" w:cstheme="majorBidi"/>
          <w:sz w:val="24"/>
          <w:szCs w:val="24"/>
        </w:rPr>
        <w:t>) σε μια περίοδο υγειονομικής κρίσης και οικονομικής αβεβαιότητας</w:t>
      </w:r>
      <w:r w:rsidR="004D500D">
        <w:rPr>
          <w:rFonts w:asciiTheme="majorHAnsi" w:eastAsiaTheme="majorEastAsia" w:hAnsiTheme="majorHAnsi" w:cstheme="majorBidi"/>
          <w:sz w:val="24"/>
          <w:szCs w:val="24"/>
        </w:rPr>
        <w:t>,</w:t>
      </w:r>
      <w:r w:rsidRPr="00354A3C">
        <w:rPr>
          <w:rFonts w:asciiTheme="majorHAnsi" w:eastAsiaTheme="majorEastAsia" w:hAnsiTheme="majorHAnsi" w:cstheme="majorBidi"/>
          <w:sz w:val="24"/>
          <w:szCs w:val="24"/>
        </w:rPr>
        <w:t xml:space="preserve"> όπου η συνεισφορά ήταν καθοριστική.</w:t>
      </w:r>
    </w:p>
    <w:p w14:paraId="655089B8" w14:textId="77777777"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354A3C">
        <w:rPr>
          <w:rFonts w:asciiTheme="majorHAnsi" w:eastAsiaTheme="majorEastAsia" w:hAnsiTheme="majorHAnsi" w:cstheme="majorBidi"/>
          <w:sz w:val="24"/>
          <w:szCs w:val="24"/>
        </w:rPr>
        <w:t xml:space="preserve">Επιτυχής </w:t>
      </w:r>
      <w:r w:rsidRPr="00354A3C">
        <w:rPr>
          <w:rFonts w:asciiTheme="majorHAnsi" w:eastAsiaTheme="majorEastAsia" w:hAnsiTheme="majorHAnsi" w:cstheme="majorBidi"/>
          <w:b/>
          <w:bCs/>
          <w:sz w:val="24"/>
          <w:szCs w:val="24"/>
        </w:rPr>
        <w:t xml:space="preserve">ολοκλήρωση των </w:t>
      </w:r>
      <w:proofErr w:type="spellStart"/>
      <w:r w:rsidRPr="00354A3C">
        <w:rPr>
          <w:rFonts w:asciiTheme="majorHAnsi" w:eastAsiaTheme="majorEastAsia" w:hAnsiTheme="majorHAnsi" w:cstheme="majorBidi"/>
          <w:b/>
          <w:bCs/>
          <w:sz w:val="24"/>
          <w:szCs w:val="24"/>
        </w:rPr>
        <w:t>Τηλε</w:t>
      </w:r>
      <w:proofErr w:type="spellEnd"/>
      <w:r w:rsidRPr="00354A3C">
        <w:rPr>
          <w:rFonts w:asciiTheme="majorHAnsi" w:eastAsiaTheme="majorEastAsia" w:hAnsiTheme="majorHAnsi" w:cstheme="majorBidi"/>
          <w:b/>
          <w:bCs/>
          <w:sz w:val="24"/>
          <w:szCs w:val="24"/>
        </w:rPr>
        <w:t>-Συνεδρίων</w:t>
      </w:r>
      <w:r w:rsidRPr="00354A3C">
        <w:rPr>
          <w:rFonts w:asciiTheme="majorHAnsi" w:eastAsiaTheme="majorEastAsia" w:hAnsiTheme="majorHAnsi" w:cstheme="majorBidi"/>
          <w:sz w:val="24"/>
          <w:szCs w:val="24"/>
        </w:rPr>
        <w:t xml:space="preserve">, ενημερωτικού και εκπαιδευτικού χαρακτήρα, στα οποία </w:t>
      </w:r>
      <w:r w:rsidRPr="00354A3C">
        <w:rPr>
          <w:rFonts w:asciiTheme="majorHAnsi" w:eastAsiaTheme="majorEastAsia" w:hAnsiTheme="majorHAnsi" w:cstheme="majorBidi"/>
          <w:b/>
          <w:bCs/>
          <w:sz w:val="24"/>
          <w:szCs w:val="24"/>
        </w:rPr>
        <w:t xml:space="preserve">συμμετείχαν σχεδόν 2.000 Συνεργάτες </w:t>
      </w:r>
      <w:r w:rsidRPr="00354A3C">
        <w:rPr>
          <w:rFonts w:asciiTheme="majorHAnsi" w:eastAsiaTheme="majorEastAsia" w:hAnsiTheme="majorHAnsi" w:cstheme="majorBidi"/>
          <w:sz w:val="24"/>
          <w:szCs w:val="24"/>
        </w:rPr>
        <w:t>από τις Διευθύνσεις Πωλήσεων της Εταιρίας.</w:t>
      </w:r>
    </w:p>
    <w:p w14:paraId="59A441D3" w14:textId="77777777"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354A3C">
        <w:rPr>
          <w:rFonts w:asciiTheme="majorHAnsi" w:eastAsiaTheme="majorEastAsia" w:hAnsiTheme="majorHAnsi" w:cstheme="majorBidi"/>
          <w:b/>
          <w:bCs/>
          <w:sz w:val="24"/>
          <w:szCs w:val="24"/>
        </w:rPr>
        <w:t>Βράβευση της Εταιρίας</w:t>
      </w:r>
      <w:r w:rsidRPr="00354A3C">
        <w:rPr>
          <w:rFonts w:asciiTheme="majorHAnsi" w:eastAsiaTheme="majorEastAsia" w:hAnsiTheme="majorHAnsi" w:cstheme="majorBidi"/>
          <w:sz w:val="24"/>
          <w:szCs w:val="24"/>
        </w:rPr>
        <w:t xml:space="preserve"> με </w:t>
      </w:r>
      <w:proofErr w:type="spellStart"/>
      <w:r w:rsidRPr="00354A3C">
        <w:rPr>
          <w:rFonts w:asciiTheme="majorHAnsi" w:eastAsiaTheme="majorEastAsia" w:hAnsiTheme="majorHAnsi" w:cstheme="majorBidi"/>
          <w:b/>
          <w:bCs/>
          <w:sz w:val="24"/>
          <w:szCs w:val="24"/>
        </w:rPr>
        <w:t>Bronze</w:t>
      </w:r>
      <w:proofErr w:type="spellEnd"/>
      <w:r w:rsidRPr="00354A3C">
        <w:rPr>
          <w:rFonts w:asciiTheme="majorHAnsi" w:eastAsiaTheme="majorEastAsia" w:hAnsiTheme="majorHAnsi" w:cstheme="majorBidi"/>
          <w:b/>
          <w:bCs/>
          <w:sz w:val="24"/>
          <w:szCs w:val="24"/>
        </w:rPr>
        <w:t xml:space="preserve"> βραβείο</w:t>
      </w:r>
      <w:r w:rsidRPr="00354A3C">
        <w:rPr>
          <w:rFonts w:asciiTheme="majorHAnsi" w:eastAsiaTheme="majorEastAsia" w:hAnsiTheme="majorHAnsi" w:cstheme="majorBidi"/>
          <w:sz w:val="24"/>
          <w:szCs w:val="24"/>
        </w:rPr>
        <w:t xml:space="preserve"> για το europaikipisti.gr στα </w:t>
      </w:r>
      <w:proofErr w:type="spellStart"/>
      <w:r w:rsidRPr="00354A3C">
        <w:rPr>
          <w:rFonts w:asciiTheme="majorHAnsi" w:eastAsiaTheme="majorEastAsia" w:hAnsiTheme="majorHAnsi" w:cstheme="majorBidi"/>
          <w:sz w:val="24"/>
          <w:szCs w:val="24"/>
        </w:rPr>
        <w:t>Impact</w:t>
      </w:r>
      <w:proofErr w:type="spellEnd"/>
      <w:r w:rsidRPr="00354A3C">
        <w:rPr>
          <w:rFonts w:asciiTheme="majorHAnsi" w:eastAsiaTheme="majorEastAsia" w:hAnsiTheme="majorHAnsi" w:cstheme="majorBidi"/>
          <w:sz w:val="24"/>
          <w:szCs w:val="24"/>
        </w:rPr>
        <w:t xml:space="preserve"> BITE Awards.</w:t>
      </w:r>
    </w:p>
    <w:p w14:paraId="2D2F5262" w14:textId="77777777"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354A3C">
        <w:rPr>
          <w:rFonts w:asciiTheme="majorHAnsi" w:eastAsiaTheme="majorEastAsia" w:hAnsiTheme="majorHAnsi" w:cstheme="majorBidi"/>
          <w:b/>
          <w:bCs/>
          <w:sz w:val="24"/>
          <w:szCs w:val="24"/>
        </w:rPr>
        <w:t>Διπλή διάκριση</w:t>
      </w:r>
      <w:r w:rsidRPr="00354A3C">
        <w:rPr>
          <w:rFonts w:asciiTheme="majorHAnsi" w:eastAsiaTheme="majorEastAsia" w:hAnsiTheme="majorHAnsi" w:cstheme="majorBidi"/>
          <w:sz w:val="24"/>
          <w:szCs w:val="24"/>
        </w:rPr>
        <w:t xml:space="preserve"> στα βραβεία “Οι Χρυσοί Πρωταγωνιστές της Ελληνικής Οικονομίας 2010 – 2020”.</w:t>
      </w:r>
    </w:p>
    <w:p w14:paraId="4C2D4694" w14:textId="77777777" w:rsidR="00354A3C" w:rsidRPr="00756DF8" w:rsidRDefault="00354A3C" w:rsidP="00D05996">
      <w:pPr>
        <w:pStyle w:val="a6"/>
        <w:numPr>
          <w:ilvl w:val="0"/>
          <w:numId w:val="6"/>
        </w:numPr>
        <w:jc w:val="both"/>
        <w:rPr>
          <w:rFonts w:asciiTheme="majorHAnsi" w:eastAsiaTheme="majorEastAsia" w:hAnsiTheme="majorHAnsi" w:cstheme="majorBidi"/>
          <w:sz w:val="24"/>
          <w:szCs w:val="24"/>
        </w:rPr>
      </w:pPr>
      <w:r w:rsidRPr="00354A3C">
        <w:rPr>
          <w:rFonts w:asciiTheme="majorHAnsi" w:eastAsiaTheme="majorEastAsia" w:hAnsiTheme="majorHAnsi" w:cstheme="majorBidi"/>
          <w:b/>
          <w:bCs/>
          <w:sz w:val="24"/>
          <w:szCs w:val="24"/>
        </w:rPr>
        <w:t xml:space="preserve">Διάκριση στα </w:t>
      </w:r>
      <w:proofErr w:type="spellStart"/>
      <w:r w:rsidRPr="00354A3C">
        <w:rPr>
          <w:rFonts w:asciiTheme="majorHAnsi" w:eastAsiaTheme="majorEastAsia" w:hAnsiTheme="majorHAnsi" w:cstheme="majorBidi"/>
          <w:b/>
          <w:bCs/>
          <w:sz w:val="24"/>
          <w:szCs w:val="24"/>
        </w:rPr>
        <w:t>Bravo</w:t>
      </w:r>
      <w:proofErr w:type="spellEnd"/>
      <w:r w:rsidRPr="00354A3C">
        <w:rPr>
          <w:rFonts w:asciiTheme="majorHAnsi" w:eastAsiaTheme="majorEastAsia" w:hAnsiTheme="majorHAnsi" w:cstheme="majorBidi"/>
          <w:b/>
          <w:bCs/>
          <w:sz w:val="24"/>
          <w:szCs w:val="24"/>
        </w:rPr>
        <w:t xml:space="preserve"> </w:t>
      </w:r>
      <w:proofErr w:type="spellStart"/>
      <w:r w:rsidRPr="00354A3C">
        <w:rPr>
          <w:rFonts w:asciiTheme="majorHAnsi" w:eastAsiaTheme="majorEastAsia" w:hAnsiTheme="majorHAnsi" w:cstheme="majorBidi"/>
          <w:b/>
          <w:bCs/>
          <w:sz w:val="24"/>
          <w:szCs w:val="24"/>
        </w:rPr>
        <w:t>Sustainability</w:t>
      </w:r>
      <w:proofErr w:type="spellEnd"/>
      <w:r w:rsidRPr="00354A3C">
        <w:rPr>
          <w:rFonts w:asciiTheme="majorHAnsi" w:eastAsiaTheme="majorEastAsia" w:hAnsiTheme="majorHAnsi" w:cstheme="majorBidi"/>
          <w:b/>
          <w:bCs/>
          <w:sz w:val="24"/>
          <w:szCs w:val="24"/>
        </w:rPr>
        <w:t xml:space="preserve"> </w:t>
      </w:r>
      <w:proofErr w:type="spellStart"/>
      <w:r w:rsidRPr="00354A3C">
        <w:rPr>
          <w:rFonts w:asciiTheme="majorHAnsi" w:eastAsiaTheme="majorEastAsia" w:hAnsiTheme="majorHAnsi" w:cstheme="majorBidi"/>
          <w:b/>
          <w:bCs/>
          <w:sz w:val="24"/>
          <w:szCs w:val="24"/>
        </w:rPr>
        <w:t>Dialogues</w:t>
      </w:r>
      <w:proofErr w:type="spellEnd"/>
      <w:r w:rsidRPr="00354A3C">
        <w:rPr>
          <w:rFonts w:asciiTheme="majorHAnsi" w:eastAsiaTheme="majorEastAsia" w:hAnsiTheme="majorHAnsi" w:cstheme="majorBidi"/>
          <w:b/>
          <w:bCs/>
          <w:sz w:val="24"/>
          <w:szCs w:val="24"/>
        </w:rPr>
        <w:t xml:space="preserve"> &amp; Awards 2021</w:t>
      </w:r>
      <w:r w:rsidRPr="00354A3C">
        <w:rPr>
          <w:rFonts w:asciiTheme="majorHAnsi" w:eastAsiaTheme="majorEastAsia" w:hAnsiTheme="majorHAnsi" w:cstheme="majorBidi"/>
          <w:sz w:val="24"/>
          <w:szCs w:val="24"/>
        </w:rPr>
        <w:t>, για την πρωτοβουλία «Αποτροπή Απάτης &amp; Πάταξη της Διαφθοράς.</w:t>
      </w:r>
    </w:p>
    <w:p w14:paraId="5DCAF9F4" w14:textId="5836DF9C" w:rsidR="00652CF2" w:rsidRPr="00756DF8" w:rsidRDefault="00354A3C" w:rsidP="00D05996">
      <w:pPr>
        <w:pStyle w:val="a6"/>
        <w:numPr>
          <w:ilvl w:val="0"/>
          <w:numId w:val="6"/>
        </w:numPr>
        <w:jc w:val="both"/>
        <w:rPr>
          <w:rFonts w:asciiTheme="majorHAnsi" w:eastAsiaTheme="majorEastAsia" w:hAnsiTheme="majorHAnsi" w:cstheme="majorBidi"/>
          <w:sz w:val="24"/>
          <w:szCs w:val="24"/>
        </w:rPr>
      </w:pPr>
      <w:r w:rsidRPr="00756DF8">
        <w:rPr>
          <w:rFonts w:asciiTheme="majorHAnsi" w:eastAsiaTheme="majorEastAsia" w:hAnsiTheme="majorHAnsi" w:cstheme="majorBidi"/>
          <w:b/>
          <w:bCs/>
          <w:sz w:val="24"/>
          <w:szCs w:val="24"/>
        </w:rPr>
        <w:t>Διπλή διάκριση</w:t>
      </w:r>
      <w:r w:rsidRPr="00756DF8">
        <w:rPr>
          <w:rFonts w:asciiTheme="majorHAnsi" w:eastAsiaTheme="majorEastAsia" w:hAnsiTheme="majorHAnsi" w:cstheme="majorBidi"/>
          <w:sz w:val="24"/>
          <w:szCs w:val="24"/>
        </w:rPr>
        <w:t xml:space="preserve"> της Εταιρίας στα «Επιχειρηματικά Βραβεία ΧΡΗΜΑ 2020».</w:t>
      </w:r>
    </w:p>
    <w:p w14:paraId="096266DB" w14:textId="1A717045" w:rsidR="00F87003" w:rsidRPr="00756DF8" w:rsidRDefault="00652CF2" w:rsidP="00D05996">
      <w:pPr>
        <w:jc w:val="both"/>
        <w:rPr>
          <w:rFonts w:ascii="72 Black" w:eastAsiaTheme="majorEastAsia" w:hAnsi="72 Black" w:cs="72 Black"/>
        </w:rPr>
      </w:pPr>
      <w:r w:rsidRPr="00756DF8">
        <w:rPr>
          <w:rFonts w:ascii="72 Black" w:eastAsiaTheme="majorEastAsia" w:hAnsi="72 Black" w:cs="72 Black"/>
        </w:rPr>
        <w:t>Εκτίμηση της επίδρασης της πανδημίας και προοπτικές</w:t>
      </w:r>
    </w:p>
    <w:p w14:paraId="1F109EBA" w14:textId="02DA5E15" w:rsidR="00F87003" w:rsidRPr="00756DF8" w:rsidRDefault="00354A3C"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Για την εκδήλωση και την πορεία της πανδημίας Covid-19, η Εταιρία έχει εξετάσει τον οικονομικό και υγειονομικό αντίκτυπο. </w:t>
      </w:r>
      <w:r w:rsidR="00F87003" w:rsidRPr="00756DF8">
        <w:rPr>
          <w:rFonts w:asciiTheme="majorHAnsi" w:eastAsiaTheme="majorEastAsia" w:hAnsiTheme="majorHAnsi" w:cstheme="majorBidi"/>
          <w:sz w:val="24"/>
          <w:szCs w:val="24"/>
        </w:rPr>
        <w:t xml:space="preserve">Αξίζει να σημειωθεί ότι σύμφωνα με τις εκτιμήσεις της Διοίκησης, τα μέχρι τώρα στοιχεία δείχνουν ότι δεν </w:t>
      </w:r>
      <w:r w:rsidR="00B168C1">
        <w:rPr>
          <w:rFonts w:asciiTheme="majorHAnsi" w:eastAsiaTheme="majorEastAsia" w:hAnsiTheme="majorHAnsi" w:cstheme="majorBidi"/>
          <w:sz w:val="24"/>
          <w:szCs w:val="24"/>
        </w:rPr>
        <w:t xml:space="preserve">έχει </w:t>
      </w:r>
      <w:r w:rsidR="00F87003" w:rsidRPr="00756DF8">
        <w:rPr>
          <w:rFonts w:asciiTheme="majorHAnsi" w:eastAsiaTheme="majorEastAsia" w:hAnsiTheme="majorHAnsi" w:cstheme="majorBidi"/>
          <w:sz w:val="24"/>
          <w:szCs w:val="24"/>
        </w:rPr>
        <w:t>υπάρξει σημαντική επίδραση στα κύρια οικονομικά μεγέθη της Εταιρίας για το έτος 2021 από την πανδημία του Covid-19.</w:t>
      </w:r>
      <w:r w:rsidR="00752680" w:rsidRPr="00756DF8">
        <w:rPr>
          <w:rFonts w:asciiTheme="majorHAnsi" w:eastAsiaTheme="majorEastAsia" w:hAnsiTheme="majorHAnsi" w:cstheme="majorBidi"/>
          <w:sz w:val="24"/>
          <w:szCs w:val="24"/>
        </w:rPr>
        <w:t xml:space="preserve"> </w:t>
      </w:r>
      <w:r w:rsidR="00B168C1">
        <w:rPr>
          <w:rFonts w:asciiTheme="majorHAnsi" w:eastAsiaTheme="majorEastAsia" w:hAnsiTheme="majorHAnsi" w:cstheme="majorBidi"/>
          <w:sz w:val="24"/>
          <w:szCs w:val="24"/>
        </w:rPr>
        <w:t xml:space="preserve">Για το 2021 παραμένουν οι στόχοι όπως έχουν τεθεί στο Επιχειρηματικό Σχέδιο της Εταιρίας, ως εξής: </w:t>
      </w:r>
    </w:p>
    <w:p w14:paraId="5BA5FDC4" w14:textId="677AE8D5" w:rsidR="00F87003" w:rsidRPr="00756DF8" w:rsidRDefault="00EF59D7" w:rsidP="00D05996">
      <w:pPr>
        <w:pStyle w:val="a6"/>
        <w:numPr>
          <w:ilvl w:val="0"/>
          <w:numId w:val="5"/>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Στόχος α</w:t>
      </w:r>
      <w:r w:rsidR="00F87003" w:rsidRPr="00756DF8">
        <w:rPr>
          <w:rFonts w:asciiTheme="majorHAnsi" w:eastAsiaTheme="majorEastAsia" w:hAnsiTheme="majorHAnsi" w:cstheme="majorBidi"/>
          <w:sz w:val="24"/>
          <w:szCs w:val="24"/>
        </w:rPr>
        <w:t>ύξηση</w:t>
      </w:r>
      <w:r w:rsidRPr="00756DF8">
        <w:rPr>
          <w:rFonts w:asciiTheme="majorHAnsi" w:eastAsiaTheme="majorEastAsia" w:hAnsiTheme="majorHAnsi" w:cstheme="majorBidi"/>
          <w:sz w:val="24"/>
          <w:szCs w:val="24"/>
        </w:rPr>
        <w:t>ς</w:t>
      </w:r>
      <w:r w:rsidR="00F87003" w:rsidRPr="00756DF8">
        <w:rPr>
          <w:rFonts w:asciiTheme="majorHAnsi" w:eastAsiaTheme="majorEastAsia" w:hAnsiTheme="majorHAnsi" w:cstheme="majorBidi"/>
          <w:sz w:val="24"/>
          <w:szCs w:val="24"/>
        </w:rPr>
        <w:t xml:space="preserve"> της Καθαρής Παραγωγής </w:t>
      </w:r>
      <w:r w:rsidRPr="00756DF8">
        <w:rPr>
          <w:rFonts w:asciiTheme="majorHAnsi" w:eastAsiaTheme="majorEastAsia" w:hAnsiTheme="majorHAnsi" w:cstheme="majorBidi"/>
          <w:sz w:val="24"/>
          <w:szCs w:val="24"/>
        </w:rPr>
        <w:t xml:space="preserve">κατά </w:t>
      </w:r>
      <w:r w:rsidR="00F87003" w:rsidRPr="00756DF8">
        <w:rPr>
          <w:rFonts w:asciiTheme="majorHAnsi" w:eastAsiaTheme="majorEastAsia" w:hAnsiTheme="majorHAnsi" w:cstheme="majorBidi"/>
          <w:sz w:val="24"/>
          <w:szCs w:val="24"/>
        </w:rPr>
        <w:t>5,</w:t>
      </w:r>
      <w:r w:rsidRPr="00756DF8">
        <w:rPr>
          <w:rFonts w:asciiTheme="majorHAnsi" w:eastAsiaTheme="majorEastAsia" w:hAnsiTheme="majorHAnsi" w:cstheme="majorBidi"/>
          <w:sz w:val="24"/>
          <w:szCs w:val="24"/>
        </w:rPr>
        <w:t>3</w:t>
      </w:r>
      <w:r w:rsidR="00F87003" w:rsidRPr="00756DF8">
        <w:rPr>
          <w:rFonts w:asciiTheme="majorHAnsi" w:eastAsiaTheme="majorEastAsia" w:hAnsiTheme="majorHAnsi" w:cstheme="majorBidi"/>
          <w:sz w:val="24"/>
          <w:szCs w:val="24"/>
        </w:rPr>
        <w:t>% και διατήρηση της κερδοφορίας σε υψηλά επίπεδα.</w:t>
      </w:r>
    </w:p>
    <w:p w14:paraId="0A052AE3" w14:textId="2F5261B5" w:rsidR="00F87003" w:rsidRPr="00756DF8" w:rsidRDefault="00EF59D7" w:rsidP="00D05996">
      <w:pPr>
        <w:pStyle w:val="a6"/>
        <w:numPr>
          <w:ilvl w:val="0"/>
          <w:numId w:val="5"/>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Στόχος κόστους πρόσκτησης του Κλάδου Αυτοκινήτων </w:t>
      </w:r>
      <w:r w:rsidR="00F9654F" w:rsidRPr="00756DF8">
        <w:rPr>
          <w:rFonts w:asciiTheme="majorHAnsi" w:eastAsiaTheme="majorEastAsia" w:hAnsiTheme="majorHAnsi" w:cstheme="majorBidi"/>
          <w:sz w:val="24"/>
          <w:szCs w:val="24"/>
        </w:rPr>
        <w:t>σε επίπεδα μικρότερα του 20,5%</w:t>
      </w:r>
      <w:r w:rsidR="004D500D">
        <w:rPr>
          <w:rFonts w:asciiTheme="majorHAnsi" w:eastAsiaTheme="majorEastAsia" w:hAnsiTheme="majorHAnsi" w:cstheme="majorBidi"/>
          <w:sz w:val="24"/>
          <w:szCs w:val="24"/>
        </w:rPr>
        <w:t>.</w:t>
      </w:r>
    </w:p>
    <w:p w14:paraId="034B0269" w14:textId="582DE79C" w:rsidR="00F87003" w:rsidRPr="00756DF8" w:rsidRDefault="00F9654F" w:rsidP="00D05996">
      <w:pPr>
        <w:pStyle w:val="a6"/>
        <w:numPr>
          <w:ilvl w:val="0"/>
          <w:numId w:val="5"/>
        </w:numPr>
        <w:spacing w:line="259" w:lineRule="auto"/>
        <w:jc w:val="both"/>
        <w:rPr>
          <w:rFonts w:asciiTheme="majorHAnsi" w:eastAsiaTheme="majorEastAsia" w:hAnsiTheme="majorHAnsi" w:cstheme="majorBidi"/>
          <w:sz w:val="24"/>
          <w:szCs w:val="24"/>
        </w:rPr>
      </w:pPr>
      <w:r w:rsidRPr="00F9654F">
        <w:rPr>
          <w:rFonts w:asciiTheme="majorHAnsi" w:eastAsiaTheme="majorEastAsia" w:hAnsiTheme="majorHAnsi" w:cstheme="majorBidi"/>
          <w:sz w:val="24"/>
          <w:szCs w:val="24"/>
        </w:rPr>
        <w:lastRenderedPageBreak/>
        <w:t>Στόχος κόστους λειτουργίας ως (%) Καθαρών Ασφαλίστρων</w:t>
      </w:r>
      <w:r w:rsidR="00F87003" w:rsidRPr="00756DF8">
        <w:rPr>
          <w:rFonts w:asciiTheme="majorHAnsi" w:eastAsiaTheme="majorEastAsia" w:hAnsiTheme="majorHAnsi" w:cstheme="majorBidi"/>
          <w:sz w:val="24"/>
          <w:szCs w:val="24"/>
        </w:rPr>
        <w:t xml:space="preserve"> &lt;14%.</w:t>
      </w:r>
    </w:p>
    <w:p w14:paraId="6FA8359B" w14:textId="22B19A2F" w:rsidR="00F87003" w:rsidRPr="00756DF8" w:rsidRDefault="00F9654F" w:rsidP="00D05996">
      <w:pPr>
        <w:pStyle w:val="a6"/>
        <w:numPr>
          <w:ilvl w:val="0"/>
          <w:numId w:val="5"/>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Στόχος του Δείκτη Ζ</w:t>
      </w:r>
      <w:r w:rsidR="00F87003" w:rsidRPr="00756DF8">
        <w:rPr>
          <w:rFonts w:asciiTheme="majorHAnsi" w:eastAsiaTheme="majorEastAsia" w:hAnsiTheme="majorHAnsi" w:cstheme="majorBidi"/>
          <w:sz w:val="24"/>
          <w:szCs w:val="24"/>
        </w:rPr>
        <w:t>ημι</w:t>
      </w:r>
      <w:r w:rsidRPr="00756DF8">
        <w:rPr>
          <w:rFonts w:asciiTheme="majorHAnsi" w:eastAsiaTheme="majorEastAsia" w:hAnsiTheme="majorHAnsi" w:cstheme="majorBidi"/>
          <w:sz w:val="24"/>
          <w:szCs w:val="24"/>
        </w:rPr>
        <w:t>ών</w:t>
      </w:r>
      <w:r w:rsidR="00F87003" w:rsidRPr="00756DF8">
        <w:rPr>
          <w:rFonts w:asciiTheme="majorHAnsi" w:eastAsiaTheme="majorEastAsia" w:hAnsiTheme="majorHAnsi" w:cstheme="majorBidi"/>
          <w:sz w:val="24"/>
          <w:szCs w:val="24"/>
        </w:rPr>
        <w:t xml:space="preserve"> του Κλάδου Αυτοκινήτων &lt;60%.</w:t>
      </w:r>
    </w:p>
    <w:p w14:paraId="228BD88D" w14:textId="19F4B2C1" w:rsidR="00F9654F" w:rsidRPr="00756DF8" w:rsidRDefault="00F9654F" w:rsidP="00D05996">
      <w:pPr>
        <w:pStyle w:val="a6"/>
        <w:numPr>
          <w:ilvl w:val="0"/>
          <w:numId w:val="5"/>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Στόχος του Δείκτη Ζημιών των Λοιπών Γενικών Κλάδων &lt;35%.</w:t>
      </w:r>
    </w:p>
    <w:p w14:paraId="5B7A53EE" w14:textId="300D83B9" w:rsidR="00F9654F" w:rsidRPr="00756DF8" w:rsidRDefault="00F9654F" w:rsidP="00D05996">
      <w:pPr>
        <w:pStyle w:val="a6"/>
        <w:numPr>
          <w:ilvl w:val="0"/>
          <w:numId w:val="5"/>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Στόχος του Δείκτη Ζημιών του Κλάδου Ζωής Ομαδικών &lt;70%.</w:t>
      </w:r>
    </w:p>
    <w:p w14:paraId="26793E0B" w14:textId="68B91660" w:rsidR="009007BF" w:rsidRPr="00756DF8" w:rsidRDefault="009007BF"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Κατά την εμφάνιση της πανδημίας, </w:t>
      </w:r>
      <w:r w:rsidR="00752680" w:rsidRPr="00756DF8">
        <w:rPr>
          <w:rFonts w:asciiTheme="majorHAnsi" w:eastAsiaTheme="majorEastAsia" w:hAnsiTheme="majorHAnsi" w:cstheme="majorBidi"/>
          <w:sz w:val="24"/>
          <w:szCs w:val="24"/>
        </w:rPr>
        <w:t xml:space="preserve">η Διοίκηση του Ομίλου </w:t>
      </w:r>
      <w:r w:rsidRPr="00756DF8">
        <w:rPr>
          <w:rFonts w:asciiTheme="majorHAnsi" w:eastAsiaTheme="majorEastAsia" w:hAnsiTheme="majorHAnsi" w:cstheme="majorBidi"/>
          <w:sz w:val="24"/>
          <w:szCs w:val="24"/>
        </w:rPr>
        <w:t xml:space="preserve">Ευρωπαϊκή Πίστη </w:t>
      </w:r>
      <w:r w:rsidR="00752680" w:rsidRPr="00756DF8">
        <w:rPr>
          <w:rFonts w:asciiTheme="majorHAnsi" w:eastAsiaTheme="majorEastAsia" w:hAnsiTheme="majorHAnsi" w:cstheme="majorBidi"/>
          <w:sz w:val="24"/>
          <w:szCs w:val="24"/>
        </w:rPr>
        <w:t xml:space="preserve">προχώρησε άμεσα σε ενεργοποίηση της ομάδας αντιμετώπισης κρίσεων εξετάζοντας σε διαρκή βάση τη ρευστότητα και τις επιπτώσεις του Covid - 19 στα χρηματοοικονομικά μεγέθη του Ομίλου. </w:t>
      </w:r>
    </w:p>
    <w:p w14:paraId="581D4B15" w14:textId="6249ADB5" w:rsidR="009A77D8" w:rsidRDefault="00752680"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Για την καλύτερη προετοιμασία, διενεργούνται ανά τακτά χρονικά διαστήματα αναλύσεις ευαισθησίας και </w:t>
      </w:r>
      <w:proofErr w:type="spellStart"/>
      <w:r w:rsidRPr="00756DF8">
        <w:rPr>
          <w:rFonts w:asciiTheme="majorHAnsi" w:eastAsiaTheme="majorEastAsia" w:hAnsiTheme="majorHAnsi" w:cstheme="majorBidi"/>
          <w:sz w:val="24"/>
          <w:szCs w:val="24"/>
        </w:rPr>
        <w:t>stress</w:t>
      </w:r>
      <w:proofErr w:type="spellEnd"/>
      <w:r w:rsidRPr="00756DF8">
        <w:rPr>
          <w:rFonts w:asciiTheme="majorHAnsi" w:eastAsiaTheme="majorEastAsia" w:hAnsiTheme="majorHAnsi" w:cstheme="majorBidi"/>
          <w:sz w:val="24"/>
          <w:szCs w:val="24"/>
        </w:rPr>
        <w:t xml:space="preserve"> </w:t>
      </w:r>
      <w:proofErr w:type="spellStart"/>
      <w:r w:rsidRPr="00756DF8">
        <w:rPr>
          <w:rFonts w:asciiTheme="majorHAnsi" w:eastAsiaTheme="majorEastAsia" w:hAnsiTheme="majorHAnsi" w:cstheme="majorBidi"/>
          <w:sz w:val="24"/>
          <w:szCs w:val="24"/>
        </w:rPr>
        <w:t>tests</w:t>
      </w:r>
      <w:proofErr w:type="spellEnd"/>
      <w:r w:rsidRPr="00756DF8">
        <w:rPr>
          <w:rFonts w:asciiTheme="majorHAnsi" w:eastAsiaTheme="majorEastAsia" w:hAnsiTheme="majorHAnsi" w:cstheme="majorBidi"/>
          <w:sz w:val="24"/>
          <w:szCs w:val="24"/>
        </w:rPr>
        <w:t xml:space="preserve"> στα χρηματοοικονομικά μεγέθη του Ομίλου ακόμα και σε ακραία σενάρια. Σε όλα τα προαναφερόμενα σενάρια τόσο οι Δείκτες Φερεγγυότητας όσο και η </w:t>
      </w:r>
      <w:r w:rsidRPr="00262D1A">
        <w:rPr>
          <w:rFonts w:asciiTheme="majorHAnsi" w:eastAsiaTheme="majorEastAsia" w:hAnsiTheme="majorHAnsi" w:cstheme="majorBidi"/>
          <w:sz w:val="24"/>
          <w:szCs w:val="24"/>
        </w:rPr>
        <w:t>ρευστότητα παραμένουν σε υψηλά επίπεδα</w:t>
      </w:r>
      <w:r w:rsidR="004D500D">
        <w:rPr>
          <w:rFonts w:asciiTheme="majorHAnsi" w:eastAsiaTheme="majorEastAsia" w:hAnsiTheme="majorHAnsi" w:cstheme="majorBidi"/>
          <w:sz w:val="24"/>
          <w:szCs w:val="24"/>
        </w:rPr>
        <w:t>,</w:t>
      </w:r>
      <w:r w:rsidRPr="00262D1A">
        <w:rPr>
          <w:rFonts w:asciiTheme="majorHAnsi" w:eastAsiaTheme="majorEastAsia" w:hAnsiTheme="majorHAnsi" w:cstheme="majorBidi"/>
          <w:sz w:val="24"/>
          <w:szCs w:val="24"/>
        </w:rPr>
        <w:t xml:space="preserve"> ενώ η Διοίκηση του Ομίλου έχει σχεδιάσει μια σειρά από προληπτικές ενέργειες για την αντιμετώπιση των ενδεχόμενων κινδύνων.</w:t>
      </w:r>
      <w:r w:rsidR="00B168C1" w:rsidRPr="00262D1A">
        <w:rPr>
          <w:rFonts w:asciiTheme="majorHAnsi" w:eastAsiaTheme="majorEastAsia" w:hAnsiTheme="majorHAnsi" w:cstheme="majorBidi"/>
          <w:sz w:val="24"/>
          <w:szCs w:val="24"/>
        </w:rPr>
        <w:t xml:space="preserve"> </w:t>
      </w:r>
    </w:p>
    <w:p w14:paraId="5BB4429B" w14:textId="0C690AA4" w:rsidR="001E31C9" w:rsidRDefault="00B168C1" w:rsidP="00D05996">
      <w:pPr>
        <w:jc w:val="both"/>
        <w:rPr>
          <w:rFonts w:asciiTheme="majorHAnsi" w:eastAsiaTheme="majorEastAsia" w:hAnsiTheme="majorHAnsi" w:cstheme="majorBidi"/>
          <w:sz w:val="24"/>
          <w:szCs w:val="24"/>
        </w:rPr>
      </w:pPr>
      <w:r w:rsidRPr="00262D1A">
        <w:rPr>
          <w:rFonts w:asciiTheme="majorHAnsi" w:eastAsiaTheme="majorEastAsia" w:hAnsiTheme="majorHAnsi" w:cstheme="majorBidi"/>
          <w:sz w:val="24"/>
          <w:szCs w:val="24"/>
        </w:rPr>
        <w:t xml:space="preserve">Σημαντικό να αναφερθεί ότι </w:t>
      </w:r>
      <w:r w:rsidR="002E3ADE">
        <w:rPr>
          <w:rFonts w:asciiTheme="majorHAnsi" w:eastAsiaTheme="majorEastAsia" w:hAnsiTheme="majorHAnsi" w:cstheme="majorBidi"/>
          <w:sz w:val="24"/>
          <w:szCs w:val="24"/>
        </w:rPr>
        <w:t xml:space="preserve">στις 22/09/2021, </w:t>
      </w:r>
      <w:r w:rsidRPr="00262D1A">
        <w:rPr>
          <w:rFonts w:asciiTheme="majorHAnsi" w:eastAsiaTheme="majorEastAsia" w:hAnsiTheme="majorHAnsi" w:cstheme="majorBidi"/>
          <w:sz w:val="24"/>
          <w:szCs w:val="24"/>
        </w:rPr>
        <w:t xml:space="preserve">η Εταιρία </w:t>
      </w:r>
      <w:r w:rsidR="00262D1A" w:rsidRPr="00262D1A">
        <w:rPr>
          <w:rFonts w:asciiTheme="majorHAnsi" w:eastAsiaTheme="majorEastAsia" w:hAnsiTheme="majorHAnsi" w:cstheme="majorBidi"/>
          <w:sz w:val="24"/>
          <w:szCs w:val="24"/>
        </w:rPr>
        <w:t xml:space="preserve">συμμετείχε </w:t>
      </w:r>
      <w:r w:rsidR="001E31C9">
        <w:rPr>
          <w:rFonts w:asciiTheme="majorHAnsi" w:eastAsiaTheme="majorEastAsia" w:hAnsiTheme="majorHAnsi" w:cstheme="majorBidi"/>
          <w:sz w:val="24"/>
          <w:szCs w:val="24"/>
        </w:rPr>
        <w:t xml:space="preserve">στην </w:t>
      </w:r>
      <w:r w:rsidR="001E31C9" w:rsidRPr="001E31C9">
        <w:rPr>
          <w:rFonts w:asciiTheme="majorHAnsi" w:eastAsiaTheme="majorEastAsia" w:hAnsiTheme="majorHAnsi" w:cstheme="majorBidi"/>
          <w:sz w:val="24"/>
          <w:szCs w:val="24"/>
        </w:rPr>
        <w:t>ευρωπαϊκή άσκηση προσομοίωσης ακραίων καταστάσεων (</w:t>
      </w:r>
      <w:proofErr w:type="spellStart"/>
      <w:r w:rsidR="001E31C9" w:rsidRPr="001E31C9">
        <w:rPr>
          <w:rFonts w:asciiTheme="majorHAnsi" w:eastAsiaTheme="majorEastAsia" w:hAnsiTheme="majorHAnsi" w:cstheme="majorBidi"/>
          <w:sz w:val="24"/>
          <w:szCs w:val="24"/>
        </w:rPr>
        <w:t>stress</w:t>
      </w:r>
      <w:proofErr w:type="spellEnd"/>
      <w:r w:rsidR="001E31C9" w:rsidRPr="001E31C9">
        <w:rPr>
          <w:rFonts w:asciiTheme="majorHAnsi" w:eastAsiaTheme="majorEastAsia" w:hAnsiTheme="majorHAnsi" w:cstheme="majorBidi"/>
          <w:sz w:val="24"/>
          <w:szCs w:val="24"/>
        </w:rPr>
        <w:t xml:space="preserve"> </w:t>
      </w:r>
      <w:proofErr w:type="spellStart"/>
      <w:r w:rsidR="001E31C9" w:rsidRPr="001E31C9">
        <w:rPr>
          <w:rFonts w:asciiTheme="majorHAnsi" w:eastAsiaTheme="majorEastAsia" w:hAnsiTheme="majorHAnsi" w:cstheme="majorBidi"/>
          <w:sz w:val="24"/>
          <w:szCs w:val="24"/>
        </w:rPr>
        <w:t>test</w:t>
      </w:r>
      <w:proofErr w:type="spellEnd"/>
      <w:r w:rsidR="001E31C9" w:rsidRPr="001E31C9">
        <w:rPr>
          <w:rFonts w:asciiTheme="majorHAnsi" w:eastAsiaTheme="majorEastAsia" w:hAnsiTheme="majorHAnsi" w:cstheme="majorBidi"/>
          <w:sz w:val="24"/>
          <w:szCs w:val="24"/>
        </w:rPr>
        <w:t>) για τον ασφαλιστικό κλάδο</w:t>
      </w:r>
      <w:r w:rsidR="009A77D8">
        <w:rPr>
          <w:rFonts w:asciiTheme="majorHAnsi" w:eastAsiaTheme="majorEastAsia" w:hAnsiTheme="majorHAnsi" w:cstheme="majorBidi"/>
          <w:sz w:val="24"/>
          <w:szCs w:val="24"/>
        </w:rPr>
        <w:t>, που διενεργήθηκε από</w:t>
      </w:r>
      <w:r w:rsidR="00262D1A" w:rsidRPr="00262D1A">
        <w:rPr>
          <w:rFonts w:asciiTheme="majorHAnsi" w:eastAsiaTheme="majorEastAsia" w:hAnsiTheme="majorHAnsi" w:cstheme="majorBidi"/>
          <w:sz w:val="24"/>
          <w:szCs w:val="24"/>
        </w:rPr>
        <w:t xml:space="preserve"> </w:t>
      </w:r>
      <w:r w:rsidR="001E31C9">
        <w:rPr>
          <w:rFonts w:asciiTheme="majorHAnsi" w:eastAsiaTheme="majorEastAsia" w:hAnsiTheme="majorHAnsi" w:cstheme="majorBidi"/>
          <w:sz w:val="24"/>
          <w:szCs w:val="24"/>
        </w:rPr>
        <w:t>τη</w:t>
      </w:r>
      <w:r w:rsidR="009A77D8">
        <w:rPr>
          <w:rFonts w:asciiTheme="majorHAnsi" w:eastAsiaTheme="majorEastAsia" w:hAnsiTheme="majorHAnsi" w:cstheme="majorBidi"/>
          <w:sz w:val="24"/>
          <w:szCs w:val="24"/>
        </w:rPr>
        <w:t>ν</w:t>
      </w:r>
      <w:r w:rsidR="001017CF">
        <w:rPr>
          <w:rFonts w:asciiTheme="majorHAnsi" w:eastAsiaTheme="majorEastAsia" w:hAnsiTheme="majorHAnsi" w:cstheme="majorBidi"/>
          <w:sz w:val="24"/>
          <w:szCs w:val="24"/>
        </w:rPr>
        <w:t xml:space="preserve"> </w:t>
      </w:r>
      <w:r w:rsidR="001E31C9" w:rsidRPr="001E31C9">
        <w:rPr>
          <w:rFonts w:asciiTheme="majorHAnsi" w:eastAsiaTheme="majorEastAsia" w:hAnsiTheme="majorHAnsi" w:cstheme="majorBidi"/>
          <w:sz w:val="24"/>
          <w:szCs w:val="24"/>
        </w:rPr>
        <w:t>Ευρωπαϊκή</w:t>
      </w:r>
      <w:r w:rsidR="009A77D8">
        <w:rPr>
          <w:rFonts w:asciiTheme="majorHAnsi" w:eastAsiaTheme="majorEastAsia" w:hAnsiTheme="majorHAnsi" w:cstheme="majorBidi"/>
          <w:sz w:val="24"/>
          <w:szCs w:val="24"/>
        </w:rPr>
        <w:t xml:space="preserve"> </w:t>
      </w:r>
      <w:r w:rsidR="001E31C9" w:rsidRPr="001E31C9">
        <w:rPr>
          <w:rFonts w:asciiTheme="majorHAnsi" w:eastAsiaTheme="majorEastAsia" w:hAnsiTheme="majorHAnsi" w:cstheme="majorBidi"/>
          <w:sz w:val="24"/>
          <w:szCs w:val="24"/>
        </w:rPr>
        <w:t>Αρχή Ασφαλίσεων και Επαγγελματικών Συντάξεων (EIOPA)</w:t>
      </w:r>
      <w:r w:rsidR="009A77D8">
        <w:rPr>
          <w:rFonts w:asciiTheme="majorHAnsi" w:eastAsiaTheme="majorEastAsia" w:hAnsiTheme="majorHAnsi" w:cstheme="majorBidi"/>
          <w:sz w:val="24"/>
          <w:szCs w:val="24"/>
        </w:rPr>
        <w:t>. Η συγκεκριμένη άσκηση</w:t>
      </w:r>
      <w:r w:rsidR="009A77D8" w:rsidRPr="009A77D8">
        <w:rPr>
          <w:rFonts w:asciiTheme="majorHAnsi" w:eastAsiaTheme="majorEastAsia" w:hAnsiTheme="majorHAnsi" w:cstheme="majorBidi"/>
          <w:sz w:val="24"/>
          <w:szCs w:val="24"/>
        </w:rPr>
        <w:t xml:space="preserve"> </w:t>
      </w:r>
      <w:r w:rsidR="009A77D8">
        <w:rPr>
          <w:rFonts w:asciiTheme="majorHAnsi" w:eastAsiaTheme="majorEastAsia" w:hAnsiTheme="majorHAnsi" w:cstheme="majorBidi"/>
          <w:sz w:val="24"/>
          <w:szCs w:val="24"/>
        </w:rPr>
        <w:t xml:space="preserve">επικεντρώθηκε </w:t>
      </w:r>
      <w:r w:rsidR="009A77D8" w:rsidRPr="009A77D8">
        <w:rPr>
          <w:rFonts w:asciiTheme="majorHAnsi" w:eastAsiaTheme="majorEastAsia" w:hAnsiTheme="majorHAnsi" w:cstheme="majorBidi"/>
          <w:sz w:val="24"/>
          <w:szCs w:val="24"/>
        </w:rPr>
        <w:t xml:space="preserve">σε ένα παρατεταμένο σενάριο </w:t>
      </w:r>
      <w:r w:rsidR="009F1F72" w:rsidRPr="00756DF8">
        <w:rPr>
          <w:rFonts w:asciiTheme="majorHAnsi" w:eastAsiaTheme="majorEastAsia" w:hAnsiTheme="majorHAnsi" w:cstheme="majorBidi"/>
          <w:sz w:val="24"/>
          <w:szCs w:val="24"/>
        </w:rPr>
        <w:t>Covid</w:t>
      </w:r>
      <w:r w:rsidR="009A77D8" w:rsidRPr="009A77D8">
        <w:rPr>
          <w:rFonts w:asciiTheme="majorHAnsi" w:eastAsiaTheme="majorEastAsia" w:hAnsiTheme="majorHAnsi" w:cstheme="majorBidi"/>
          <w:sz w:val="24"/>
          <w:szCs w:val="24"/>
        </w:rPr>
        <w:t xml:space="preserve">-19 </w:t>
      </w:r>
      <w:r w:rsidR="009A77D8">
        <w:rPr>
          <w:rFonts w:asciiTheme="majorHAnsi" w:eastAsiaTheme="majorEastAsia" w:hAnsiTheme="majorHAnsi" w:cstheme="majorBidi"/>
          <w:sz w:val="24"/>
          <w:szCs w:val="24"/>
        </w:rPr>
        <w:t xml:space="preserve">και </w:t>
      </w:r>
      <w:r w:rsidR="009A77D8" w:rsidRPr="009A77D8">
        <w:rPr>
          <w:rFonts w:asciiTheme="majorHAnsi" w:eastAsiaTheme="majorEastAsia" w:hAnsiTheme="majorHAnsi" w:cstheme="majorBidi"/>
          <w:sz w:val="24"/>
          <w:szCs w:val="24"/>
        </w:rPr>
        <w:t xml:space="preserve">σε ένα περιβάλλον χαμηλών επιτοκίων για μεγαλύτερο χρονικό διάστημα. Το σενάριο, που αναπτύχθηκε σε συνεργασία με το Ευρωπαϊκό Συμβούλιο Συστημικού Κινδύνου (ESRB), </w:t>
      </w:r>
      <w:r w:rsidR="009A77D8">
        <w:rPr>
          <w:rFonts w:asciiTheme="majorHAnsi" w:eastAsiaTheme="majorEastAsia" w:hAnsiTheme="majorHAnsi" w:cstheme="majorBidi"/>
          <w:sz w:val="24"/>
          <w:szCs w:val="24"/>
        </w:rPr>
        <w:t>είχε σκοπό ν</w:t>
      </w:r>
      <w:r w:rsidR="009A77D8" w:rsidRPr="009A77D8">
        <w:rPr>
          <w:rFonts w:asciiTheme="majorHAnsi" w:eastAsiaTheme="majorEastAsia" w:hAnsiTheme="majorHAnsi" w:cstheme="majorBidi"/>
          <w:sz w:val="24"/>
          <w:szCs w:val="24"/>
        </w:rPr>
        <w:t>α αξιολογήσει τον αντίκτυπο των οικονομικών συνεπειών της πανδημίας</w:t>
      </w:r>
      <w:r w:rsidR="009F1F72" w:rsidRPr="009F1F72">
        <w:rPr>
          <w:rFonts w:asciiTheme="majorHAnsi" w:eastAsiaTheme="majorEastAsia" w:hAnsiTheme="majorHAnsi" w:cstheme="majorBidi"/>
          <w:sz w:val="24"/>
          <w:szCs w:val="24"/>
        </w:rPr>
        <w:t xml:space="preserve">    </w:t>
      </w:r>
      <w:r w:rsidR="009A77D8" w:rsidRPr="009A77D8">
        <w:rPr>
          <w:rFonts w:asciiTheme="majorHAnsi" w:eastAsiaTheme="majorEastAsia" w:hAnsiTheme="majorHAnsi" w:cstheme="majorBidi"/>
          <w:sz w:val="24"/>
          <w:szCs w:val="24"/>
        </w:rPr>
        <w:t xml:space="preserve"> </w:t>
      </w:r>
      <w:r w:rsidR="009F1F72">
        <w:rPr>
          <w:rFonts w:asciiTheme="majorHAnsi" w:eastAsiaTheme="majorEastAsia" w:hAnsiTheme="majorHAnsi" w:cstheme="majorBidi"/>
          <w:sz w:val="24"/>
          <w:szCs w:val="24"/>
          <w:lang w:val="en-US"/>
        </w:rPr>
        <w:t>Covid</w:t>
      </w:r>
      <w:r w:rsidR="009A77D8" w:rsidRPr="009A77D8">
        <w:rPr>
          <w:rFonts w:asciiTheme="majorHAnsi" w:eastAsiaTheme="majorEastAsia" w:hAnsiTheme="majorHAnsi" w:cstheme="majorBidi"/>
          <w:sz w:val="24"/>
          <w:szCs w:val="24"/>
        </w:rPr>
        <w:t>-19, οι οποίες επηρεάζουν την εμπιστοσύνη παγκοσμίως και παρατείνουν την οικονομική συρρίκνωση</w:t>
      </w:r>
      <w:r w:rsidR="002E3ADE">
        <w:rPr>
          <w:rFonts w:asciiTheme="majorHAnsi" w:eastAsiaTheme="majorEastAsia" w:hAnsiTheme="majorHAnsi" w:cstheme="majorBidi"/>
          <w:sz w:val="24"/>
          <w:szCs w:val="24"/>
        </w:rPr>
        <w:t>, καθώς και να</w:t>
      </w:r>
      <w:r w:rsidR="009A77D8" w:rsidRPr="009A77D8">
        <w:rPr>
          <w:rFonts w:asciiTheme="majorHAnsi" w:eastAsiaTheme="majorEastAsia" w:hAnsiTheme="majorHAnsi" w:cstheme="majorBidi"/>
          <w:sz w:val="24"/>
          <w:szCs w:val="24"/>
        </w:rPr>
        <w:t xml:space="preserve"> αξιολογήσει τόσο τον αντίκτυπο στ</w:t>
      </w:r>
      <w:r w:rsidR="002E3ADE">
        <w:rPr>
          <w:rFonts w:asciiTheme="majorHAnsi" w:eastAsiaTheme="majorEastAsia" w:hAnsiTheme="majorHAnsi" w:cstheme="majorBidi"/>
          <w:sz w:val="24"/>
          <w:szCs w:val="24"/>
        </w:rPr>
        <w:t>α Ίδια Κ</w:t>
      </w:r>
      <w:r w:rsidR="009A77D8" w:rsidRPr="009A77D8">
        <w:rPr>
          <w:rFonts w:asciiTheme="majorHAnsi" w:eastAsiaTheme="majorEastAsia" w:hAnsiTheme="majorHAnsi" w:cstheme="majorBidi"/>
          <w:sz w:val="24"/>
          <w:szCs w:val="24"/>
        </w:rPr>
        <w:t>εφάλαι</w:t>
      </w:r>
      <w:r w:rsidR="002E3ADE">
        <w:rPr>
          <w:rFonts w:asciiTheme="majorHAnsi" w:eastAsiaTheme="majorEastAsia" w:hAnsiTheme="majorHAnsi" w:cstheme="majorBidi"/>
          <w:sz w:val="24"/>
          <w:szCs w:val="24"/>
        </w:rPr>
        <w:t>α</w:t>
      </w:r>
      <w:r w:rsidR="009A77D8" w:rsidRPr="009A77D8">
        <w:rPr>
          <w:rFonts w:asciiTheme="majorHAnsi" w:eastAsiaTheme="majorEastAsia" w:hAnsiTheme="majorHAnsi" w:cstheme="majorBidi"/>
          <w:sz w:val="24"/>
          <w:szCs w:val="24"/>
        </w:rPr>
        <w:t xml:space="preserve"> όσο και τη θέση ρευστότητας των εταιριών στο πεδίο εφαρμογής.</w:t>
      </w:r>
      <w:r w:rsidR="002E3ADE">
        <w:rPr>
          <w:rFonts w:asciiTheme="majorHAnsi" w:eastAsiaTheme="majorEastAsia" w:hAnsiTheme="majorHAnsi" w:cstheme="majorBidi"/>
          <w:sz w:val="24"/>
          <w:szCs w:val="24"/>
        </w:rPr>
        <w:t xml:space="preserve"> </w:t>
      </w:r>
    </w:p>
    <w:p w14:paraId="1B6790B0" w14:textId="3A87AC0F" w:rsidR="00F87003" w:rsidRPr="00763B04" w:rsidRDefault="00720504" w:rsidP="00D05996">
      <w:pPr>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Επίσης, η</w:t>
      </w:r>
      <w:r w:rsidR="00752680" w:rsidRPr="00756DF8">
        <w:rPr>
          <w:rFonts w:asciiTheme="majorHAnsi" w:eastAsiaTheme="majorEastAsia" w:hAnsiTheme="majorHAnsi" w:cstheme="majorBidi"/>
          <w:sz w:val="24"/>
          <w:szCs w:val="24"/>
        </w:rPr>
        <w:t xml:space="preserve"> Διοίκηση παρακολουθεί συστηματικά την κεφαλαιακή επάρκεια της Εταιρίας σύμφωνα με την Φερεγγυότητα ΙΙ και προβαίνει στις απαραίτητες ενέργειες για τη διατήρηση ισχυρής κεφαλαιακής βάσης και υψηλής ποιότητας χαρτοφυλακίου επενδύσεων</w:t>
      </w:r>
      <w:r w:rsidR="00D8735A" w:rsidRPr="00756DF8">
        <w:rPr>
          <w:rFonts w:asciiTheme="majorHAnsi" w:eastAsiaTheme="majorEastAsia" w:hAnsiTheme="majorHAnsi" w:cstheme="majorBidi"/>
          <w:sz w:val="24"/>
          <w:szCs w:val="24"/>
        </w:rPr>
        <w:t xml:space="preserve">. Συγκεκριμένα, ο </w:t>
      </w:r>
      <w:r w:rsidR="00D8735A" w:rsidRPr="00756DF8">
        <w:rPr>
          <w:rFonts w:asciiTheme="majorHAnsi" w:eastAsiaTheme="majorEastAsia" w:hAnsiTheme="majorHAnsi" w:cstheme="majorBidi"/>
          <w:b/>
          <w:bCs/>
          <w:sz w:val="24"/>
          <w:szCs w:val="24"/>
        </w:rPr>
        <w:t xml:space="preserve">Δείκτης Φερεγγυότητας </w:t>
      </w:r>
      <w:r w:rsidR="00D8735A" w:rsidRPr="00756DF8">
        <w:rPr>
          <w:rFonts w:asciiTheme="majorHAnsi" w:eastAsiaTheme="majorEastAsia" w:hAnsiTheme="majorHAnsi" w:cstheme="majorBidi"/>
          <w:b/>
          <w:bCs/>
          <w:sz w:val="24"/>
          <w:szCs w:val="24"/>
          <w:lang w:val="en-US"/>
        </w:rPr>
        <w:t>SCR</w:t>
      </w:r>
      <w:r w:rsidR="00D8735A" w:rsidRPr="00756DF8">
        <w:rPr>
          <w:rFonts w:asciiTheme="majorHAnsi" w:eastAsiaTheme="majorEastAsia" w:hAnsiTheme="majorHAnsi" w:cstheme="majorBidi"/>
          <w:sz w:val="24"/>
          <w:szCs w:val="24"/>
        </w:rPr>
        <w:t xml:space="preserve">, στις 30/09/2021, </w:t>
      </w:r>
      <w:r w:rsidR="009B1941" w:rsidRPr="00756DF8">
        <w:rPr>
          <w:rFonts w:asciiTheme="majorHAnsi" w:eastAsiaTheme="majorEastAsia" w:hAnsiTheme="majorHAnsi" w:cstheme="majorBidi"/>
          <w:sz w:val="24"/>
          <w:szCs w:val="24"/>
        </w:rPr>
        <w:t xml:space="preserve">διαμορφώθηκε </w:t>
      </w:r>
      <w:r w:rsidR="004E7781">
        <w:rPr>
          <w:rFonts w:asciiTheme="majorHAnsi" w:eastAsiaTheme="majorEastAsia" w:hAnsiTheme="majorHAnsi" w:cstheme="majorBidi"/>
          <w:sz w:val="24"/>
          <w:szCs w:val="24"/>
        </w:rPr>
        <w:t xml:space="preserve">σε </w:t>
      </w:r>
      <w:r w:rsidR="00D8735A" w:rsidRPr="00756DF8">
        <w:rPr>
          <w:rFonts w:asciiTheme="majorHAnsi" w:eastAsiaTheme="majorEastAsia" w:hAnsiTheme="majorHAnsi" w:cstheme="majorBidi"/>
          <w:b/>
          <w:bCs/>
          <w:sz w:val="24"/>
          <w:szCs w:val="24"/>
        </w:rPr>
        <w:t>173,86%</w:t>
      </w:r>
      <w:r w:rsidR="00F85E60" w:rsidRPr="00763B04">
        <w:rPr>
          <w:rFonts w:asciiTheme="majorHAnsi" w:eastAsiaTheme="majorEastAsia" w:hAnsiTheme="majorHAnsi" w:cstheme="majorBidi"/>
          <w:sz w:val="24"/>
          <w:szCs w:val="24"/>
        </w:rPr>
        <w:t>.</w:t>
      </w:r>
    </w:p>
    <w:p w14:paraId="6F267F22" w14:textId="24C2C459" w:rsidR="00F87003" w:rsidRPr="00756DF8" w:rsidRDefault="005B336E"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Εκτός από την επίδραση της πανδημίας, θεωρείται σκόπιμη η αναφορά των παρακάτω γεγονότων που επηρέασαν σημαντικά τα οικονομικά αποτελέσματα, το πρώτο ενεάμηνο του 2021:</w:t>
      </w:r>
    </w:p>
    <w:p w14:paraId="5EF3594E" w14:textId="687F7454" w:rsidR="005B336E" w:rsidRPr="00756DF8" w:rsidRDefault="005B336E" w:rsidP="005B336E">
      <w:pPr>
        <w:pStyle w:val="a6"/>
        <w:numPr>
          <w:ilvl w:val="0"/>
          <w:numId w:val="5"/>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Η αύξηση της κυκλοφορίας στους δρόμους καθώς και το πλήθος των ζημιών</w:t>
      </w:r>
      <w:r w:rsidR="000B08E4">
        <w:rPr>
          <w:rFonts w:asciiTheme="majorHAnsi" w:eastAsiaTheme="majorEastAsia" w:hAnsiTheme="majorHAnsi" w:cstheme="majorBidi"/>
          <w:sz w:val="24"/>
          <w:szCs w:val="24"/>
        </w:rPr>
        <w:t xml:space="preserve">, μεγέθη τα οποία έχουν αυξηθεί ακριβώς μετά την </w:t>
      </w:r>
      <w:r w:rsidR="000B08E4" w:rsidRPr="000B08E4">
        <w:rPr>
          <w:rFonts w:asciiTheme="majorHAnsi" w:eastAsiaTheme="majorEastAsia" w:hAnsiTheme="majorHAnsi" w:cstheme="majorBidi"/>
          <w:sz w:val="24"/>
          <w:szCs w:val="24"/>
        </w:rPr>
        <w:t xml:space="preserve">κατάργηση των περιορισμών </w:t>
      </w:r>
      <w:r w:rsidR="000B08E4">
        <w:rPr>
          <w:rFonts w:asciiTheme="majorHAnsi" w:eastAsiaTheme="majorEastAsia" w:hAnsiTheme="majorHAnsi" w:cstheme="majorBidi"/>
          <w:sz w:val="24"/>
          <w:szCs w:val="24"/>
        </w:rPr>
        <w:t xml:space="preserve">μετακινήσεων. Τα παραπάνω διαμόρφωσαν τον Δείκτη Ζημιών του Κλάδου </w:t>
      </w:r>
      <w:r w:rsidR="000B08E4">
        <w:rPr>
          <w:rFonts w:asciiTheme="majorHAnsi" w:eastAsiaTheme="majorEastAsia" w:hAnsiTheme="majorHAnsi" w:cstheme="majorBidi"/>
          <w:sz w:val="24"/>
          <w:szCs w:val="24"/>
        </w:rPr>
        <w:lastRenderedPageBreak/>
        <w:t xml:space="preserve">Αυτοκινήτων </w:t>
      </w:r>
      <w:r w:rsidR="0068129F">
        <w:rPr>
          <w:rFonts w:asciiTheme="majorHAnsi" w:eastAsiaTheme="majorEastAsia" w:hAnsiTheme="majorHAnsi" w:cstheme="majorBidi"/>
          <w:sz w:val="24"/>
          <w:szCs w:val="24"/>
        </w:rPr>
        <w:t>στις</w:t>
      </w:r>
      <w:r w:rsidR="000B08E4">
        <w:rPr>
          <w:rFonts w:asciiTheme="majorHAnsi" w:eastAsiaTheme="majorEastAsia" w:hAnsiTheme="majorHAnsi" w:cstheme="majorBidi"/>
          <w:sz w:val="24"/>
          <w:szCs w:val="24"/>
        </w:rPr>
        <w:t xml:space="preserve"> 30/09/2021 (</w:t>
      </w:r>
      <w:proofErr w:type="spellStart"/>
      <w:r w:rsidR="000B08E4">
        <w:rPr>
          <w:rFonts w:asciiTheme="majorHAnsi" w:eastAsiaTheme="majorEastAsia" w:hAnsiTheme="majorHAnsi" w:cstheme="majorBidi"/>
          <w:sz w:val="24"/>
          <w:szCs w:val="24"/>
        </w:rPr>
        <w:t>ετησιοποιημένο</w:t>
      </w:r>
      <w:proofErr w:type="spellEnd"/>
      <w:r w:rsidR="000B08E4">
        <w:rPr>
          <w:rFonts w:asciiTheme="majorHAnsi" w:eastAsiaTheme="majorEastAsia" w:hAnsiTheme="majorHAnsi" w:cstheme="majorBidi"/>
          <w:sz w:val="24"/>
          <w:szCs w:val="24"/>
        </w:rPr>
        <w:t>)</w:t>
      </w:r>
      <w:r w:rsidR="009F1F72">
        <w:rPr>
          <w:rFonts w:asciiTheme="majorHAnsi" w:eastAsiaTheme="majorEastAsia" w:hAnsiTheme="majorHAnsi" w:cstheme="majorBidi"/>
          <w:sz w:val="24"/>
          <w:szCs w:val="24"/>
        </w:rPr>
        <w:t xml:space="preserve">, αυξημένο κατά 5 π.μ. σε σχέση με </w:t>
      </w:r>
      <w:r w:rsidR="00D64A0B">
        <w:rPr>
          <w:rFonts w:asciiTheme="majorHAnsi" w:eastAsiaTheme="majorEastAsia" w:hAnsiTheme="majorHAnsi" w:cstheme="majorBidi"/>
          <w:sz w:val="24"/>
          <w:szCs w:val="24"/>
        </w:rPr>
        <w:t>την αντίστοιχη περσινή περίοδο.</w:t>
      </w:r>
    </w:p>
    <w:p w14:paraId="69964A85" w14:textId="7128FE78" w:rsidR="005B336E" w:rsidRPr="000B08E4" w:rsidRDefault="005B336E" w:rsidP="00756DF8">
      <w:pPr>
        <w:pStyle w:val="a6"/>
        <w:numPr>
          <w:ilvl w:val="0"/>
          <w:numId w:val="5"/>
        </w:numPr>
        <w:spacing w:line="259" w:lineRule="auto"/>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Η κλιματική αλλαγή και το πλήθος των φυσικών φαινομένων</w:t>
      </w:r>
      <w:r w:rsidR="000B08E4" w:rsidRPr="000B08E4">
        <w:rPr>
          <w:rFonts w:asciiTheme="majorHAnsi" w:eastAsiaTheme="majorEastAsia" w:hAnsiTheme="majorHAnsi" w:cstheme="majorBidi"/>
          <w:sz w:val="24"/>
          <w:szCs w:val="24"/>
        </w:rPr>
        <w:t xml:space="preserve">. </w:t>
      </w:r>
      <w:r w:rsidR="00960EE2">
        <w:rPr>
          <w:rFonts w:asciiTheme="majorHAnsi" w:eastAsiaTheme="majorEastAsia" w:hAnsiTheme="majorHAnsi" w:cstheme="majorBidi"/>
          <w:sz w:val="24"/>
          <w:szCs w:val="24"/>
        </w:rPr>
        <w:t xml:space="preserve">Τα </w:t>
      </w:r>
      <w:r w:rsidRPr="000B08E4">
        <w:rPr>
          <w:rFonts w:asciiTheme="majorHAnsi" w:eastAsiaTheme="majorEastAsia" w:hAnsiTheme="majorHAnsi" w:cstheme="majorBidi"/>
          <w:sz w:val="24"/>
          <w:szCs w:val="24"/>
        </w:rPr>
        <w:t>ακραία φυσικά φαινόμενα (πυρκαγιές) που ξέσπασαν τον Αύγουστο σε περιοχές της Βόρειας Εύβοιας, Βόρειας Αττικής, Ηλείας και σε πολλά ακόμα σημεία της χώρας</w:t>
      </w:r>
      <w:r w:rsidR="00756DF8" w:rsidRPr="000B08E4">
        <w:rPr>
          <w:rFonts w:asciiTheme="majorHAnsi" w:eastAsiaTheme="majorEastAsia" w:hAnsiTheme="majorHAnsi" w:cstheme="majorBidi"/>
          <w:sz w:val="24"/>
          <w:szCs w:val="24"/>
        </w:rPr>
        <w:t xml:space="preserve">, επηρέασαν </w:t>
      </w:r>
      <w:r w:rsidRPr="000B08E4">
        <w:rPr>
          <w:rFonts w:asciiTheme="majorHAnsi" w:eastAsiaTheme="majorEastAsia" w:hAnsiTheme="majorHAnsi" w:cstheme="majorBidi"/>
          <w:sz w:val="24"/>
          <w:szCs w:val="24"/>
        </w:rPr>
        <w:t>τις ασφαλιστικές αποζημιώσεις της Εταιρίας κατά 2,7 εκ</w:t>
      </w:r>
      <w:r w:rsidR="00756DF8" w:rsidRPr="000B08E4">
        <w:rPr>
          <w:rFonts w:asciiTheme="majorHAnsi" w:eastAsiaTheme="majorEastAsia" w:hAnsiTheme="majorHAnsi" w:cstheme="majorBidi"/>
          <w:sz w:val="24"/>
          <w:szCs w:val="24"/>
        </w:rPr>
        <w:t xml:space="preserve">. ευρώ </w:t>
      </w:r>
      <w:r w:rsidRPr="000B08E4">
        <w:rPr>
          <w:rFonts w:asciiTheme="majorHAnsi" w:eastAsiaTheme="majorEastAsia" w:hAnsiTheme="majorHAnsi" w:cstheme="majorBidi"/>
          <w:sz w:val="24"/>
          <w:szCs w:val="24"/>
        </w:rPr>
        <w:t>περίπου, εκ των οποίων τα 0,9 εκ</w:t>
      </w:r>
      <w:r w:rsidR="00756DF8" w:rsidRPr="000B08E4">
        <w:rPr>
          <w:rFonts w:asciiTheme="majorHAnsi" w:eastAsiaTheme="majorEastAsia" w:hAnsiTheme="majorHAnsi" w:cstheme="majorBidi"/>
          <w:sz w:val="24"/>
          <w:szCs w:val="24"/>
        </w:rPr>
        <w:t>. ευρώ</w:t>
      </w:r>
      <w:r w:rsidRPr="000B08E4">
        <w:rPr>
          <w:rFonts w:asciiTheme="majorHAnsi" w:eastAsiaTheme="majorEastAsia" w:hAnsiTheme="majorHAnsi" w:cstheme="majorBidi"/>
          <w:sz w:val="24"/>
          <w:szCs w:val="24"/>
        </w:rPr>
        <w:t xml:space="preserve"> περίπου αφορούν σε συμμετοχή αντασφαλιστών.</w:t>
      </w:r>
    </w:p>
    <w:p w14:paraId="00BB7804" w14:textId="4EDA76C0" w:rsidR="000E6FF2" w:rsidRPr="00756DF8" w:rsidRDefault="00896C06" w:rsidP="00D05996">
      <w:pPr>
        <w:jc w:val="both"/>
        <w:rPr>
          <w:rFonts w:asciiTheme="majorHAnsi" w:eastAsiaTheme="majorEastAsia" w:hAnsiTheme="majorHAnsi" w:cstheme="majorBidi"/>
          <w:sz w:val="24"/>
          <w:szCs w:val="24"/>
        </w:rPr>
      </w:pPr>
      <w:r w:rsidRPr="00756DF8">
        <w:rPr>
          <w:rFonts w:asciiTheme="majorHAnsi" w:eastAsiaTheme="majorEastAsia" w:hAnsiTheme="majorHAnsi" w:cstheme="majorBidi"/>
          <w:sz w:val="24"/>
          <w:szCs w:val="24"/>
        </w:rPr>
        <w:t xml:space="preserve">Οι ενδιαφερόμενοι μπορούν να αντλήσουν περισσότερες πληροφορίες, στο επενδυτικό </w:t>
      </w:r>
      <w:proofErr w:type="spellStart"/>
      <w:r w:rsidRPr="00756DF8">
        <w:rPr>
          <w:rFonts w:asciiTheme="majorHAnsi" w:eastAsiaTheme="majorEastAsia" w:hAnsiTheme="majorHAnsi" w:cstheme="majorBidi"/>
          <w:sz w:val="24"/>
          <w:szCs w:val="24"/>
        </w:rPr>
        <w:t>site</w:t>
      </w:r>
      <w:proofErr w:type="spellEnd"/>
      <w:r w:rsidRPr="00756DF8">
        <w:rPr>
          <w:rFonts w:asciiTheme="majorHAnsi" w:eastAsiaTheme="majorEastAsia" w:hAnsiTheme="majorHAnsi" w:cstheme="majorBidi"/>
          <w:sz w:val="24"/>
          <w:szCs w:val="24"/>
        </w:rPr>
        <w:t xml:space="preserve"> της Εταιρίας, στην ενότητα </w:t>
      </w:r>
      <w:hyperlink r:id="rId7" w:history="1">
        <w:r w:rsidRPr="00756DF8">
          <w:rPr>
            <w:rStyle w:val="-"/>
            <w:rFonts w:asciiTheme="majorHAnsi" w:eastAsiaTheme="majorEastAsia" w:hAnsiTheme="majorHAnsi" w:cstheme="majorBidi"/>
            <w:b/>
            <w:bCs/>
            <w:sz w:val="24"/>
            <w:szCs w:val="24"/>
          </w:rPr>
          <w:t>Οικονομικά Αποτελέσματα</w:t>
        </w:r>
      </w:hyperlink>
      <w:r w:rsidRPr="00756DF8">
        <w:rPr>
          <w:rFonts w:asciiTheme="majorHAnsi" w:eastAsiaTheme="majorEastAsia" w:hAnsiTheme="majorHAnsi" w:cstheme="majorBidi"/>
          <w:sz w:val="24"/>
          <w:szCs w:val="24"/>
        </w:rPr>
        <w:t xml:space="preserve">, μέσω email στην ηλεκτρονική διεύθυνση </w:t>
      </w:r>
      <w:r w:rsidRPr="00756DF8">
        <w:rPr>
          <w:rFonts w:asciiTheme="majorHAnsi" w:eastAsiaTheme="majorEastAsia" w:hAnsiTheme="majorHAnsi" w:cstheme="majorBidi"/>
          <w:b/>
          <w:bCs/>
          <w:sz w:val="24"/>
          <w:szCs w:val="24"/>
        </w:rPr>
        <w:t>ir@europisti.gr</w:t>
      </w:r>
      <w:r w:rsidR="00950F42">
        <w:rPr>
          <w:rFonts w:asciiTheme="majorHAnsi" w:eastAsiaTheme="majorEastAsia" w:hAnsiTheme="majorHAnsi" w:cstheme="majorBidi"/>
          <w:b/>
          <w:bCs/>
          <w:sz w:val="24"/>
          <w:szCs w:val="24"/>
        </w:rPr>
        <w:t>,</w:t>
      </w:r>
      <w:r w:rsidRPr="00756DF8">
        <w:rPr>
          <w:rFonts w:asciiTheme="majorHAnsi" w:eastAsiaTheme="majorEastAsia" w:hAnsiTheme="majorHAnsi" w:cstheme="majorBidi"/>
          <w:sz w:val="24"/>
          <w:szCs w:val="24"/>
        </w:rPr>
        <w:t xml:space="preserve"> ή τηλεφωνικά στους αριθμούς +30 210 8119655/+30 216 2001381.</w:t>
      </w:r>
    </w:p>
    <w:sectPr w:rsidR="000E6FF2" w:rsidRPr="00756DF8" w:rsidSect="009568A3">
      <w:headerReference w:type="default" r:id="rId8"/>
      <w:footerReference w:type="default" r:id="rId9"/>
      <w:pgSz w:w="12240" w:h="15840"/>
      <w:pgMar w:top="2268" w:right="1608" w:bottom="1440" w:left="1800"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2E28" w14:textId="77777777" w:rsidR="005C6AE9" w:rsidRDefault="005C6AE9" w:rsidP="000E6FF2">
      <w:pPr>
        <w:spacing w:after="0" w:line="240" w:lineRule="auto"/>
      </w:pPr>
      <w:r>
        <w:separator/>
      </w:r>
    </w:p>
  </w:endnote>
  <w:endnote w:type="continuationSeparator" w:id="0">
    <w:p w14:paraId="7A1E24D0" w14:textId="77777777" w:rsidR="005C6AE9" w:rsidRDefault="005C6AE9" w:rsidP="000E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72 Black">
    <w:panose1 w:val="020B0A04030603020204"/>
    <w:charset w:val="A1"/>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801311"/>
      <w:docPartObj>
        <w:docPartGallery w:val="Page Numbers (Bottom of Page)"/>
        <w:docPartUnique/>
      </w:docPartObj>
    </w:sdtPr>
    <w:sdtEndPr/>
    <w:sdtContent>
      <w:p w14:paraId="5DCD2DB7" w14:textId="26925CE9" w:rsidR="00EA5542" w:rsidRDefault="00EA5542">
        <w:pPr>
          <w:pStyle w:val="a4"/>
          <w:jc w:val="right"/>
        </w:pPr>
        <w:r>
          <w:fldChar w:fldCharType="begin"/>
        </w:r>
        <w:r>
          <w:instrText>PAGE   \* MERGEFORMAT</w:instrText>
        </w:r>
        <w:r>
          <w:fldChar w:fldCharType="separate"/>
        </w:r>
        <w:r>
          <w:t>2</w:t>
        </w:r>
        <w:r>
          <w:fldChar w:fldCharType="end"/>
        </w:r>
      </w:p>
    </w:sdtContent>
  </w:sdt>
  <w:p w14:paraId="724A2CB9" w14:textId="77777777" w:rsidR="00EA5542" w:rsidRDefault="00EA554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A9EF" w14:textId="77777777" w:rsidR="005C6AE9" w:rsidRDefault="005C6AE9" w:rsidP="000E6FF2">
      <w:pPr>
        <w:spacing w:after="0" w:line="240" w:lineRule="auto"/>
      </w:pPr>
      <w:r>
        <w:separator/>
      </w:r>
    </w:p>
  </w:footnote>
  <w:footnote w:type="continuationSeparator" w:id="0">
    <w:p w14:paraId="5EF105EE" w14:textId="77777777" w:rsidR="005C6AE9" w:rsidRDefault="005C6AE9" w:rsidP="000E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AEA2" w14:textId="4EA9C3E0" w:rsidR="000E6FF2" w:rsidRPr="00C36E65" w:rsidRDefault="00C36E65">
    <w:pPr>
      <w:pStyle w:val="a3"/>
      <w:rPr>
        <w:lang w:val="en-US"/>
      </w:rPr>
    </w:pPr>
    <w:r>
      <w:rPr>
        <w:noProof/>
      </w:rPr>
      <w:drawing>
        <wp:anchor distT="0" distB="0" distL="114300" distR="114300" simplePos="0" relativeHeight="251658240" behindDoc="0" locked="0" layoutInCell="1" allowOverlap="1" wp14:anchorId="012C1D84" wp14:editId="7B3B42FE">
          <wp:simplePos x="0" y="0"/>
          <wp:positionH relativeFrom="leftMargin">
            <wp:posOffset>762000</wp:posOffset>
          </wp:positionH>
          <wp:positionV relativeFrom="paragraph">
            <wp:posOffset>-200660</wp:posOffset>
          </wp:positionV>
          <wp:extent cx="2695575" cy="806450"/>
          <wp:effectExtent l="0" t="0" r="952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epistoloxarto_2-01.jpg"/>
                  <pic:cNvPicPr/>
                </pic:nvPicPr>
                <pic:blipFill rotWithShape="1">
                  <a:blip r:embed="rId1">
                    <a:extLst>
                      <a:ext uri="{28A0092B-C50C-407E-A947-70E740481C1C}">
                        <a14:useLocalDpi xmlns:a14="http://schemas.microsoft.com/office/drawing/2010/main" val="0"/>
                      </a:ext>
                    </a:extLst>
                  </a:blip>
                  <a:srcRect r="65126"/>
                  <a:stretch/>
                </pic:blipFill>
                <pic:spPr bwMode="auto">
                  <a:xfrm>
                    <a:off x="0" y="0"/>
                    <a:ext cx="2695575" cy="806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E2E"/>
    <w:multiLevelType w:val="hybridMultilevel"/>
    <w:tmpl w:val="1E5AE522"/>
    <w:lvl w:ilvl="0" w:tplc="69B0E286">
      <w:start w:val="1"/>
      <w:numFmt w:val="bullet"/>
      <w:lvlText w:val="•"/>
      <w:lvlJc w:val="left"/>
      <w:pPr>
        <w:ind w:left="720" w:hanging="360"/>
      </w:pPr>
      <w:rPr>
        <w:rFonts w:ascii="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4433FE"/>
    <w:multiLevelType w:val="hybridMultilevel"/>
    <w:tmpl w:val="B3C87586"/>
    <w:lvl w:ilvl="0" w:tplc="69B0E286">
      <w:start w:val="1"/>
      <w:numFmt w:val="bullet"/>
      <w:lvlText w:val="•"/>
      <w:lvlJc w:val="left"/>
      <w:pPr>
        <w:ind w:left="720" w:hanging="360"/>
      </w:pPr>
      <w:rPr>
        <w:rFonts w:ascii="Times New Roman" w:hAnsi="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2A0BFA"/>
    <w:multiLevelType w:val="hybridMultilevel"/>
    <w:tmpl w:val="259C1620"/>
    <w:lvl w:ilvl="0" w:tplc="0408000D">
      <w:start w:val="1"/>
      <w:numFmt w:val="bullet"/>
      <w:lvlText w:val=""/>
      <w:lvlJc w:val="left"/>
      <w:pPr>
        <w:ind w:left="720" w:hanging="360"/>
      </w:pPr>
      <w:rPr>
        <w:rFonts w:ascii="Wingdings" w:hAnsi="Wingdings" w:hint="default"/>
        <w:color w:val="FFC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A797D92"/>
    <w:multiLevelType w:val="hybridMultilevel"/>
    <w:tmpl w:val="825456F2"/>
    <w:lvl w:ilvl="0" w:tplc="CBBA1FBE">
      <w:start w:val="1"/>
      <w:numFmt w:val="bullet"/>
      <w:lvlText w:val="•"/>
      <w:lvlJc w:val="left"/>
      <w:pPr>
        <w:ind w:left="1140" w:hanging="360"/>
      </w:pPr>
      <w:rPr>
        <w:rFonts w:ascii="Arial" w:hAnsi="Aria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4" w15:restartNumberingAfterBreak="0">
    <w:nsid w:val="72335143"/>
    <w:multiLevelType w:val="hybridMultilevel"/>
    <w:tmpl w:val="40684BC2"/>
    <w:lvl w:ilvl="0" w:tplc="04080001">
      <w:start w:val="1"/>
      <w:numFmt w:val="bullet"/>
      <w:lvlText w:val=""/>
      <w:lvlJc w:val="left"/>
      <w:pPr>
        <w:ind w:left="-225" w:hanging="360"/>
      </w:pPr>
      <w:rPr>
        <w:rFonts w:ascii="Symbol" w:hAnsi="Symbol" w:hint="default"/>
      </w:rPr>
    </w:lvl>
    <w:lvl w:ilvl="1" w:tplc="04080003">
      <w:start w:val="1"/>
      <w:numFmt w:val="bullet"/>
      <w:lvlText w:val="o"/>
      <w:lvlJc w:val="left"/>
      <w:pPr>
        <w:ind w:left="495" w:hanging="360"/>
      </w:pPr>
      <w:rPr>
        <w:rFonts w:ascii="Courier New" w:hAnsi="Courier New" w:cs="Courier New" w:hint="default"/>
      </w:rPr>
    </w:lvl>
    <w:lvl w:ilvl="2" w:tplc="04080005">
      <w:start w:val="1"/>
      <w:numFmt w:val="bullet"/>
      <w:lvlText w:val=""/>
      <w:lvlJc w:val="left"/>
      <w:pPr>
        <w:ind w:left="1215" w:hanging="360"/>
      </w:pPr>
      <w:rPr>
        <w:rFonts w:ascii="Wingdings" w:hAnsi="Wingdings" w:hint="default"/>
      </w:rPr>
    </w:lvl>
    <w:lvl w:ilvl="3" w:tplc="04080001">
      <w:start w:val="1"/>
      <w:numFmt w:val="bullet"/>
      <w:lvlText w:val=""/>
      <w:lvlJc w:val="left"/>
      <w:pPr>
        <w:ind w:left="1935" w:hanging="360"/>
      </w:pPr>
      <w:rPr>
        <w:rFonts w:ascii="Symbol" w:hAnsi="Symbol" w:hint="default"/>
      </w:rPr>
    </w:lvl>
    <w:lvl w:ilvl="4" w:tplc="04080003">
      <w:start w:val="1"/>
      <w:numFmt w:val="bullet"/>
      <w:lvlText w:val="o"/>
      <w:lvlJc w:val="left"/>
      <w:pPr>
        <w:ind w:left="2655" w:hanging="360"/>
      </w:pPr>
      <w:rPr>
        <w:rFonts w:ascii="Courier New" w:hAnsi="Courier New" w:cs="Courier New" w:hint="default"/>
      </w:rPr>
    </w:lvl>
    <w:lvl w:ilvl="5" w:tplc="04080005">
      <w:start w:val="1"/>
      <w:numFmt w:val="bullet"/>
      <w:lvlText w:val=""/>
      <w:lvlJc w:val="left"/>
      <w:pPr>
        <w:ind w:left="3375" w:hanging="360"/>
      </w:pPr>
      <w:rPr>
        <w:rFonts w:ascii="Wingdings" w:hAnsi="Wingdings" w:hint="default"/>
      </w:rPr>
    </w:lvl>
    <w:lvl w:ilvl="6" w:tplc="04080001">
      <w:start w:val="1"/>
      <w:numFmt w:val="bullet"/>
      <w:lvlText w:val=""/>
      <w:lvlJc w:val="left"/>
      <w:pPr>
        <w:ind w:left="4095" w:hanging="360"/>
      </w:pPr>
      <w:rPr>
        <w:rFonts w:ascii="Symbol" w:hAnsi="Symbol" w:hint="default"/>
      </w:rPr>
    </w:lvl>
    <w:lvl w:ilvl="7" w:tplc="04080003">
      <w:start w:val="1"/>
      <w:numFmt w:val="bullet"/>
      <w:lvlText w:val="o"/>
      <w:lvlJc w:val="left"/>
      <w:pPr>
        <w:ind w:left="4815" w:hanging="360"/>
      </w:pPr>
      <w:rPr>
        <w:rFonts w:ascii="Courier New" w:hAnsi="Courier New" w:cs="Courier New" w:hint="default"/>
      </w:rPr>
    </w:lvl>
    <w:lvl w:ilvl="8" w:tplc="04080005">
      <w:start w:val="1"/>
      <w:numFmt w:val="bullet"/>
      <w:lvlText w:val=""/>
      <w:lvlJc w:val="left"/>
      <w:pPr>
        <w:ind w:left="5535" w:hanging="360"/>
      </w:pPr>
      <w:rPr>
        <w:rFonts w:ascii="Wingdings" w:hAnsi="Wingdings" w:hint="default"/>
      </w:rPr>
    </w:lvl>
  </w:abstractNum>
  <w:abstractNum w:abstractNumId="5" w15:restartNumberingAfterBreak="0">
    <w:nsid w:val="772B026A"/>
    <w:multiLevelType w:val="hybridMultilevel"/>
    <w:tmpl w:val="85D495B6"/>
    <w:lvl w:ilvl="0" w:tplc="69B0E286">
      <w:start w:val="1"/>
      <w:numFmt w:val="bullet"/>
      <w:lvlText w:val="•"/>
      <w:lvlJc w:val="left"/>
      <w:pPr>
        <w:ind w:left="843" w:hanging="360"/>
      </w:pPr>
      <w:rPr>
        <w:rFonts w:ascii="Times New Roman" w:hAnsi="Times New Roman" w:hint="default"/>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F2"/>
    <w:rsid w:val="0002646F"/>
    <w:rsid w:val="00094087"/>
    <w:rsid w:val="000B08E4"/>
    <w:rsid w:val="000E6FF2"/>
    <w:rsid w:val="001017CF"/>
    <w:rsid w:val="00104CA6"/>
    <w:rsid w:val="00141EE4"/>
    <w:rsid w:val="001E31C9"/>
    <w:rsid w:val="00260BFD"/>
    <w:rsid w:val="00262D1A"/>
    <w:rsid w:val="002D47A1"/>
    <w:rsid w:val="002E3ADE"/>
    <w:rsid w:val="00354A3C"/>
    <w:rsid w:val="003635D4"/>
    <w:rsid w:val="003705AB"/>
    <w:rsid w:val="0039276D"/>
    <w:rsid w:val="003F0C4E"/>
    <w:rsid w:val="00493452"/>
    <w:rsid w:val="004954A7"/>
    <w:rsid w:val="004D500D"/>
    <w:rsid w:val="004E3CE8"/>
    <w:rsid w:val="004E7781"/>
    <w:rsid w:val="00501F6B"/>
    <w:rsid w:val="005868FE"/>
    <w:rsid w:val="005B336E"/>
    <w:rsid w:val="005C6AE9"/>
    <w:rsid w:val="006467C6"/>
    <w:rsid w:val="00652CF2"/>
    <w:rsid w:val="0068129F"/>
    <w:rsid w:val="00720504"/>
    <w:rsid w:val="00751250"/>
    <w:rsid w:val="00752680"/>
    <w:rsid w:val="00756DF8"/>
    <w:rsid w:val="00763B04"/>
    <w:rsid w:val="00780E53"/>
    <w:rsid w:val="00783632"/>
    <w:rsid w:val="007952D2"/>
    <w:rsid w:val="007F2157"/>
    <w:rsid w:val="007F2734"/>
    <w:rsid w:val="0086294B"/>
    <w:rsid w:val="00896C06"/>
    <w:rsid w:val="008A2D4B"/>
    <w:rsid w:val="008B3096"/>
    <w:rsid w:val="008C6E64"/>
    <w:rsid w:val="009007BF"/>
    <w:rsid w:val="00950F42"/>
    <w:rsid w:val="009568A3"/>
    <w:rsid w:val="00960EE2"/>
    <w:rsid w:val="009A72E6"/>
    <w:rsid w:val="009A77D8"/>
    <w:rsid w:val="009B1941"/>
    <w:rsid w:val="009F1F72"/>
    <w:rsid w:val="009F4C65"/>
    <w:rsid w:val="00A51DEA"/>
    <w:rsid w:val="00A7316B"/>
    <w:rsid w:val="00A815B5"/>
    <w:rsid w:val="00B168C1"/>
    <w:rsid w:val="00B67C70"/>
    <w:rsid w:val="00BC05F0"/>
    <w:rsid w:val="00C36E65"/>
    <w:rsid w:val="00C73DAC"/>
    <w:rsid w:val="00CD1F85"/>
    <w:rsid w:val="00CF409F"/>
    <w:rsid w:val="00D05996"/>
    <w:rsid w:val="00D16F97"/>
    <w:rsid w:val="00D64A0B"/>
    <w:rsid w:val="00D8735A"/>
    <w:rsid w:val="00E14FC9"/>
    <w:rsid w:val="00E2186F"/>
    <w:rsid w:val="00E53BA0"/>
    <w:rsid w:val="00E74ED0"/>
    <w:rsid w:val="00EA5542"/>
    <w:rsid w:val="00EF59D7"/>
    <w:rsid w:val="00F85E60"/>
    <w:rsid w:val="00F87003"/>
    <w:rsid w:val="00F9654F"/>
    <w:rsid w:val="00FB6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D90E"/>
  <w15:chartTrackingRefBased/>
  <w15:docId w15:val="{06E3C5C4-7119-4660-9700-5C1952F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03"/>
    <w:rPr>
      <w:lang w:val="el-GR"/>
    </w:rPr>
  </w:style>
  <w:style w:type="paragraph" w:styleId="2">
    <w:name w:val="heading 2"/>
    <w:basedOn w:val="a"/>
    <w:next w:val="a"/>
    <w:link w:val="2Char"/>
    <w:uiPriority w:val="9"/>
    <w:unhideWhenUsed/>
    <w:qFormat/>
    <w:rsid w:val="00F870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6FF2"/>
    <w:pPr>
      <w:tabs>
        <w:tab w:val="center" w:pos="4320"/>
        <w:tab w:val="right" w:pos="8640"/>
      </w:tabs>
      <w:spacing w:after="0" w:line="240" w:lineRule="auto"/>
    </w:pPr>
  </w:style>
  <w:style w:type="character" w:customStyle="1" w:styleId="Char">
    <w:name w:val="Κεφαλίδα Char"/>
    <w:basedOn w:val="a0"/>
    <w:link w:val="a3"/>
    <w:uiPriority w:val="99"/>
    <w:rsid w:val="000E6FF2"/>
  </w:style>
  <w:style w:type="paragraph" w:styleId="a4">
    <w:name w:val="footer"/>
    <w:basedOn w:val="a"/>
    <w:link w:val="Char0"/>
    <w:uiPriority w:val="99"/>
    <w:unhideWhenUsed/>
    <w:rsid w:val="000E6FF2"/>
    <w:pPr>
      <w:tabs>
        <w:tab w:val="center" w:pos="4320"/>
        <w:tab w:val="right" w:pos="8640"/>
      </w:tabs>
      <w:spacing w:after="0" w:line="240" w:lineRule="auto"/>
    </w:pPr>
  </w:style>
  <w:style w:type="character" w:customStyle="1" w:styleId="Char0">
    <w:name w:val="Υποσέλιδο Char"/>
    <w:basedOn w:val="a0"/>
    <w:link w:val="a4"/>
    <w:uiPriority w:val="99"/>
    <w:rsid w:val="000E6FF2"/>
  </w:style>
  <w:style w:type="paragraph" w:styleId="a5">
    <w:name w:val="Balloon Text"/>
    <w:basedOn w:val="a"/>
    <w:link w:val="Char1"/>
    <w:uiPriority w:val="99"/>
    <w:semiHidden/>
    <w:unhideWhenUsed/>
    <w:rsid w:val="0002646F"/>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02646F"/>
    <w:rPr>
      <w:rFonts w:ascii="Segoe UI" w:hAnsi="Segoe UI" w:cs="Segoe UI"/>
      <w:sz w:val="18"/>
      <w:szCs w:val="18"/>
    </w:rPr>
  </w:style>
  <w:style w:type="paragraph" w:styleId="a6">
    <w:name w:val="List Paragraph"/>
    <w:basedOn w:val="a"/>
    <w:uiPriority w:val="34"/>
    <w:qFormat/>
    <w:rsid w:val="00FB6296"/>
    <w:pPr>
      <w:spacing w:line="256" w:lineRule="auto"/>
      <w:ind w:left="720"/>
      <w:contextualSpacing/>
    </w:pPr>
  </w:style>
  <w:style w:type="character" w:customStyle="1" w:styleId="2Char">
    <w:name w:val="Επικεφαλίδα 2 Char"/>
    <w:basedOn w:val="a0"/>
    <w:link w:val="2"/>
    <w:uiPriority w:val="9"/>
    <w:rsid w:val="00F87003"/>
    <w:rPr>
      <w:rFonts w:asciiTheme="majorHAnsi" w:eastAsiaTheme="majorEastAsia" w:hAnsiTheme="majorHAnsi" w:cstheme="majorBidi"/>
      <w:color w:val="2F5496" w:themeColor="accent1" w:themeShade="BF"/>
      <w:sz w:val="26"/>
      <w:szCs w:val="26"/>
      <w:lang w:val="el-GR"/>
    </w:rPr>
  </w:style>
  <w:style w:type="paragraph" w:styleId="Web">
    <w:name w:val="Normal (Web)"/>
    <w:basedOn w:val="a"/>
    <w:uiPriority w:val="99"/>
    <w:semiHidden/>
    <w:unhideWhenUsed/>
    <w:rsid w:val="009568A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896C06"/>
    <w:rPr>
      <w:color w:val="0563C1" w:themeColor="hyperlink"/>
      <w:u w:val="single"/>
    </w:rPr>
  </w:style>
  <w:style w:type="character" w:styleId="a7">
    <w:name w:val="Unresolved Mention"/>
    <w:basedOn w:val="a0"/>
    <w:uiPriority w:val="99"/>
    <w:semiHidden/>
    <w:unhideWhenUsed/>
    <w:rsid w:val="00896C06"/>
    <w:rPr>
      <w:color w:val="605E5C"/>
      <w:shd w:val="clear" w:color="auto" w:fill="E1DFDD"/>
    </w:rPr>
  </w:style>
  <w:style w:type="character" w:styleId="-0">
    <w:name w:val="FollowedHyperlink"/>
    <w:basedOn w:val="a0"/>
    <w:uiPriority w:val="99"/>
    <w:semiHidden/>
    <w:unhideWhenUsed/>
    <w:rsid w:val="00896C06"/>
    <w:rPr>
      <w:color w:val="954F72" w:themeColor="followedHyperlink"/>
      <w:u w:val="single"/>
    </w:rPr>
  </w:style>
  <w:style w:type="paragraph" w:styleId="a8">
    <w:name w:val="Revision"/>
    <w:hidden/>
    <w:uiPriority w:val="99"/>
    <w:semiHidden/>
    <w:rsid w:val="004D500D"/>
    <w:pPr>
      <w:spacing w:after="0" w:line="240" w:lineRule="auto"/>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8320">
      <w:bodyDiv w:val="1"/>
      <w:marLeft w:val="0"/>
      <w:marRight w:val="0"/>
      <w:marTop w:val="0"/>
      <w:marBottom w:val="0"/>
      <w:divBdr>
        <w:top w:val="none" w:sz="0" w:space="0" w:color="auto"/>
        <w:left w:val="none" w:sz="0" w:space="0" w:color="auto"/>
        <w:bottom w:val="none" w:sz="0" w:space="0" w:color="auto"/>
        <w:right w:val="none" w:sz="0" w:space="0" w:color="auto"/>
      </w:divBdr>
      <w:divsChild>
        <w:div w:id="1918660836">
          <w:marLeft w:val="432"/>
          <w:marRight w:val="432"/>
          <w:marTop w:val="0"/>
          <w:marBottom w:val="0"/>
          <w:divBdr>
            <w:top w:val="none" w:sz="0" w:space="0" w:color="auto"/>
            <w:left w:val="none" w:sz="0" w:space="0" w:color="auto"/>
            <w:bottom w:val="none" w:sz="0" w:space="0" w:color="auto"/>
            <w:right w:val="none" w:sz="0" w:space="0" w:color="auto"/>
          </w:divBdr>
        </w:div>
      </w:divsChild>
    </w:div>
    <w:div w:id="266623707">
      <w:bodyDiv w:val="1"/>
      <w:marLeft w:val="0"/>
      <w:marRight w:val="0"/>
      <w:marTop w:val="0"/>
      <w:marBottom w:val="0"/>
      <w:divBdr>
        <w:top w:val="none" w:sz="0" w:space="0" w:color="auto"/>
        <w:left w:val="none" w:sz="0" w:space="0" w:color="auto"/>
        <w:bottom w:val="none" w:sz="0" w:space="0" w:color="auto"/>
        <w:right w:val="none" w:sz="0" w:space="0" w:color="auto"/>
      </w:divBdr>
    </w:div>
    <w:div w:id="482694551">
      <w:bodyDiv w:val="1"/>
      <w:marLeft w:val="0"/>
      <w:marRight w:val="0"/>
      <w:marTop w:val="0"/>
      <w:marBottom w:val="0"/>
      <w:divBdr>
        <w:top w:val="none" w:sz="0" w:space="0" w:color="auto"/>
        <w:left w:val="none" w:sz="0" w:space="0" w:color="auto"/>
        <w:bottom w:val="none" w:sz="0" w:space="0" w:color="auto"/>
        <w:right w:val="none" w:sz="0" w:space="0" w:color="auto"/>
      </w:divBdr>
      <w:divsChild>
        <w:div w:id="1735660476">
          <w:marLeft w:val="432"/>
          <w:marRight w:val="432"/>
          <w:marTop w:val="0"/>
          <w:marBottom w:val="0"/>
          <w:divBdr>
            <w:top w:val="none" w:sz="0" w:space="0" w:color="auto"/>
            <w:left w:val="none" w:sz="0" w:space="0" w:color="auto"/>
            <w:bottom w:val="none" w:sz="0" w:space="0" w:color="auto"/>
            <w:right w:val="none" w:sz="0" w:space="0" w:color="auto"/>
          </w:divBdr>
        </w:div>
      </w:divsChild>
    </w:div>
    <w:div w:id="619074045">
      <w:bodyDiv w:val="1"/>
      <w:marLeft w:val="0"/>
      <w:marRight w:val="0"/>
      <w:marTop w:val="0"/>
      <w:marBottom w:val="0"/>
      <w:divBdr>
        <w:top w:val="none" w:sz="0" w:space="0" w:color="auto"/>
        <w:left w:val="none" w:sz="0" w:space="0" w:color="auto"/>
        <w:bottom w:val="none" w:sz="0" w:space="0" w:color="auto"/>
        <w:right w:val="none" w:sz="0" w:space="0" w:color="auto"/>
      </w:divBdr>
    </w:div>
    <w:div w:id="1298996793">
      <w:bodyDiv w:val="1"/>
      <w:marLeft w:val="0"/>
      <w:marRight w:val="0"/>
      <w:marTop w:val="0"/>
      <w:marBottom w:val="0"/>
      <w:divBdr>
        <w:top w:val="none" w:sz="0" w:space="0" w:color="auto"/>
        <w:left w:val="none" w:sz="0" w:space="0" w:color="auto"/>
        <w:bottom w:val="none" w:sz="0" w:space="0" w:color="auto"/>
        <w:right w:val="none" w:sz="0" w:space="0" w:color="auto"/>
      </w:divBdr>
    </w:div>
    <w:div w:id="1617757825">
      <w:bodyDiv w:val="1"/>
      <w:marLeft w:val="0"/>
      <w:marRight w:val="0"/>
      <w:marTop w:val="0"/>
      <w:marBottom w:val="0"/>
      <w:divBdr>
        <w:top w:val="none" w:sz="0" w:space="0" w:color="auto"/>
        <w:left w:val="none" w:sz="0" w:space="0" w:color="auto"/>
        <w:bottom w:val="none" w:sz="0" w:space="0" w:color="auto"/>
        <w:right w:val="none" w:sz="0" w:space="0" w:color="auto"/>
      </w:divBdr>
      <w:divsChild>
        <w:div w:id="1686859463">
          <w:marLeft w:val="432"/>
          <w:marRight w:val="432"/>
          <w:marTop w:val="0"/>
          <w:marBottom w:val="0"/>
          <w:divBdr>
            <w:top w:val="none" w:sz="0" w:space="0" w:color="auto"/>
            <w:left w:val="none" w:sz="0" w:space="0" w:color="auto"/>
            <w:bottom w:val="none" w:sz="0" w:space="0" w:color="auto"/>
            <w:right w:val="none" w:sz="0" w:space="0" w:color="auto"/>
          </w:divBdr>
        </w:div>
      </w:divsChild>
    </w:div>
    <w:div w:id="19446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r.europaikipisti.gr/el/oikonomika-apotelesm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1608</Words>
  <Characters>8686</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Χάρης Μαχαίρας</dc:creator>
  <cp:keywords/>
  <dc:description/>
  <cp:lastModifiedBy>vdenita</cp:lastModifiedBy>
  <cp:revision>3</cp:revision>
  <cp:lastPrinted>2021-11-17T10:36:00Z</cp:lastPrinted>
  <dcterms:created xsi:type="dcterms:W3CDTF">2021-11-17T13:21:00Z</dcterms:created>
  <dcterms:modified xsi:type="dcterms:W3CDTF">2021-11-17T13:28:00Z</dcterms:modified>
</cp:coreProperties>
</file>