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81D10" w14:textId="77777777" w:rsidR="009E4B24" w:rsidRPr="009E4B24" w:rsidRDefault="009E4B24" w:rsidP="009E4B24">
      <w:pPr>
        <w:spacing w:line="312" w:lineRule="auto"/>
        <w:ind w:left="0" w:right="0"/>
        <w:jc w:val="center"/>
        <w:rPr>
          <w:rFonts w:eastAsia="Times New Roman" w:cstheme="minorHAnsi"/>
          <w:b/>
          <w:bCs/>
          <w:sz w:val="24"/>
          <w:szCs w:val="24"/>
          <w:u w:val="single"/>
          <w:lang w:eastAsia="el-GR"/>
        </w:rPr>
      </w:pPr>
      <w:bookmarkStart w:id="0" w:name="_GoBack"/>
      <w:bookmarkEnd w:id="0"/>
      <w:r w:rsidRPr="009E4B24">
        <w:rPr>
          <w:rFonts w:eastAsia="Times New Roman" w:cstheme="minorHAnsi"/>
          <w:b/>
          <w:bCs/>
          <w:sz w:val="24"/>
          <w:szCs w:val="24"/>
          <w:u w:val="single"/>
          <w:lang w:eastAsia="el-GR"/>
        </w:rPr>
        <w:t>ΑΙΤΙΟΛΟΓΗΜΕΝΗ ΓΝΩΜΗ</w:t>
      </w:r>
    </w:p>
    <w:p w14:paraId="36DFB579" w14:textId="77777777" w:rsidR="009E4B24" w:rsidRPr="009E4B24" w:rsidRDefault="009E4B24" w:rsidP="009E4B24">
      <w:pPr>
        <w:spacing w:line="312" w:lineRule="auto"/>
        <w:ind w:left="0" w:right="0"/>
        <w:jc w:val="center"/>
        <w:rPr>
          <w:rFonts w:eastAsia="Times New Roman" w:cstheme="minorHAnsi"/>
          <w:b/>
          <w:bCs/>
          <w:sz w:val="24"/>
          <w:szCs w:val="24"/>
          <w:u w:val="single"/>
          <w:lang w:eastAsia="el-GR"/>
        </w:rPr>
      </w:pPr>
    </w:p>
    <w:p w14:paraId="3F41A173" w14:textId="77777777" w:rsidR="009E4B24" w:rsidRPr="009E4B24" w:rsidRDefault="009E4B24" w:rsidP="009E4B24">
      <w:pPr>
        <w:spacing w:line="312" w:lineRule="auto"/>
        <w:ind w:left="0" w:right="0"/>
        <w:jc w:val="center"/>
        <w:rPr>
          <w:rFonts w:eastAsia="Times New Roman" w:cstheme="minorHAnsi"/>
          <w:b/>
          <w:bCs/>
          <w:sz w:val="24"/>
          <w:szCs w:val="24"/>
          <w:u w:val="single"/>
          <w:lang w:eastAsia="el-GR"/>
        </w:rPr>
      </w:pPr>
      <w:r w:rsidRPr="009E4B24">
        <w:rPr>
          <w:rFonts w:eastAsia="Times New Roman" w:cstheme="minorHAnsi"/>
          <w:b/>
          <w:bCs/>
          <w:sz w:val="24"/>
          <w:szCs w:val="24"/>
          <w:u w:val="single"/>
          <w:lang w:eastAsia="el-GR"/>
        </w:rPr>
        <w:t>ΤΟΥ ΔΙΟΙΚΗΤΙΚΟΥ ΣΥΜΒΟΥΛΙΟΥ ΤΗΣ ΕΤΑΙΡEΙΑΣ</w:t>
      </w:r>
    </w:p>
    <w:p w14:paraId="53DB7EFC" w14:textId="77777777" w:rsidR="009E4B24" w:rsidRPr="009E4B24" w:rsidRDefault="009E4B24" w:rsidP="009E4B24">
      <w:pPr>
        <w:spacing w:line="312" w:lineRule="auto"/>
        <w:ind w:left="0" w:right="0"/>
        <w:jc w:val="center"/>
        <w:rPr>
          <w:rFonts w:eastAsia="Times New Roman" w:cstheme="minorHAnsi"/>
          <w:b/>
          <w:bCs/>
          <w:sz w:val="24"/>
          <w:szCs w:val="24"/>
          <w:u w:val="single"/>
          <w:lang w:eastAsia="el-GR"/>
        </w:rPr>
      </w:pPr>
      <w:r w:rsidRPr="009E4B24">
        <w:rPr>
          <w:rFonts w:eastAsia="Times New Roman" w:cstheme="minorHAnsi"/>
          <w:b/>
          <w:bCs/>
          <w:sz w:val="24"/>
          <w:szCs w:val="24"/>
          <w:u w:val="single"/>
          <w:lang w:eastAsia="el-GR"/>
        </w:rPr>
        <w:t>«ΣΤΕΛΙΟΣ ΚΑΝΑΚΗΣ ΑΝΩΝΥΜΗ ΒΙΟΜΗΧΑΝΙΚΗ ΚΑΙ ΕΜΠΟΡΙΚΗ ΕΤΑΙΡΕΙΑ ΠΡΩΤΩΝ ΥΛΩΝ ΖΑΧΑΡΟΠΛΑΣΤΙΚΗΣ - ΑΡΤΟΠΟΙΙΑΣ ΚΑΙ ΠΑΓΩΤΟΥ»</w:t>
      </w:r>
    </w:p>
    <w:p w14:paraId="26A36AF5" w14:textId="77777777" w:rsidR="009E4B24" w:rsidRPr="009E4B24" w:rsidRDefault="009E4B24" w:rsidP="009E4B24">
      <w:pPr>
        <w:spacing w:line="312" w:lineRule="auto"/>
        <w:ind w:left="0" w:right="0"/>
        <w:jc w:val="center"/>
        <w:rPr>
          <w:rFonts w:eastAsia="Times New Roman" w:cstheme="minorHAnsi"/>
          <w:b/>
          <w:bCs/>
          <w:sz w:val="24"/>
          <w:szCs w:val="24"/>
          <w:u w:val="single"/>
          <w:lang w:eastAsia="el-GR"/>
        </w:rPr>
      </w:pPr>
    </w:p>
    <w:p w14:paraId="664AF193" w14:textId="77777777" w:rsidR="009E4B24" w:rsidRPr="009E4B24" w:rsidRDefault="009E4B24" w:rsidP="009E4B24">
      <w:pPr>
        <w:spacing w:line="312" w:lineRule="auto"/>
        <w:ind w:left="0" w:right="0"/>
        <w:jc w:val="center"/>
        <w:rPr>
          <w:rFonts w:eastAsia="Times New Roman" w:cstheme="minorHAnsi"/>
          <w:b/>
          <w:bCs/>
          <w:sz w:val="24"/>
          <w:szCs w:val="24"/>
          <w:u w:val="single"/>
          <w:lang w:eastAsia="el-GR"/>
        </w:rPr>
      </w:pPr>
      <w:r w:rsidRPr="009E4B24">
        <w:rPr>
          <w:rFonts w:eastAsia="Times New Roman" w:cstheme="minorHAnsi"/>
          <w:b/>
          <w:bCs/>
          <w:sz w:val="24"/>
          <w:szCs w:val="24"/>
          <w:u w:val="single"/>
          <w:lang w:eastAsia="el-GR"/>
        </w:rPr>
        <w:t xml:space="preserve">ΕΠΙ ΤΗΣ ΥΠΟΒΛΗΘΕΙΣΑΣ ΠΡΟΑΙΡΕΤΙΚΗΣ ΔΗΜΟΣΙΑΣ ΠΡΟΤΑΣΗΣ </w:t>
      </w:r>
    </w:p>
    <w:p w14:paraId="6422738F" w14:textId="77777777" w:rsidR="009E4B24" w:rsidRPr="009E4B24" w:rsidRDefault="009E4B24" w:rsidP="009E4B24">
      <w:pPr>
        <w:spacing w:line="312" w:lineRule="auto"/>
        <w:ind w:left="0" w:right="0"/>
        <w:jc w:val="center"/>
        <w:rPr>
          <w:rFonts w:eastAsia="Times New Roman" w:cstheme="minorHAnsi"/>
          <w:b/>
          <w:bCs/>
          <w:sz w:val="24"/>
          <w:szCs w:val="24"/>
          <w:u w:val="single"/>
          <w:lang w:val="en-US" w:eastAsia="el-GR"/>
        </w:rPr>
      </w:pPr>
      <w:r w:rsidRPr="009E4B24">
        <w:rPr>
          <w:rFonts w:eastAsia="Times New Roman" w:cstheme="minorHAnsi"/>
          <w:b/>
          <w:bCs/>
          <w:sz w:val="24"/>
          <w:szCs w:val="24"/>
          <w:u w:val="single"/>
          <w:lang w:eastAsia="el-GR"/>
        </w:rPr>
        <w:t>ΤΗΣ</w:t>
      </w:r>
      <w:r w:rsidRPr="009E4B24">
        <w:rPr>
          <w:rFonts w:eastAsia="Times New Roman" w:cstheme="minorHAnsi"/>
          <w:b/>
          <w:bCs/>
          <w:sz w:val="24"/>
          <w:szCs w:val="24"/>
          <w:u w:val="single"/>
          <w:lang w:val="en-US" w:eastAsia="el-GR"/>
        </w:rPr>
        <w:t xml:space="preserve"> </w:t>
      </w:r>
      <w:r w:rsidRPr="009E4B24">
        <w:rPr>
          <w:rFonts w:eastAsia="Times New Roman" w:cstheme="minorHAnsi"/>
          <w:b/>
          <w:bCs/>
          <w:sz w:val="24"/>
          <w:szCs w:val="24"/>
          <w:u w:val="single"/>
          <w:lang w:eastAsia="el-GR"/>
        </w:rPr>
        <w:t>ΕΤΑΙΡΕΙΑΣ</w:t>
      </w:r>
      <w:r w:rsidRPr="009E4B24">
        <w:rPr>
          <w:rFonts w:eastAsia="Times New Roman" w:cstheme="minorHAnsi"/>
          <w:b/>
          <w:bCs/>
          <w:sz w:val="24"/>
          <w:szCs w:val="24"/>
          <w:u w:val="single"/>
          <w:lang w:val="en-US" w:eastAsia="el-GR"/>
        </w:rPr>
        <w:t xml:space="preserve"> «ORKLA FOOD INGREDIENTS AS»</w:t>
      </w:r>
    </w:p>
    <w:p w14:paraId="18B82904" w14:textId="77777777" w:rsidR="009E4B24" w:rsidRPr="009E4B24" w:rsidRDefault="009E4B24" w:rsidP="009E4B24">
      <w:pPr>
        <w:spacing w:line="312" w:lineRule="auto"/>
        <w:ind w:left="0" w:right="0"/>
        <w:rPr>
          <w:rFonts w:eastAsia="Times New Roman" w:cstheme="minorHAnsi"/>
          <w:sz w:val="24"/>
          <w:szCs w:val="24"/>
          <w:lang w:val="en-US" w:eastAsia="el-GR"/>
        </w:rPr>
      </w:pPr>
    </w:p>
    <w:p w14:paraId="6C0A3FCA"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Το Διοικητικό Συμβούλιο της ανώνυμης εταιρείας με την επωνυμία </w:t>
      </w:r>
      <w:r w:rsidRPr="009E4B24">
        <w:rPr>
          <w:rFonts w:eastAsia="Times New Roman" w:cstheme="minorHAnsi"/>
          <w:b/>
          <w:bCs/>
          <w:sz w:val="24"/>
          <w:szCs w:val="24"/>
          <w:lang w:eastAsia="el-GR"/>
        </w:rPr>
        <w:t>«ΣΤΕΛΙΟΣ ΚΑΝΑΚΗΣ ΑΝΩΝΥΜΗ ΒΙΟΜΗΧΑΝΙΚΗ ΚΑΙ ΕΜΠΟΡΙΚΗ ΕΤΑΙΡΕΙΑ ΠΡΩΤΩΝ ΥΛΩΝ ΖΑΧΑΡΟΠΛΑΣΤΙΚΗΣ - ΑΡΤΟΠΟΙΙΑΣ ΚΑΙ ΠΑΓΩΤΟΥ»</w:t>
      </w:r>
      <w:r w:rsidRPr="009E4B24">
        <w:rPr>
          <w:rFonts w:eastAsia="Times New Roman" w:cstheme="minorHAnsi"/>
          <w:sz w:val="24"/>
          <w:szCs w:val="24"/>
          <w:lang w:eastAsia="el-GR"/>
        </w:rPr>
        <w:t xml:space="preserve"> (εφεξής </w:t>
      </w:r>
      <w:r w:rsidRPr="009E4B24">
        <w:rPr>
          <w:rFonts w:eastAsia="Times New Roman" w:cstheme="minorHAnsi"/>
          <w:b/>
          <w:bCs/>
          <w:sz w:val="24"/>
          <w:szCs w:val="24"/>
          <w:lang w:eastAsia="el-GR"/>
        </w:rPr>
        <w:t>«η Εταιρεία»</w:t>
      </w:r>
      <w:r w:rsidRPr="009E4B24">
        <w:rPr>
          <w:rFonts w:eastAsia="Times New Roman" w:cstheme="minorHAnsi"/>
          <w:sz w:val="24"/>
          <w:szCs w:val="24"/>
          <w:lang w:eastAsia="el-GR"/>
        </w:rPr>
        <w:t xml:space="preserve">), κατά, την συνεδρίασή του στις 14 Ιουνίου 2019 προέβη στην διατύπωση Αιτιολογημένης Γνώμης επί της υποβληθείσας Προαιρετικής Δημόσιας Πρότασης (εφεξής </w:t>
      </w:r>
      <w:r w:rsidRPr="009E4B24">
        <w:rPr>
          <w:rFonts w:eastAsia="Times New Roman" w:cstheme="minorHAnsi"/>
          <w:b/>
          <w:bCs/>
          <w:sz w:val="24"/>
          <w:szCs w:val="24"/>
          <w:lang w:eastAsia="el-GR"/>
        </w:rPr>
        <w:t>«η Δημόσια Πρόταση»</w:t>
      </w:r>
      <w:r w:rsidRPr="009E4B24">
        <w:rPr>
          <w:rFonts w:eastAsia="Times New Roman" w:cstheme="minorHAnsi"/>
          <w:sz w:val="24"/>
          <w:szCs w:val="24"/>
          <w:lang w:eastAsia="el-GR"/>
        </w:rPr>
        <w:t xml:space="preserve">) της εταιρείας </w:t>
      </w:r>
      <w:r w:rsidRPr="009E4B24">
        <w:rPr>
          <w:rFonts w:eastAsia="Times New Roman" w:cstheme="minorHAnsi"/>
          <w:b/>
          <w:bCs/>
          <w:sz w:val="24"/>
          <w:szCs w:val="24"/>
          <w:lang w:eastAsia="el-GR"/>
        </w:rPr>
        <w:t xml:space="preserve">«ORKLA FOOD INGREDIENTS AS» </w:t>
      </w:r>
      <w:r w:rsidRPr="009E4B24">
        <w:rPr>
          <w:rFonts w:eastAsia="Times New Roman" w:cstheme="minorHAnsi"/>
          <w:sz w:val="24"/>
          <w:szCs w:val="24"/>
          <w:lang w:eastAsia="el-GR"/>
        </w:rPr>
        <w:t xml:space="preserve">(εφεξής </w:t>
      </w:r>
      <w:r w:rsidRPr="009E4B24">
        <w:rPr>
          <w:rFonts w:eastAsia="Times New Roman" w:cstheme="minorHAnsi"/>
          <w:b/>
          <w:bCs/>
          <w:sz w:val="24"/>
          <w:szCs w:val="24"/>
          <w:lang w:eastAsia="el-GR"/>
        </w:rPr>
        <w:t>«ο Προτείνων»</w:t>
      </w:r>
      <w:r w:rsidRPr="009E4B24">
        <w:rPr>
          <w:rFonts w:eastAsia="Times New Roman" w:cstheme="minorHAnsi"/>
          <w:sz w:val="24"/>
          <w:szCs w:val="24"/>
          <w:lang w:eastAsia="el-GR"/>
        </w:rPr>
        <w:t xml:space="preserve">) για την απόκτηση του συνόλου των κοινών ονομαστικών μετά ψήφου μετοχών της Εταιρείας (εφεξής </w:t>
      </w:r>
      <w:r w:rsidRPr="009E4B24">
        <w:rPr>
          <w:rFonts w:eastAsia="Times New Roman" w:cstheme="minorHAnsi"/>
          <w:b/>
          <w:bCs/>
          <w:sz w:val="24"/>
          <w:szCs w:val="24"/>
          <w:lang w:eastAsia="el-GR"/>
        </w:rPr>
        <w:t>«οι Μετοχές»</w:t>
      </w:r>
      <w:r w:rsidRPr="009E4B24">
        <w:rPr>
          <w:rFonts w:eastAsia="Times New Roman" w:cstheme="minorHAnsi"/>
          <w:sz w:val="24"/>
          <w:szCs w:val="24"/>
          <w:lang w:eastAsia="el-GR"/>
        </w:rPr>
        <w:t xml:space="preserve">), έναντι €4,36 ανά μετοχή με καταβολή μετρητών (εφεξής το </w:t>
      </w:r>
      <w:r w:rsidRPr="009E4B24">
        <w:rPr>
          <w:rFonts w:eastAsia="Times New Roman" w:cstheme="minorHAnsi"/>
          <w:b/>
          <w:bCs/>
          <w:sz w:val="24"/>
          <w:szCs w:val="24"/>
          <w:lang w:eastAsia="el-GR"/>
        </w:rPr>
        <w:t>«Προσφερόμενο Αντάλλαγμα»</w:t>
      </w:r>
      <w:r w:rsidRPr="009E4B24">
        <w:rPr>
          <w:rFonts w:eastAsia="Times New Roman" w:cstheme="minorHAnsi"/>
          <w:sz w:val="24"/>
          <w:szCs w:val="24"/>
          <w:lang w:eastAsia="el-GR"/>
        </w:rPr>
        <w:t>).</w:t>
      </w:r>
    </w:p>
    <w:p w14:paraId="603E1135" w14:textId="77777777" w:rsidR="009E4B24" w:rsidRPr="009E4B24" w:rsidRDefault="009E4B24" w:rsidP="009E4B24">
      <w:pPr>
        <w:spacing w:line="312" w:lineRule="auto"/>
        <w:ind w:left="0" w:right="0"/>
        <w:rPr>
          <w:rFonts w:eastAsia="Times New Roman" w:cstheme="minorHAnsi"/>
          <w:sz w:val="24"/>
          <w:szCs w:val="24"/>
          <w:lang w:eastAsia="el-GR"/>
        </w:rPr>
      </w:pPr>
    </w:p>
    <w:p w14:paraId="4826FC97"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1.</w:t>
      </w:r>
      <w:r w:rsidRPr="009E4B24">
        <w:rPr>
          <w:rFonts w:eastAsia="Times New Roman" w:cstheme="minorHAnsi"/>
          <w:sz w:val="24"/>
          <w:szCs w:val="24"/>
          <w:lang w:eastAsia="el-GR"/>
        </w:rPr>
        <w:t xml:space="preserve"> Το Διοικητικό Συμβούλιο για την διατύπωση της Αιτιολογημένης Γνώμης του, έλαβε υπόψη του:</w:t>
      </w:r>
    </w:p>
    <w:p w14:paraId="1AB4FAA2"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(Α)</w:t>
      </w:r>
      <w:r w:rsidRPr="009E4B24">
        <w:rPr>
          <w:rFonts w:eastAsia="Times New Roman" w:cstheme="minorHAnsi"/>
          <w:sz w:val="24"/>
          <w:szCs w:val="24"/>
          <w:lang w:eastAsia="el-GR"/>
        </w:rPr>
        <w:t xml:space="preserve"> το περιεχόμενο του Πληροφοριακού Δελτίου της Δημόσιας Πρότασης (εφεξής </w:t>
      </w:r>
      <w:r w:rsidRPr="009E4B24">
        <w:rPr>
          <w:rFonts w:eastAsia="Times New Roman" w:cstheme="minorHAnsi"/>
          <w:b/>
          <w:bCs/>
          <w:sz w:val="24"/>
          <w:szCs w:val="24"/>
          <w:lang w:eastAsia="el-GR"/>
        </w:rPr>
        <w:t>«το Πληροφοριακό Δελτίο»</w:t>
      </w:r>
      <w:r w:rsidRPr="009E4B24">
        <w:rPr>
          <w:rFonts w:eastAsia="Times New Roman" w:cstheme="minorHAnsi"/>
          <w:sz w:val="24"/>
          <w:szCs w:val="24"/>
          <w:lang w:eastAsia="el-GR"/>
        </w:rPr>
        <w:t xml:space="preserve">), που ο Προτείνων απηύθυνε προς τους μετόχους της Εταιρείας για την αγορά του συνόλου των μετοχών της Εταιρείας, όπως αυτό εγκρίθηκε από το Δ.Σ. της Επιτροπής Κεφαλαιαγοράς (εφεξής η </w:t>
      </w:r>
      <w:r w:rsidRPr="009E4B24">
        <w:rPr>
          <w:rFonts w:eastAsia="Times New Roman" w:cstheme="minorHAnsi"/>
          <w:b/>
          <w:bCs/>
          <w:sz w:val="24"/>
          <w:szCs w:val="24"/>
          <w:lang w:eastAsia="el-GR"/>
        </w:rPr>
        <w:t>«ΕΚ»</w:t>
      </w:r>
      <w:r w:rsidRPr="009E4B24">
        <w:rPr>
          <w:rFonts w:eastAsia="Times New Roman" w:cstheme="minorHAnsi"/>
          <w:sz w:val="24"/>
          <w:szCs w:val="24"/>
          <w:lang w:eastAsia="el-GR"/>
        </w:rPr>
        <w:t>) την 30η Μαΐου 2019 και τέθηκε στη διάθεση του κοινού την 4η Ιουνίου 2019,</w:t>
      </w:r>
    </w:p>
    <w:p w14:paraId="2BFFE129"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(Β)</w:t>
      </w:r>
      <w:r w:rsidRPr="009E4B24">
        <w:rPr>
          <w:rFonts w:eastAsia="Times New Roman" w:cstheme="minorHAnsi"/>
          <w:sz w:val="24"/>
          <w:szCs w:val="24"/>
          <w:lang w:eastAsia="el-GR"/>
        </w:rPr>
        <w:t xml:space="preserve"> την από 11 Ιουνίου 2019 έκθεση της </w:t>
      </w:r>
      <w:r w:rsidRPr="009E4B24">
        <w:rPr>
          <w:rFonts w:eastAsia="Times New Roman" w:cstheme="minorHAnsi"/>
          <w:b/>
          <w:bCs/>
          <w:sz w:val="24"/>
          <w:szCs w:val="24"/>
          <w:lang w:eastAsia="el-GR"/>
        </w:rPr>
        <w:t>«</w:t>
      </w:r>
      <w:r w:rsidRPr="009E4B24">
        <w:rPr>
          <w:rFonts w:eastAsia="Times New Roman" w:cstheme="minorHAnsi"/>
          <w:b/>
          <w:bCs/>
          <w:sz w:val="24"/>
          <w:szCs w:val="24"/>
          <w:lang w:val="en-US" w:eastAsia="el-GR"/>
        </w:rPr>
        <w:t>MERIT</w:t>
      </w:r>
      <w:r w:rsidRPr="009E4B24">
        <w:rPr>
          <w:rFonts w:eastAsia="Times New Roman" w:cstheme="minorHAnsi"/>
          <w:b/>
          <w:bCs/>
          <w:sz w:val="24"/>
          <w:szCs w:val="24"/>
          <w:lang w:eastAsia="el-GR"/>
        </w:rPr>
        <w:t xml:space="preserve"> ΧΡΗΜΑΤΙΣΤΗΡΙΑΚΗ Α.Ε.Π.Ε.Υ.»</w:t>
      </w:r>
      <w:r w:rsidRPr="009E4B24">
        <w:rPr>
          <w:rFonts w:eastAsia="Times New Roman" w:cstheme="minorHAnsi"/>
          <w:sz w:val="24"/>
          <w:szCs w:val="24"/>
          <w:lang w:eastAsia="el-GR"/>
        </w:rPr>
        <w:t xml:space="preserve">, η οποία ορίσθηκε ως χρηματοοικονομικός σύμβουλος της Εταιρείας (εφεξής </w:t>
      </w:r>
      <w:r w:rsidRPr="009E4B24">
        <w:rPr>
          <w:rFonts w:eastAsia="Times New Roman" w:cstheme="minorHAnsi"/>
          <w:b/>
          <w:bCs/>
          <w:sz w:val="24"/>
          <w:szCs w:val="24"/>
          <w:lang w:eastAsia="el-GR"/>
        </w:rPr>
        <w:t>«ο Σύμβουλος»</w:t>
      </w:r>
      <w:r w:rsidRPr="009E4B24">
        <w:rPr>
          <w:rFonts w:eastAsia="Times New Roman" w:cstheme="minorHAnsi"/>
          <w:sz w:val="24"/>
          <w:szCs w:val="24"/>
          <w:lang w:eastAsia="el-GR"/>
        </w:rPr>
        <w:t xml:space="preserve">) για τους σκοπούς της Δημόσιας Πρότασης, σύμφωνα με το άρθρο 15 παρ. 2 του Ν. 3461/2006. Η ως άνω έκθεση επισυνάπτεται στο παρόν ως </w:t>
      </w:r>
      <w:r w:rsidRPr="009E4B24">
        <w:rPr>
          <w:rFonts w:eastAsia="Times New Roman" w:cstheme="minorHAnsi"/>
          <w:b/>
          <w:bCs/>
          <w:sz w:val="24"/>
          <w:szCs w:val="24"/>
          <w:u w:val="single"/>
          <w:lang w:eastAsia="el-GR"/>
        </w:rPr>
        <w:t>Παράρτημα 1</w:t>
      </w:r>
      <w:r w:rsidRPr="009E4B24">
        <w:rPr>
          <w:rFonts w:eastAsia="Times New Roman" w:cstheme="minorHAnsi"/>
          <w:sz w:val="24"/>
          <w:szCs w:val="24"/>
          <w:lang w:eastAsia="el-GR"/>
        </w:rPr>
        <w:t xml:space="preserve"> και αποτελεί αναπόσπαστο μέρος του παρόντος.</w:t>
      </w:r>
    </w:p>
    <w:p w14:paraId="126DA03D" w14:textId="77777777" w:rsidR="009E4B24" w:rsidRPr="009E4B24" w:rsidRDefault="009E4B24" w:rsidP="009E4B24">
      <w:pPr>
        <w:spacing w:line="312" w:lineRule="auto"/>
        <w:ind w:left="0" w:right="0"/>
        <w:rPr>
          <w:rFonts w:eastAsia="Times New Roman" w:cstheme="minorHAnsi"/>
          <w:sz w:val="24"/>
          <w:szCs w:val="24"/>
          <w:lang w:eastAsia="el-GR"/>
        </w:rPr>
      </w:pPr>
    </w:p>
    <w:p w14:paraId="12A8FC6F"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2.</w:t>
      </w:r>
      <w:r w:rsidRPr="009E4B24">
        <w:rPr>
          <w:rFonts w:eastAsia="Times New Roman" w:cstheme="minorHAnsi"/>
          <w:sz w:val="24"/>
          <w:szCs w:val="24"/>
          <w:lang w:eastAsia="el-GR"/>
        </w:rPr>
        <w:t xml:space="preserve"> Το Διοικητικό Συμβούλιο έλαβε υπόψη του επιπροσθέτως και τα ακόλουθα:</w:t>
      </w:r>
    </w:p>
    <w:p w14:paraId="77E8F19B"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lastRenderedPageBreak/>
        <w:t>2.1.</w:t>
      </w:r>
      <w:r w:rsidRPr="009E4B24">
        <w:rPr>
          <w:rFonts w:eastAsia="Times New Roman" w:cstheme="minorHAnsi"/>
          <w:sz w:val="24"/>
          <w:szCs w:val="24"/>
          <w:lang w:eastAsia="el-GR"/>
        </w:rPr>
        <w:t xml:space="preserve"> Ο Προτείνων έχει δηλώσει στο Πληροφοριακό Δελτίο ότι εφόσον κατά την ολοκλήρωση της Δημόσιας Πρότασης κατέχει συνολικά  Μετοχές που αντιπροσωπεύουν ποσοστό τουλάχιστον 90% του συνόλου των δικαιωμάτων ψήφου της Εταιρείας, ο Προτείνων:</w:t>
      </w:r>
    </w:p>
    <w:p w14:paraId="3E89CBDB"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Α) θα ασκήσει το δικαίωμα εξαγοράς σύμφωνα με το άρθρο 27 του Ν. 3461/2006 και θα εξαγοράσειμ σε τιμή ανά Μετοχή ίση με το Προσφερόμενο Αντάλλαγμα, τις Μετοχές των υπόλοιπων μετόχων της Εταιρείας, οι οποίοι δεν αποδέχθηκαν τη Δημόσια Πρόταση, εντός της προβλεπόμενης προθεσμίας των τριών 93) μηνών από το τέλος της περιόδου αποδοχής της Δημόσιας πρότασης,</w:t>
      </w:r>
    </w:p>
    <w:p w14:paraId="475E76D6"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Β) Υποχρεούται σύμφωνα με το άρθρο 28 του Ν. 3461/2006 να αποκτήσει χρηματιστηριακά όλες τις Μετοχές που θα του προσφερθούν εντός τριών (3) μηνών από τη δημοσίευση των αποτελεσμάτων της Δημόσιας Πρότασης σε τιμή ανά Μετοχή ίση με το Προσφερόμενο Αντάλλαγμα (Δικαίωμα Εξόδου), ενώ ταυτόχρονα με τη δημοσίευση των αποτελεσμάτων της Δημόσιας Πρότασης, ο Προτείνων θα δημοσιοποιήσει και το Δικαίωμα Εξόδου.</w:t>
      </w:r>
    </w:p>
    <w:p w14:paraId="0E01C743"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 Έχει δηλώσει επίσης στο Πληροφοριακό Δελτίο ότι, εφόσον μετά την ολοκλήρωση της Δημόσιας Πρότασης ο Προτείνων κατέχει συνολικά μετοχές που αντιπροσωπεύουν ποσοστό τουλάχιστον 90% του συνόλου των δικαιωμάτων ψήφου της Εταιρείας, θα προχωρήσει στην άσκηση ως άνω του Δικαιώματος Εξαγοράς και εν συνεχεία με την απόκτηση μέσω του Δικαιώματος Εξαγοράς, του 100% του συνολικού καταβεβλημένου μετοχικού κεφαλαίου και των δικαιωμάτων ψήφου της Εταιρείας θα προκαλέσει αυτόκλητη Γενική Συνέλευση των Μετόχων της Εταιρείας με θέμα τη λήψη απόφασης για τη διαγραφή των Μετοχών από το Χρηματιστήριο Αθηνών (εφεξής </w:t>
      </w:r>
      <w:r w:rsidRPr="009E4B24">
        <w:rPr>
          <w:rFonts w:eastAsia="Times New Roman" w:cstheme="minorHAnsi"/>
          <w:b/>
          <w:bCs/>
          <w:sz w:val="24"/>
          <w:szCs w:val="24"/>
          <w:lang w:eastAsia="el-GR"/>
        </w:rPr>
        <w:t>«το Χ.Α.»</w:t>
      </w:r>
      <w:r w:rsidRPr="009E4B24">
        <w:rPr>
          <w:rFonts w:eastAsia="Times New Roman" w:cstheme="minorHAnsi"/>
          <w:sz w:val="24"/>
          <w:szCs w:val="24"/>
          <w:lang w:eastAsia="el-GR"/>
        </w:rPr>
        <w:t>), σύμφωνα με το άρθρο 17 παρ. 5 του νόμου 3371/2005 και θα ψηφίσει υπέρ αυτής της απόφασης</w:t>
      </w:r>
      <w:r w:rsidRPr="009E4B24">
        <w:rPr>
          <w:rFonts w:cstheme="minorHAnsi"/>
          <w:sz w:val="24"/>
          <w:szCs w:val="24"/>
        </w:rPr>
        <w:t xml:space="preserve"> </w:t>
      </w:r>
      <w:r w:rsidRPr="009E4B24">
        <w:rPr>
          <w:rFonts w:eastAsia="Times New Roman" w:cstheme="minorHAnsi"/>
          <w:sz w:val="24"/>
          <w:szCs w:val="24"/>
          <w:lang w:eastAsia="el-GR"/>
        </w:rPr>
        <w:t>και ακολούθως θα προβεί σε αίτηση στην ΕΚ για τη διαγραφή των μετοχών της Εταιρείας από το Χ.Α..</w:t>
      </w:r>
    </w:p>
    <w:p w14:paraId="75460ECF"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Κατόπιν δε τοιαύτης διαγραφής, ο Προτείνων έχει συμφωνήσει με τους κ.κ. Στέλιο, Μαρία, Ελευθερία και Βαρβάρα Κανάκη ότι θα μεταβιβάσει σε καθένα εξ αυτών 375.000 μετοχές, που αντιπροσωπεύουν ποσοστό 5%, ήτοι συνολικά 1.500.000 μετοχές, που αντιπροσωπεύουν ποσοστό 20% του συνολικού καταβεβλημένου μετοχικού κεφαλαίου και των δικαιωμάτων ψήφου της Εταιρείας, σε τιμή ανά μετοχή ίση με το προσφερόμενο αντάλλαγμα. </w:t>
      </w:r>
    </w:p>
    <w:p w14:paraId="1BB30141"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Στην παρούσα φάση, δεν έχουν ληφθεί αποφάσεις από οποιοδήποτε εταιρικό όργανο του Προτείνοντος ή της Εταιρείας για τα θέματα αυτά. Τα ως άνω θα εξετασθούν μετά την ολοκλήρωση της Δημόσιας Πρότασης.</w:t>
      </w:r>
    </w:p>
    <w:p w14:paraId="3D43DD60"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 xml:space="preserve">2.2. </w:t>
      </w:r>
      <w:r w:rsidRPr="009E4B24">
        <w:rPr>
          <w:rFonts w:eastAsia="Times New Roman" w:cstheme="minorHAnsi"/>
          <w:sz w:val="24"/>
          <w:szCs w:val="24"/>
          <w:lang w:eastAsia="el-GR"/>
        </w:rPr>
        <w:t xml:space="preserve">Ο Προτείνων έχει δηλώσει στο Πληροφοριακό Δελτίο ότι, μέσω της διαγραφής των Μετοχών της Εταιρείας από το Χρηματιστήριο, επιδιώκει κατά κύριο λόγο να αποκτήσει </w:t>
      </w:r>
      <w:r w:rsidRPr="009E4B24">
        <w:rPr>
          <w:rFonts w:eastAsia="Times New Roman" w:cstheme="minorHAnsi"/>
          <w:sz w:val="24"/>
          <w:szCs w:val="24"/>
          <w:lang w:eastAsia="el-GR"/>
        </w:rPr>
        <w:lastRenderedPageBreak/>
        <w:t>μεγαλύτερη ευελιξία στη λήψη αποφάσεων για την υλοποίηση των επιχειρηματικών σχεδίων της Εταιρείας.</w:t>
      </w:r>
    </w:p>
    <w:p w14:paraId="6F907FA4" w14:textId="77777777" w:rsidR="009E4B24" w:rsidRPr="009E4B24" w:rsidRDefault="009E4B24" w:rsidP="009E4B24">
      <w:pPr>
        <w:spacing w:line="312" w:lineRule="auto"/>
        <w:ind w:left="0" w:right="0"/>
        <w:rPr>
          <w:rFonts w:eastAsia="Times New Roman" w:cstheme="minorHAnsi"/>
          <w:sz w:val="24"/>
          <w:szCs w:val="24"/>
          <w:lang w:eastAsia="el-GR"/>
        </w:rPr>
      </w:pPr>
    </w:p>
    <w:p w14:paraId="157DB9A1"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2.3.</w:t>
      </w:r>
      <w:r w:rsidRPr="009E4B24">
        <w:rPr>
          <w:rFonts w:eastAsia="Times New Roman" w:cstheme="minorHAnsi"/>
          <w:sz w:val="24"/>
          <w:szCs w:val="24"/>
          <w:lang w:eastAsia="el-GR"/>
        </w:rPr>
        <w:t xml:space="preserve">  Ο Προτείνων προτίθεται να συνεχίσει τη λειτουργία της Εταιρείας και να μην επιφέρει σημαντικές αλλαγές στις επιχειρηματικές δραστηριότητες της Εταιρείας, έχει δε  δηλώσει σχετικά στο Πληροφοριακό Δελτίο ότι:</w:t>
      </w:r>
    </w:p>
    <w:p w14:paraId="1347237E"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Α)</w:t>
      </w:r>
      <w:r w:rsidRPr="009E4B24">
        <w:rPr>
          <w:rFonts w:eastAsia="Times New Roman" w:cstheme="minorHAnsi"/>
          <w:sz w:val="24"/>
          <w:szCs w:val="24"/>
          <w:lang w:eastAsia="el-GR"/>
        </w:rPr>
        <w:t xml:space="preserve"> η απόκτηση των Μετοχών της Εταιρείας από τον Προτείνοντα δεν θα επιφέρει σημαντικές αλλαγές στην επιχειρηματική στρατηγική και στους επιχειρηματικούς σκοπούς της Εταιρείας,</w:t>
      </w:r>
    </w:p>
    <w:p w14:paraId="2B294F9F"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Β)</w:t>
      </w:r>
      <w:r w:rsidRPr="009E4B24">
        <w:rPr>
          <w:rFonts w:eastAsia="Times New Roman" w:cstheme="minorHAnsi"/>
          <w:sz w:val="24"/>
          <w:szCs w:val="24"/>
          <w:lang w:eastAsia="el-GR"/>
        </w:rPr>
        <w:t xml:space="preserve">  πρωταρχικός στόχος της συμμετοχής του Προτείνοντος στο μετοχικό κεφάλαιο της Εταιρείας είναι η διασφάλιση της συνέχισης της λειτουργίας της Εταιρείας υπό τις ίδιες επιχειρηματικές αρχές, παράλληλα με την απόκτηση ωφελειών από τη συμμετοχή της σε ένα μεγάλο όμιλο ο οποίος δραστηριοποιείται στον ίδιο κλάδο και η ενίσχυση των εμπορικών δραστηριοτήτων/συναλλαγών με τον Προτείνοντα,</w:t>
      </w:r>
    </w:p>
    <w:p w14:paraId="6AE05F1A"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Γ)</w:t>
      </w:r>
      <w:r w:rsidRPr="009E4B24">
        <w:rPr>
          <w:rFonts w:eastAsia="Times New Roman" w:cstheme="minorHAnsi"/>
          <w:sz w:val="24"/>
          <w:szCs w:val="24"/>
          <w:lang w:eastAsia="el-GR"/>
        </w:rPr>
        <w:t xml:space="preserve"> προς τον σκοπό αυτό, η συνέχιση της διοίκησης και της έως σήμερα ακολουθούμενης επιχειρηματικής στρατηγικής, η οποία στοχεύει στην υψηλή ποιότητα των προϊόντων που εισάγει και διακινεί, ερευνώντας συνεχώς την αγορά προκειμένου να ανταποκρίνεται στις διαρκώς εξελισσόμενες προτιμήσεις των καταναλωτών, εξασφαλίζεται από την παρουσία των μελών της οικογένειας Κανάκη ως Μετόχων και των κ.κ. Στυλιανού Κανάκη και Ελευθερίας Κανάκη ως Διευθύνοντος Συμβούλου και Αναπληρώτριας Διευθύνουσας Συμβούλου αντίστοιχα. </w:t>
      </w:r>
    </w:p>
    <w:p w14:paraId="3CAD4834"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Στην παρούσα φάση, στο πλαίσιο του ως άνω επιχειρηματικού σχειδασμού, ήδη</w:t>
      </w:r>
      <w:r w:rsidRPr="009E4B24">
        <w:rPr>
          <w:rFonts w:cstheme="minorHAnsi"/>
          <w:sz w:val="24"/>
          <w:szCs w:val="24"/>
        </w:rPr>
        <w:t xml:space="preserve"> </w:t>
      </w:r>
      <w:r w:rsidRPr="009E4B24">
        <w:rPr>
          <w:rFonts w:eastAsia="Times New Roman" w:cstheme="minorHAnsi"/>
          <w:sz w:val="24"/>
          <w:szCs w:val="24"/>
          <w:lang w:eastAsia="el-GR"/>
        </w:rPr>
        <w:t>δια της από 15 Μαΐου 2019 αποφάσεως της Γενικής Συνελεύσεως των μετόχων της Εταιρείας και της με την αυτή ημεροχρονολογία αποφάσεως του Διοικητικού Συμβουλίου της Εταιρείας περί συγκρότησης αυτού σε σώμα και εκπροσωπήσεως της Εταιρείας, ο. κ. Στυλιανός Κανάκης και η κα Ελευθερία Κανάκη έχουν ήδη αναλάβει τις θέσεις του Διευθύνοντος Συμβούλου και Αναπληρώτριας Διευθύνουσας Συμβούλου της Εταιρείας αντίστοιχα.</w:t>
      </w:r>
    </w:p>
    <w:p w14:paraId="5EB7D21F"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 Πέραν των ανωτέρω, δεν έχει μέχρι σήμερα ληφθεί άλλη απόφαση από οποιοδήποτε εταιρικό όργανο του Προτείνοντος ή της Εταιρείας για το θέμα αυτό.</w:t>
      </w:r>
    </w:p>
    <w:p w14:paraId="4D04EA4B"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2.4.</w:t>
      </w:r>
      <w:r w:rsidRPr="009E4B24">
        <w:rPr>
          <w:rFonts w:eastAsia="Times New Roman" w:cstheme="minorHAnsi"/>
          <w:sz w:val="24"/>
          <w:szCs w:val="24"/>
          <w:lang w:eastAsia="el-GR"/>
        </w:rPr>
        <w:t xml:space="preserve"> Ο Προτείνων δεν σχεδιάζει αλλαγές στον τόπο διεξαγωγής των δραστηριοτήτων της Εταιρείας ή τη μεταφορά της έδρας ή των δραστηριοτήτων της Εταιρείας εκτός Ελλάδος.</w:t>
      </w:r>
    </w:p>
    <w:p w14:paraId="509D22D3"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2.5.</w:t>
      </w:r>
      <w:r w:rsidRPr="009E4B24">
        <w:rPr>
          <w:rFonts w:eastAsia="Times New Roman" w:cstheme="minorHAnsi"/>
          <w:sz w:val="24"/>
          <w:szCs w:val="24"/>
          <w:lang w:eastAsia="el-GR"/>
        </w:rPr>
        <w:t xml:space="preserve"> Ο Προτείνων έχει επίσης δηλώσει στο Πληροφοριακό Δελτίο ότι δεν θα προβεί σε μεταβολές στην πολιτική διαχείρισης του ανθρώπινου δυναμικού της Εταιρείας ούτε στους όρους απασχόλησης του προσωπικού της Εταιρείας και θα διατηρήσει τις υφιστάμενες θέσεις εργασίας του προσωπικού και των στελεχών, στο βαθμό βεβαίως που δεν επέλθουν </w:t>
      </w:r>
      <w:r w:rsidRPr="009E4B24">
        <w:rPr>
          <w:rFonts w:eastAsia="Times New Roman" w:cstheme="minorHAnsi"/>
          <w:sz w:val="24"/>
          <w:szCs w:val="24"/>
          <w:lang w:eastAsia="el-GR"/>
        </w:rPr>
        <w:lastRenderedPageBreak/>
        <w:t>σημαντικές μεταβολές στις υφιστάμενες συνθήκες της αγοράς και της οικονομίας. Το γεγονός δε ότι οι κ.κ. Στυλιανός, Μαρία, Ελευθερία και Βαρβάρα Κανάκη, μέλη της οικογένειας Κανάκη, θα παραμείνουν ως Μέτοχοι και οι κ.κ. Στυλιανός και Ελευθερία Κανάκη ήδη σήμερα συμμετέχουν στην ανώτατη διοίκηση της Εταιρείας ως Διευθύνων Σύμβουλος και Αναπληρώτρια Διευθύνουσα Σύμβουλος, αντίστοιχα, κατά τα ανωτέρω εξασφαλίζει τη συνέχιση των πολιτικών, οι οποίες ακολουθήθηκαν με συνέπεια από την Εταιρεία έως σήμερα, σχετικά με την ανάπτυξη του ανθρώπινου δυναμικού της.</w:t>
      </w:r>
    </w:p>
    <w:p w14:paraId="374DE1DA"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 xml:space="preserve">2.6. </w:t>
      </w:r>
      <w:r w:rsidRPr="009E4B24">
        <w:rPr>
          <w:rFonts w:eastAsia="Times New Roman" w:cstheme="minorHAnsi"/>
          <w:sz w:val="24"/>
          <w:szCs w:val="24"/>
          <w:lang w:eastAsia="el-GR"/>
        </w:rPr>
        <w:t>Εφόσον συντρέξουν οι προϋποθέσεις διαγραφής των Μετοχών από το Χρηματιστήριο, ο Προτείνων ενδέχεται να αλλάξει τη δομή της εταιρικής διακυβέρνησης της Εταιρείας και να προβεί σε συγκεκριμένες διοικητικές μεταρρυθμίσεις, λαμβάνοντας υπ' όψιν το γεγονός ότι η Εταιρεία δεν θα χρειάζεται πλέον να συμμορφώνεται με τις απαιτήσεις που τίθενται για τις εισηγμένες εταιρείες. Για παράδειγμα, η Εταιρεία δεν θα υποχρεούται να τηρεί τους κανόνες εταιρικής διακυβέρνησης που ισχύουν επί εισηγμένων εταιρειών στην Ελλάδα, ενώ στο προσωπικό της που είναι επιφορτισμένο με την τήρηση των κανονιστικών υποχρεώσεών της και των σχέσεών της με τους επενδυτές, αναμένεται να ανατεθούν νέα διοικητικά καθήκοντα. Επιπλέον, ορισμένα τα κόστη της Εταιρείας που συνδέονται με τη διατήρηση της διαπραγμάτευσης των Μετοχών στο Χ.Α. θα εξοικονομηθούν.</w:t>
      </w:r>
    </w:p>
    <w:p w14:paraId="41DE42EF"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 xml:space="preserve">2.7. </w:t>
      </w:r>
      <w:r w:rsidRPr="009E4B24">
        <w:rPr>
          <w:rFonts w:eastAsia="Times New Roman" w:cstheme="minorHAnsi"/>
          <w:sz w:val="24"/>
          <w:szCs w:val="24"/>
          <w:lang w:eastAsia="el-GR"/>
        </w:rPr>
        <w:t>Ο Προτείνων στο Πληροφοριακό Δελτίο έχει δηλώσει ότι, προτίθεται να καταβάλει τοις μετρητοίς το Προσφερόμενο Αντάλλαγμα για κάθε Μετοχή της Δημόσιας Πρότασης, ήτοι € 4,36.</w:t>
      </w:r>
    </w:p>
    <w:p w14:paraId="06BAA365" w14:textId="77777777" w:rsidR="009E4B24" w:rsidRPr="009E4B24" w:rsidRDefault="009E4B24" w:rsidP="009E4B24">
      <w:pPr>
        <w:spacing w:line="312" w:lineRule="auto"/>
        <w:ind w:left="0" w:right="0"/>
        <w:rPr>
          <w:rFonts w:eastAsia="Times New Roman" w:cstheme="minorHAnsi"/>
          <w:sz w:val="24"/>
          <w:szCs w:val="24"/>
          <w:lang w:eastAsia="el-GR"/>
        </w:rPr>
      </w:pPr>
    </w:p>
    <w:p w14:paraId="411B01A1"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Σύμφωνα με το Πληροφοριακό Δελτίο, σχετικά με το Προσφερόμενο Αντάλλαγμα:</w:t>
      </w:r>
    </w:p>
    <w:p w14:paraId="441A5036"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(α) Η μέση χρηματιστηριακή τιμή της Μετοχής σταθμισμένη με τον όγκο συναλλαγών (εφεξής </w:t>
      </w:r>
      <w:r w:rsidRPr="009E4B24">
        <w:rPr>
          <w:rFonts w:eastAsia="Times New Roman" w:cstheme="minorHAnsi"/>
          <w:b/>
          <w:bCs/>
          <w:sz w:val="24"/>
          <w:szCs w:val="24"/>
          <w:lang w:eastAsia="el-GR"/>
        </w:rPr>
        <w:t>«ΜΧΤΜ»</w:t>
      </w:r>
      <w:r w:rsidRPr="009E4B24">
        <w:rPr>
          <w:rFonts w:eastAsia="Times New Roman" w:cstheme="minorHAnsi"/>
          <w:sz w:val="24"/>
          <w:szCs w:val="24"/>
          <w:lang w:eastAsia="el-GR"/>
        </w:rPr>
        <w:t>) των Μετοχών κατά τους τελευταίους έξι (6) μήνες που προηγούνται της Ημερομηνίας της Δημόσιας Πρότασης, ανήλθε σε € 3,84.</w:t>
      </w:r>
    </w:p>
    <w:p w14:paraId="4083EF79"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(β) Ούτε ο Προτείνων ούτε κάποιο από τα Πρόσωπα που Ενεργούν Συντονισμένα με τον Προτείνοντα απέκτησε Μετοχές κατά τους δώδεκα (12) μήνες που προηγούνται της Ημερομηνίας της Δημόσιας Πρότασης.</w:t>
      </w:r>
    </w:p>
    <w:p w14:paraId="2086D637"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(γ) Ο Προτείνων όρισε την «ΠΑΝΤΕΛΑΚΗΣ Α.Χ.Ε.Π.Ε.Υ.» (εφεξής </w:t>
      </w:r>
      <w:r w:rsidRPr="009E4B24">
        <w:rPr>
          <w:rFonts w:eastAsia="Times New Roman" w:cstheme="minorHAnsi"/>
          <w:b/>
          <w:bCs/>
          <w:sz w:val="24"/>
          <w:szCs w:val="24"/>
          <w:lang w:eastAsia="el-GR"/>
        </w:rPr>
        <w:t>«Αποτιμητής»</w:t>
      </w:r>
      <w:r w:rsidRPr="009E4B24">
        <w:rPr>
          <w:rFonts w:eastAsia="Times New Roman" w:cstheme="minorHAnsi"/>
          <w:sz w:val="24"/>
          <w:szCs w:val="24"/>
          <w:lang w:eastAsia="el-GR"/>
        </w:rPr>
        <w:t>) ως ανεξάρτητο αποτιμητή για τη διενέργεια αποτίμησης και σύνταξης της Έκθεσης Αποτίμησης, για τον προσδιορισμό του εύλογου και του δίκαιου ανταλλάγματος, δεδομένου ότι, συνέτρεξαν οι προϋποθέσεις του άρθρου 9 παρ. 6 περ. (β) του νόμου 3461/2006, καθώς κατά τους έξι (6) μήνες που προηγήθηκαν της Ημερομηνίας της Δημόσιας Πρότασης, οι πραγματοποιηθείσες συναλλαγές επί των Μετοχών της Εταιρείας</w:t>
      </w:r>
      <w:r w:rsidRPr="009E4B24">
        <w:rPr>
          <w:rFonts w:cstheme="minorHAnsi"/>
          <w:sz w:val="24"/>
          <w:szCs w:val="24"/>
        </w:rPr>
        <w:t xml:space="preserve"> </w:t>
      </w:r>
      <w:r w:rsidRPr="009E4B24">
        <w:rPr>
          <w:rFonts w:eastAsia="Times New Roman" w:cstheme="minorHAnsi"/>
          <w:sz w:val="24"/>
          <w:szCs w:val="24"/>
          <w:lang w:eastAsia="el-GR"/>
        </w:rPr>
        <w:t xml:space="preserve">υπερέβησαν το 10% του συνόλου των Μετοχών, </w:t>
      </w:r>
      <w:r w:rsidRPr="009E4B24">
        <w:rPr>
          <w:rFonts w:eastAsia="Times New Roman" w:cstheme="minorHAnsi"/>
          <w:sz w:val="24"/>
          <w:szCs w:val="24"/>
          <w:lang w:eastAsia="el-GR"/>
        </w:rPr>
        <w:lastRenderedPageBreak/>
        <w:t>συγκεκριμένα ανήλθαν σε 1% του συνόλου αυτών. Η σχετική Έκθεση δημοσιοποιήθηκε σύμφωνα με το άρθρο 16 παρ.1 του νόμου 3461/2006.</w:t>
      </w:r>
    </w:p>
    <w:p w14:paraId="6FD4CCFA"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Ο Αποτιμητής χρησιμοποίησε τις ακόλουθες μεθοδολογίες αποτίμησης: (i) προεξόφλησης ταμειακών ροών (discounted cash flow), (ii) συγκριτικές αποτιμήσεις ομοειδών εταιρειών (relative </w:t>
      </w:r>
      <w:r w:rsidRPr="009E4B24">
        <w:rPr>
          <w:rFonts w:eastAsia="Times New Roman" w:cstheme="minorHAnsi"/>
          <w:sz w:val="24"/>
          <w:szCs w:val="24"/>
          <w:lang w:val="en-US" w:eastAsia="el-GR"/>
        </w:rPr>
        <w:t>valuation</w:t>
      </w:r>
      <w:r w:rsidRPr="009E4B24">
        <w:rPr>
          <w:rFonts w:eastAsia="Times New Roman" w:cstheme="minorHAnsi"/>
          <w:sz w:val="24"/>
          <w:szCs w:val="24"/>
          <w:lang w:eastAsia="el-GR"/>
        </w:rPr>
        <w:t xml:space="preserve"> </w:t>
      </w:r>
      <w:r w:rsidRPr="009E4B24">
        <w:rPr>
          <w:rFonts w:eastAsia="Times New Roman" w:cstheme="minorHAnsi"/>
          <w:sz w:val="24"/>
          <w:szCs w:val="24"/>
          <w:lang w:val="en-US" w:eastAsia="el-GR"/>
        </w:rPr>
        <w:t>multiples</w:t>
      </w:r>
      <w:r w:rsidRPr="009E4B24">
        <w:rPr>
          <w:rFonts w:eastAsia="Times New Roman" w:cstheme="minorHAnsi"/>
          <w:sz w:val="24"/>
          <w:szCs w:val="24"/>
          <w:lang w:eastAsia="el-GR"/>
        </w:rPr>
        <w:t>), (</w:t>
      </w:r>
      <w:r w:rsidRPr="009E4B24">
        <w:rPr>
          <w:rFonts w:eastAsia="Times New Roman" w:cstheme="minorHAnsi"/>
          <w:sz w:val="24"/>
          <w:szCs w:val="24"/>
          <w:lang w:val="en-US" w:eastAsia="el-GR"/>
        </w:rPr>
        <w:t>iii</w:t>
      </w:r>
      <w:r w:rsidRPr="009E4B24">
        <w:rPr>
          <w:rFonts w:eastAsia="Times New Roman" w:cstheme="minorHAnsi"/>
          <w:sz w:val="24"/>
          <w:szCs w:val="24"/>
          <w:lang w:eastAsia="el-GR"/>
        </w:rPr>
        <w:t>) συγκρίσιμων συναλλαγών ομοειδών εταιρειών (</w:t>
      </w:r>
      <w:r w:rsidRPr="009E4B24">
        <w:rPr>
          <w:rFonts w:eastAsia="Times New Roman" w:cstheme="minorHAnsi"/>
          <w:sz w:val="24"/>
          <w:szCs w:val="24"/>
          <w:lang w:val="en-US" w:eastAsia="el-GR"/>
        </w:rPr>
        <w:t>comparable</w:t>
      </w:r>
      <w:r w:rsidRPr="009E4B24">
        <w:rPr>
          <w:rFonts w:eastAsia="Times New Roman" w:cstheme="minorHAnsi"/>
          <w:sz w:val="24"/>
          <w:szCs w:val="24"/>
          <w:lang w:eastAsia="el-GR"/>
        </w:rPr>
        <w:t>/</w:t>
      </w:r>
      <w:r w:rsidRPr="009E4B24">
        <w:rPr>
          <w:rFonts w:eastAsia="Times New Roman" w:cstheme="minorHAnsi"/>
          <w:sz w:val="24"/>
          <w:szCs w:val="24"/>
          <w:lang w:val="en-US" w:eastAsia="el-GR"/>
        </w:rPr>
        <w:t>precedent</w:t>
      </w:r>
      <w:r w:rsidRPr="009E4B24">
        <w:rPr>
          <w:rFonts w:eastAsia="Times New Roman" w:cstheme="minorHAnsi"/>
          <w:sz w:val="24"/>
          <w:szCs w:val="24"/>
          <w:lang w:eastAsia="el-GR"/>
        </w:rPr>
        <w:t xml:space="preserve"> transactions) και iv) αποτίμηση με βάση το μέσο οικονομικό κύκλο (mid –cycle fair value), από τις οποίες προέκυψε, εφαρμόζοντας συντελεστή βαρύτητας στα αποτελέσματα κάθε μεθοδολογίας, η σταθμισμένη τελική τιμή ανά Μετοχή € 4,29.</w:t>
      </w:r>
    </w:p>
    <w:p w14:paraId="51C87A38"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Συνεπώς, το Προσφερόμενο Αντάλλαγμα πληροί τα κριτήρια του «δίκαιου και εύλογου» ανταλλάγματος κατ' άρθρο 9 παρ. 4 και 6 του νόμου 3461/2006.</w:t>
      </w:r>
    </w:p>
    <w:p w14:paraId="1305A9A9"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Ειδικότερα, κατά την Ημερομηνία της Δημόσιας Πρότασης, το Προσφερόμενο Αντάλλαγμα:</w:t>
      </w:r>
    </w:p>
    <w:p w14:paraId="5B4A80C6" w14:textId="77777777" w:rsidR="009E4B24" w:rsidRPr="009E4B24" w:rsidRDefault="009E4B24" w:rsidP="009E4B24">
      <w:pPr>
        <w:spacing w:line="312" w:lineRule="auto"/>
        <w:ind w:left="0" w:right="0"/>
        <w:rPr>
          <w:rFonts w:eastAsia="Times New Roman" w:cstheme="minorHAnsi"/>
          <w:sz w:val="24"/>
          <w:szCs w:val="24"/>
          <w:lang w:eastAsia="el-GR"/>
        </w:rPr>
      </w:pPr>
    </w:p>
    <w:p w14:paraId="543B179A"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 υπερβαίνει κατά 13,54% την ΜΧΤΜ της μετοχής της περιόδου κατά τους έξι (6) μήνες που προηγήθηκαν της Ημερομηνίας της Δημόσιας Πρότασης, η οποία ανερχόταν σε €3,84 και </w:t>
      </w:r>
    </w:p>
    <w:p w14:paraId="7A054975" w14:textId="77777777" w:rsidR="009E4B24" w:rsidRPr="009E4B24" w:rsidRDefault="009E4B24" w:rsidP="009E4B24">
      <w:pPr>
        <w:spacing w:line="312" w:lineRule="auto"/>
        <w:ind w:left="0" w:right="0"/>
        <w:rPr>
          <w:rFonts w:eastAsia="Times New Roman" w:cstheme="minorHAnsi"/>
          <w:sz w:val="24"/>
          <w:szCs w:val="24"/>
          <w:lang w:eastAsia="el-GR"/>
        </w:rPr>
      </w:pPr>
    </w:p>
    <w:p w14:paraId="37DFF787"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υπερβαίνει κατά 1,63% την τιμή που προσδιορίστηκε από τον Αποτιμητή, σύμφωνα με την αποτίμηση του άρθρου 9 παρ.7 του νόμου 3461/2006, σε €4,29.</w:t>
      </w:r>
    </w:p>
    <w:p w14:paraId="2627D0C8" w14:textId="77777777" w:rsidR="009E4B24" w:rsidRPr="009E4B24" w:rsidRDefault="009E4B24" w:rsidP="009E4B24">
      <w:pPr>
        <w:spacing w:line="312" w:lineRule="auto"/>
        <w:ind w:left="0" w:right="0"/>
        <w:rPr>
          <w:rFonts w:eastAsia="Times New Roman" w:cstheme="minorHAnsi"/>
          <w:sz w:val="24"/>
          <w:szCs w:val="24"/>
          <w:lang w:eastAsia="el-GR"/>
        </w:rPr>
      </w:pPr>
    </w:p>
    <w:p w14:paraId="60816138"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υπερβαίνει κατά 10,10 % την τιμή κλεισίματος της Μετοχής στο Χ.Α. κατά την ημερομηνία που προηγείτο της Ημερομηνίας της Δημόσιας Πρότασης, η οποία ανερχόταν σε ευρώ € 3,96.</w:t>
      </w:r>
    </w:p>
    <w:p w14:paraId="5E7B9601" w14:textId="77777777" w:rsidR="009E4B24" w:rsidRPr="009E4B24" w:rsidRDefault="009E4B24" w:rsidP="009E4B24">
      <w:pPr>
        <w:spacing w:line="312" w:lineRule="auto"/>
        <w:ind w:left="0" w:right="0"/>
        <w:rPr>
          <w:rFonts w:eastAsia="Times New Roman" w:cstheme="minorHAnsi"/>
          <w:sz w:val="24"/>
          <w:szCs w:val="24"/>
          <w:lang w:eastAsia="el-GR"/>
        </w:rPr>
      </w:pPr>
    </w:p>
    <w:p w14:paraId="46369D73"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Επιπλέον του Προσφερόμενου Ανταλλάγματος, ο Προτείνων θα αναλάβει για λογαριασμό των Αποδεχόμενων Μετόχων την καταβολή των προβλεπόμενων στο άρθρο 7 της κωδικοποιημένης απόφασης αρ. 1 (συνεδρίαση 223/28.1.2014) του Διοικητικού Συμβουλίου της ΕΛ.Κ.Α.Τ. δικαιωμάτων υπέρ της ΕΛ.Κ.Α.Τ. για την καταχώριση της εξωχρηματιστηριακής μεταβίβασης των Μετοχών, σήμερα ανερχόμενων σε 0,08% επί της αξίας μεταβίβασης με ελάχιστη χρέωση ποσού ίσου με το μικρότερο μεταξύ των 20 Ευρώ και του 20% επί της αξίας της μεταβίβασης για κάθε Αποδεχόμενο Μέτοχο ανά Λογαριασμό Αξιών. Η αξία μεταβίβασης υπολογίζεται ως το γινόμενο του αριθμού των Μεταβιβαζομένων</w:t>
      </w:r>
    </w:p>
    <w:p w14:paraId="38430CA2"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Μετοχών επί τη μεγαλύτερη από τις εξής τιμές: (α) του Προσφερόμενου Ανταλλάγματος, και (β) της τιμής κλεισίματος της Μετοχής στο Χ.Α. την προηγούμενη εργάσιμη ημέρα της υποβολής των απαραίτητων εγγράφων στην ΕΛ.Κ.Α.Τ.</w:t>
      </w:r>
    </w:p>
    <w:p w14:paraId="7F48841B" w14:textId="77777777" w:rsidR="009E4B24" w:rsidRPr="009E4B24" w:rsidRDefault="009E4B24" w:rsidP="009E4B24">
      <w:pPr>
        <w:spacing w:line="312" w:lineRule="auto"/>
        <w:ind w:left="0" w:right="0"/>
        <w:rPr>
          <w:rFonts w:eastAsia="Times New Roman" w:cstheme="minorHAnsi"/>
          <w:sz w:val="24"/>
          <w:szCs w:val="24"/>
          <w:lang w:eastAsia="el-GR"/>
        </w:rPr>
      </w:pPr>
    </w:p>
    <w:p w14:paraId="1C00F72C"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lastRenderedPageBreak/>
        <w:t>Ο Προτείνων δεν αναλαμβάνει την καταβολή του ποσού που αναλογεί στον προβλεπόμενο στο άρθρο 9 του Ν.2579/1998 φόρο, σήμερα ανερχόμενο σε 0,2% επί της αξίας συναλλαγής, ο οποίος θα βαρύνει τους Αποδεχόμενους Μετόχους. Κατά συνέπεια, οι Αποδεχόμενοι Μέτοχοι θα λάβουν το συνολικό ποσό του Προσφερόμενου Ανταλλάγματος δίχως την επιβάρυνση από τα δικαιώματα υπέρ της ΕΛ.Κ.Α.Τ., αλλά μειωμένο κατά το ποσό του προαναφερόμενου φόρου.</w:t>
      </w:r>
    </w:p>
    <w:p w14:paraId="6C171418"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Κατά συνέπεια, οι Αποδεχόμενοι Μέτοχοι θα λάβουν το συνολικό ποσό του Προσφερόμενου Ανταλλάγματος δίχως την επιβάρυνση από τα δικαιώματα υπέρ της ΕΛ.Κ.Α.Τ., αλλά μειωμένο κατά το ποσό του προαναφερόμενου φόρου.</w:t>
      </w:r>
    </w:p>
    <w:p w14:paraId="4C6AD700" w14:textId="77777777" w:rsidR="009E4B24" w:rsidRPr="009E4B24" w:rsidRDefault="009E4B24" w:rsidP="009E4B24">
      <w:pPr>
        <w:spacing w:line="312" w:lineRule="auto"/>
        <w:ind w:left="0" w:right="0"/>
        <w:rPr>
          <w:rFonts w:eastAsia="Times New Roman" w:cstheme="minorHAnsi"/>
          <w:sz w:val="24"/>
          <w:szCs w:val="24"/>
          <w:lang w:eastAsia="el-GR"/>
        </w:rPr>
      </w:pPr>
    </w:p>
    <w:p w14:paraId="39C705A0"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2.8.</w:t>
      </w:r>
      <w:r w:rsidRPr="009E4B24">
        <w:rPr>
          <w:rFonts w:eastAsia="Times New Roman" w:cstheme="minorHAnsi"/>
          <w:sz w:val="24"/>
          <w:szCs w:val="24"/>
          <w:lang w:eastAsia="el-GR"/>
        </w:rPr>
        <w:t xml:space="preserve"> Ο Σύμβουλος, σύμφωνα με την υποβληθείσα στο Διοικητικό Συμβούλιο της Εταιρείας από 11 Ιουνίου 2019 έκθεση και γνώμη του ως προς το δίκαιο και εύλογο του Προσφερόμενου Ανταλλάγματος, γνωμοδότησε ότι το Προσφερόμενο Αντάλλαγμα είναι δίκαιο και εύλογο από χρηματοοικονομικής απόψεως για τους κατόχους των Μετοχών της Δημόσιας Πρότασης, συμπεραίνοντας ειδικότερα ότι, στο πλαίσιο της Δημόσιας Πρότασης το προσφερόμενο τίμημα €4,36 για κάθε μετοχή της Εταιρείας, βρίσκεται απολύτως εντός του εύλογου εύρους τιμών, όπως αυτό προέκυψε από τις επιλεγμένες μεθόδους αποτίμησης και προσδιορίστηκε σε €4,00 - €4,40 ανά μετοχή.</w:t>
      </w:r>
    </w:p>
    <w:p w14:paraId="232F90CF" w14:textId="77777777" w:rsidR="009E4B24" w:rsidRPr="009E4B24" w:rsidRDefault="009E4B24" w:rsidP="009E4B24">
      <w:pPr>
        <w:spacing w:line="312" w:lineRule="auto"/>
        <w:ind w:left="0" w:right="0"/>
        <w:rPr>
          <w:rFonts w:eastAsia="Times New Roman" w:cstheme="minorHAnsi"/>
          <w:sz w:val="24"/>
          <w:szCs w:val="24"/>
          <w:lang w:eastAsia="el-GR"/>
        </w:rPr>
      </w:pPr>
    </w:p>
    <w:p w14:paraId="72D32C30"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3.</w:t>
      </w:r>
      <w:r w:rsidRPr="009E4B24">
        <w:rPr>
          <w:rFonts w:eastAsia="Times New Roman" w:cstheme="minorHAnsi"/>
          <w:sz w:val="24"/>
          <w:szCs w:val="24"/>
          <w:lang w:eastAsia="el-GR"/>
        </w:rPr>
        <w:t xml:space="preserve"> Ενέργειες στις οποίες έχει ήδη προβεί ή προτίθεται να προβεί το Διοικητικό Συμβούλιο της Εταιρείας σχετικά με τη Δημόσια Πρόταση:</w:t>
      </w:r>
    </w:p>
    <w:p w14:paraId="2A532938" w14:textId="77777777" w:rsidR="009E4B24" w:rsidRPr="009E4B24" w:rsidRDefault="009E4B24" w:rsidP="009E4B24">
      <w:pPr>
        <w:spacing w:line="312" w:lineRule="auto"/>
        <w:ind w:left="0" w:right="0"/>
        <w:rPr>
          <w:rFonts w:eastAsia="Times New Roman" w:cstheme="minorHAnsi"/>
          <w:sz w:val="24"/>
          <w:szCs w:val="24"/>
          <w:lang w:eastAsia="el-GR"/>
        </w:rPr>
      </w:pPr>
    </w:p>
    <w:p w14:paraId="536125E1"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Το Διοικητικό Συμβούλιο της Εταιρείας ενημερώθηκε εγγράφως για την απόφαση του Προτείνοντος σχετικά με την υποβολή της Δημόσιας Πρότασης την 29.03.2019 και ενημέρωσε αμέσως τους εργαζόμενους της Εταιρείας σχετικά..</w:t>
      </w:r>
    </w:p>
    <w:p w14:paraId="50F70F17" w14:textId="77777777" w:rsidR="009E4B24" w:rsidRPr="009E4B24" w:rsidRDefault="009E4B24" w:rsidP="009E4B24">
      <w:pPr>
        <w:spacing w:line="312" w:lineRule="auto"/>
        <w:ind w:left="0" w:right="0"/>
        <w:rPr>
          <w:rFonts w:eastAsia="Times New Roman" w:cstheme="minorHAnsi"/>
          <w:sz w:val="24"/>
          <w:szCs w:val="24"/>
          <w:lang w:eastAsia="el-GR"/>
        </w:rPr>
      </w:pPr>
    </w:p>
    <w:p w14:paraId="310AC3D7"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Ακολούθως, η Εταιρεία επέλεξε ως χρηματοοικονομικό σύμβουλο, σύμφωνα με το άρθρο 15 παρ. 2 του νόμου 3461/2006, την εταιρεία «</w:t>
      </w:r>
      <w:r w:rsidRPr="009E4B24">
        <w:rPr>
          <w:rFonts w:eastAsia="Times New Roman" w:cstheme="minorHAnsi"/>
          <w:sz w:val="24"/>
          <w:szCs w:val="24"/>
          <w:lang w:val="en-US" w:eastAsia="el-GR"/>
        </w:rPr>
        <w:t>MERIT</w:t>
      </w:r>
      <w:r w:rsidRPr="009E4B24">
        <w:rPr>
          <w:rFonts w:eastAsia="Times New Roman" w:cstheme="minorHAnsi"/>
          <w:sz w:val="24"/>
          <w:szCs w:val="24"/>
          <w:lang w:eastAsia="el-GR"/>
        </w:rPr>
        <w:t xml:space="preserve"> ΧΡΗΜΑΤΙΣΤΗΡΙΑΚΗ Α.Ε.Π.Ε.Υ.», προκειμένου να συντάξει την έκθεση και γνώμη που θα συνοδεύει την παρούσα αιτιολογημένη γνώμη του Διοικητικού Συμβουλίου, σύμφωνα με το νόμο 3461/2006.</w:t>
      </w:r>
    </w:p>
    <w:p w14:paraId="0507EAD2" w14:textId="77777777" w:rsidR="009E4B24" w:rsidRPr="009E4B24" w:rsidRDefault="009E4B24" w:rsidP="009E4B24">
      <w:pPr>
        <w:spacing w:line="312" w:lineRule="auto"/>
        <w:ind w:left="0" w:right="0"/>
        <w:rPr>
          <w:rFonts w:eastAsia="Times New Roman" w:cstheme="minorHAnsi"/>
          <w:sz w:val="24"/>
          <w:szCs w:val="24"/>
          <w:lang w:eastAsia="el-GR"/>
        </w:rPr>
      </w:pPr>
    </w:p>
    <w:p w14:paraId="1BC83A5B"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Το Πληροφοριακό Δελτίο εγκρίθηκε από την Επιτροπή Κεφαλαιαγοράς την 30</w:t>
      </w:r>
      <w:r w:rsidRPr="009E4B24">
        <w:rPr>
          <w:rFonts w:eastAsia="Times New Roman" w:cstheme="minorHAnsi"/>
          <w:sz w:val="24"/>
          <w:szCs w:val="24"/>
          <w:vertAlign w:val="superscript"/>
          <w:lang w:eastAsia="el-GR"/>
        </w:rPr>
        <w:t>η</w:t>
      </w:r>
      <w:r w:rsidRPr="009E4B24">
        <w:rPr>
          <w:rFonts w:eastAsia="Times New Roman" w:cstheme="minorHAnsi"/>
          <w:sz w:val="24"/>
          <w:szCs w:val="24"/>
          <w:lang w:eastAsia="el-GR"/>
        </w:rPr>
        <w:t xml:space="preserve"> Μαΐου 2019, τέθηκε στη διάθεση του κοινού στις 4 Ιουνίου 2019 και διαβιβάστηκε ήδη στους εργαζομένους της Εταιρείας από το Διοικητικό Συμβούλιο της Εταιρείας.</w:t>
      </w:r>
    </w:p>
    <w:p w14:paraId="6B737425" w14:textId="77777777" w:rsidR="009E4B24" w:rsidRPr="009E4B24" w:rsidRDefault="009E4B24" w:rsidP="009E4B24">
      <w:pPr>
        <w:spacing w:line="312" w:lineRule="auto"/>
        <w:ind w:left="0" w:right="0"/>
        <w:rPr>
          <w:rFonts w:eastAsia="Times New Roman" w:cstheme="minorHAnsi"/>
          <w:sz w:val="24"/>
          <w:szCs w:val="24"/>
          <w:lang w:eastAsia="el-GR"/>
        </w:rPr>
      </w:pPr>
    </w:p>
    <w:p w14:paraId="473BAD65"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Στη συνέχεια και σύμφωνα με το νόμο 3461/2006, το Διοικητικό Συμβούλιο της Εταιρείας θα δημοσιοποιήσει και θα υποβάλει την Αιτιολογημένη Γνώμη του στην Επιτροπή Κεφαλαιαγοράς και στον Προτείνοντα, γνωστοποιώντας την παράλληλα στους εργαζόμενους της Εταιρείας. </w:t>
      </w:r>
    </w:p>
    <w:p w14:paraId="5777E291"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Σημειώνεται ότι οι εργαζόμενοι της Εταιρείας μέχρι και σήμερα δεν υπέβαλαν προς το Διοικητικό Συμβούλιο χωριστή γνώμη σχετικά με τις επιπτώσεις της Δημόσιας πρότασης στην απασχόληση των εργαζομένων.</w:t>
      </w:r>
    </w:p>
    <w:p w14:paraId="2D3BBD94" w14:textId="77777777" w:rsidR="009E4B24" w:rsidRPr="009E4B24" w:rsidRDefault="009E4B24" w:rsidP="009E4B24">
      <w:pPr>
        <w:spacing w:line="312" w:lineRule="auto"/>
        <w:ind w:left="0" w:right="0"/>
        <w:rPr>
          <w:rFonts w:eastAsia="Times New Roman" w:cstheme="minorHAnsi"/>
          <w:sz w:val="24"/>
          <w:szCs w:val="24"/>
          <w:lang w:eastAsia="el-GR"/>
        </w:rPr>
      </w:pPr>
    </w:p>
    <w:p w14:paraId="67E495A1"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Πέραν των ανωτέρω, το Διοικητικό Συμβούλιο της Εταιρείας δεν προέβη σε καμία ειδικότερη ενέργεια σε σχέση με τη Δημόσια Πρόταση.</w:t>
      </w:r>
    </w:p>
    <w:p w14:paraId="474D2A8A" w14:textId="77777777" w:rsidR="009E4B24" w:rsidRPr="009E4B24" w:rsidRDefault="009E4B24" w:rsidP="009E4B24">
      <w:pPr>
        <w:spacing w:line="312" w:lineRule="auto"/>
        <w:ind w:left="0" w:right="0"/>
        <w:rPr>
          <w:rFonts w:eastAsia="Times New Roman" w:cstheme="minorHAnsi"/>
          <w:sz w:val="24"/>
          <w:szCs w:val="24"/>
          <w:lang w:eastAsia="el-GR"/>
        </w:rPr>
      </w:pPr>
    </w:p>
    <w:p w14:paraId="7665BCEE"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Επίσης, το Διοικητικό Συμβούλιο δεν προέβη ούτε προτίθεται να προβεί σε οποιαδήποτε ενέργεια που δεν εντάσσεται στη συνήθη πορεία των δραστηριοτήτων της Εταιρίας και ενδέχεται να οδηγήσει στη ματαίωση της Δημόσιας Πρότασης.</w:t>
      </w:r>
    </w:p>
    <w:p w14:paraId="380DFDA2" w14:textId="77777777" w:rsidR="009E4B24" w:rsidRPr="009E4B24" w:rsidRDefault="009E4B24" w:rsidP="009E4B24">
      <w:pPr>
        <w:spacing w:line="312" w:lineRule="auto"/>
        <w:ind w:left="0" w:right="0"/>
        <w:rPr>
          <w:rFonts w:eastAsia="Times New Roman" w:cstheme="minorHAnsi"/>
          <w:sz w:val="24"/>
          <w:szCs w:val="24"/>
          <w:lang w:eastAsia="el-GR"/>
        </w:rPr>
      </w:pPr>
    </w:p>
    <w:p w14:paraId="0BC7FD68"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Περαιτέρω, το Διοικητικό Συμβούλιο της Εταιρείας </w:t>
      </w:r>
      <w:r w:rsidRPr="009E4B24">
        <w:rPr>
          <w:rFonts w:eastAsia="Times New Roman" w:cstheme="minorHAnsi"/>
          <w:b/>
          <w:bCs/>
          <w:sz w:val="24"/>
          <w:szCs w:val="24"/>
          <w:u w:val="single"/>
          <w:lang w:eastAsia="el-GR"/>
        </w:rPr>
        <w:t>ΔΗΛΩΝΕΙ</w:t>
      </w:r>
      <w:r w:rsidRPr="009E4B24">
        <w:rPr>
          <w:rFonts w:eastAsia="Times New Roman" w:cstheme="minorHAnsi"/>
          <w:sz w:val="24"/>
          <w:szCs w:val="24"/>
          <w:lang w:eastAsia="el-GR"/>
        </w:rPr>
        <w:t xml:space="preserve"> ότι:</w:t>
      </w:r>
    </w:p>
    <w:p w14:paraId="1251322F" w14:textId="77777777" w:rsidR="009E4B24" w:rsidRPr="009E4B24" w:rsidRDefault="009E4B24" w:rsidP="009E4B24">
      <w:pPr>
        <w:spacing w:line="312" w:lineRule="auto"/>
        <w:ind w:left="0" w:right="0"/>
        <w:rPr>
          <w:rFonts w:eastAsia="Times New Roman" w:cstheme="minorHAnsi"/>
          <w:sz w:val="24"/>
          <w:szCs w:val="24"/>
          <w:lang w:eastAsia="el-GR"/>
        </w:rPr>
      </w:pPr>
    </w:p>
    <w:p w14:paraId="4FFEFFC7" w14:textId="77777777" w:rsidR="009E4B24" w:rsidRPr="009E4B24" w:rsidRDefault="009E4B24" w:rsidP="009E4B24">
      <w:pPr>
        <w:spacing w:line="312" w:lineRule="auto"/>
        <w:ind w:left="0" w:right="0"/>
        <w:rPr>
          <w:rFonts w:eastAsia="Times New Roman" w:cstheme="minorHAnsi"/>
          <w:sz w:val="24"/>
          <w:szCs w:val="24"/>
          <w:highlight w:val="yellow"/>
          <w:lang w:eastAsia="el-GR"/>
        </w:rPr>
      </w:pPr>
      <w:r w:rsidRPr="009E4B24">
        <w:rPr>
          <w:rFonts w:eastAsia="Times New Roman" w:cstheme="minorHAnsi"/>
          <w:b/>
          <w:bCs/>
          <w:sz w:val="24"/>
          <w:szCs w:val="24"/>
          <w:lang w:eastAsia="el-GR"/>
        </w:rPr>
        <w:t>3.1.</w:t>
      </w:r>
      <w:r w:rsidRPr="009E4B24">
        <w:rPr>
          <w:rFonts w:eastAsia="Times New Roman" w:cstheme="minorHAnsi"/>
          <w:sz w:val="24"/>
          <w:szCs w:val="24"/>
          <w:lang w:eastAsia="el-GR"/>
        </w:rPr>
        <w:t xml:space="preserve"> Τα μέλη του Διοικητικού Συμβουλίου και τα διευθυντικά στελέχη της Εταιρείας δεν κατέχουν ούτε ελέγχουν άμεσα ή έμμεσα οποιεσδήποτε Μετοχές της Εταιρείας, με την εξαίρεση των:</w:t>
      </w:r>
    </w:p>
    <w:p w14:paraId="04A752CF"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(α) κου Στυλιανού Κανάκη, ο οποίος κατέχει 711.659 μετοχές της Εταιρείας και</w:t>
      </w:r>
    </w:p>
    <w:p w14:paraId="222076B0"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(β) της κας Ελευθερίας Κανάκη, η οποία κατέχει 208.671 μετοχές της Εταιρείας, </w:t>
      </w:r>
    </w:p>
    <w:p w14:paraId="52760D36"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αμφότερων δηλαδή κατέχοντων συνολικά 920.330 μετοχές της Εταιρείας που αντιπροσωπεύουν συνολικά ποσοστό περίπου 12,27 % του μετοχικού κεφαλαίου και των δικαιωμάτων ψήφου της Εταιρείας.</w:t>
      </w:r>
    </w:p>
    <w:p w14:paraId="15E5B134"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Ουδέν άλλο διευθυντικό της Εταιρείας στέλεχος κατέχει ή ελέγχει άμεσα ή έμμεσα μετοχές της Εταιρείας.</w:t>
      </w:r>
      <w:r w:rsidRPr="009E4B24">
        <w:rPr>
          <w:rFonts w:eastAsia="Times New Roman" w:cstheme="minorHAnsi"/>
          <w:sz w:val="24"/>
          <w:szCs w:val="24"/>
          <w:lang w:eastAsia="el-GR"/>
        </w:rPr>
        <w:tab/>
      </w:r>
    </w:p>
    <w:p w14:paraId="27CBD08A"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3.2.</w:t>
      </w:r>
      <w:r w:rsidRPr="009E4B24">
        <w:rPr>
          <w:rFonts w:eastAsia="Times New Roman" w:cstheme="minorHAnsi"/>
          <w:sz w:val="24"/>
          <w:szCs w:val="24"/>
          <w:lang w:eastAsia="el-GR"/>
        </w:rPr>
        <w:t xml:space="preserve"> Το Διοικητικό Συμβούλιο της Εταιρείας δεν προέβη σε οποιαδήποτε ενέργεια εκ των μνημονευόμενων στο άρθρο 14 παρ. 1 του Ν. 3461/2006.</w:t>
      </w:r>
    </w:p>
    <w:p w14:paraId="510BFDE5" w14:textId="77777777" w:rsidR="009E4B24" w:rsidRPr="009E4B24" w:rsidRDefault="009E4B24" w:rsidP="009E4B24">
      <w:pPr>
        <w:spacing w:line="312" w:lineRule="auto"/>
        <w:ind w:left="0" w:right="0"/>
        <w:rPr>
          <w:rFonts w:eastAsia="Times New Roman" w:cstheme="minorHAnsi"/>
          <w:sz w:val="24"/>
          <w:szCs w:val="24"/>
          <w:lang w:eastAsia="el-GR"/>
        </w:rPr>
      </w:pPr>
    </w:p>
    <w:p w14:paraId="54182A22"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3.3.</w:t>
      </w:r>
      <w:r w:rsidRPr="009E4B24">
        <w:rPr>
          <w:rFonts w:eastAsia="Times New Roman" w:cstheme="minorHAnsi"/>
          <w:sz w:val="24"/>
          <w:szCs w:val="24"/>
          <w:lang w:eastAsia="el-GR"/>
        </w:rPr>
        <w:t xml:space="preserve"> Δεν υπάρχουν ειδικές συμφωνίες μεταξύ του Διοικητικού Συμβουλίου της Εταιρείας ή των μελών του και του Προτείνοντος, πέραν της από 28 Μαρτίου 2019 συμφωνίας μεταβίβασης μετοχών μεταξύ του Προτείνοντος και των κ.κ. Στυλιανού Κανάκη και Ελευθερίας Κανάκη και των κατωτέρω υπό 3.4 αναφερόμενων.</w:t>
      </w:r>
    </w:p>
    <w:p w14:paraId="3E15426D" w14:textId="77777777" w:rsidR="009E4B24" w:rsidRPr="009E4B24" w:rsidRDefault="009E4B24" w:rsidP="009E4B24">
      <w:pPr>
        <w:spacing w:line="312" w:lineRule="auto"/>
        <w:ind w:left="0" w:right="0"/>
        <w:rPr>
          <w:rFonts w:eastAsia="Times New Roman" w:cstheme="minorHAnsi"/>
          <w:sz w:val="24"/>
          <w:szCs w:val="24"/>
          <w:lang w:eastAsia="el-GR"/>
        </w:rPr>
      </w:pPr>
    </w:p>
    <w:p w14:paraId="50A234E6"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3.4.</w:t>
      </w:r>
      <w:r w:rsidRPr="009E4B24">
        <w:rPr>
          <w:rFonts w:eastAsia="Times New Roman" w:cstheme="minorHAnsi"/>
          <w:sz w:val="24"/>
          <w:szCs w:val="24"/>
          <w:lang w:eastAsia="el-GR"/>
        </w:rPr>
        <w:t xml:space="preserve"> Σημειώνεται επίσης ότι από τα μέλη του Διοικητικού Συμβουλίου της Εταιρείας:</w:t>
      </w:r>
    </w:p>
    <w:p w14:paraId="79D44B92"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 ο Πρόεδρος του Διοικητικού Συμβουλίου, κ. </w:t>
      </w:r>
      <w:r w:rsidRPr="009E4B24">
        <w:rPr>
          <w:rFonts w:eastAsia="Times New Roman" w:cstheme="minorHAnsi"/>
          <w:sz w:val="24"/>
          <w:szCs w:val="24"/>
          <w:lang w:val="en-US" w:eastAsia="el-GR"/>
        </w:rPr>
        <w:t>Tommy</w:t>
      </w:r>
      <w:r w:rsidRPr="009E4B24">
        <w:rPr>
          <w:rFonts w:eastAsia="Times New Roman" w:cstheme="minorHAnsi"/>
          <w:sz w:val="24"/>
          <w:szCs w:val="24"/>
          <w:lang w:eastAsia="el-GR"/>
        </w:rPr>
        <w:t xml:space="preserve"> </w:t>
      </w:r>
      <w:proofErr w:type="spellStart"/>
      <w:r w:rsidRPr="009E4B24">
        <w:rPr>
          <w:rFonts w:eastAsia="Times New Roman" w:cstheme="minorHAnsi"/>
          <w:sz w:val="24"/>
          <w:szCs w:val="24"/>
          <w:lang w:val="en-US" w:eastAsia="el-GR"/>
        </w:rPr>
        <w:t>Str</w:t>
      </w:r>
      <w:proofErr w:type="spellEnd"/>
      <w:r w:rsidRPr="009E4B24">
        <w:rPr>
          <w:rFonts w:eastAsia="Times New Roman" w:cstheme="minorHAnsi"/>
          <w:sz w:val="24"/>
          <w:szCs w:val="24"/>
          <w:lang w:eastAsia="el-GR"/>
        </w:rPr>
        <w:t>ø</w:t>
      </w:r>
      <w:proofErr w:type="spellStart"/>
      <w:r w:rsidRPr="009E4B24">
        <w:rPr>
          <w:rFonts w:eastAsia="Times New Roman" w:cstheme="minorHAnsi"/>
          <w:sz w:val="24"/>
          <w:szCs w:val="24"/>
          <w:lang w:val="en-US" w:eastAsia="el-GR"/>
        </w:rPr>
        <w:t>mstad</w:t>
      </w:r>
      <w:proofErr w:type="spellEnd"/>
      <w:r w:rsidRPr="009E4B24">
        <w:rPr>
          <w:rFonts w:eastAsia="Times New Roman" w:cstheme="minorHAnsi"/>
          <w:sz w:val="24"/>
          <w:szCs w:val="24"/>
          <w:lang w:eastAsia="el-GR"/>
        </w:rPr>
        <w:t>, είναι Οικονομικός Διευθυντής του Προτείνοντος,</w:t>
      </w:r>
    </w:p>
    <w:p w14:paraId="60640F15" w14:textId="77777777" w:rsidR="009E4B24" w:rsidRPr="009E4B24" w:rsidRDefault="009E4B24" w:rsidP="009E4B24">
      <w:pPr>
        <w:spacing w:line="312" w:lineRule="auto"/>
        <w:ind w:left="0" w:right="0"/>
        <w:rPr>
          <w:rFonts w:eastAsia="Times New Roman" w:cstheme="minorHAnsi"/>
          <w:sz w:val="24"/>
          <w:szCs w:val="24"/>
          <w:highlight w:val="yellow"/>
          <w:lang w:eastAsia="el-GR"/>
        </w:rPr>
      </w:pPr>
      <w:r w:rsidRPr="009E4B24">
        <w:rPr>
          <w:rFonts w:eastAsia="Times New Roman" w:cstheme="minorHAnsi"/>
          <w:sz w:val="24"/>
          <w:szCs w:val="24"/>
          <w:lang w:eastAsia="el-GR"/>
        </w:rPr>
        <w:t xml:space="preserve">- ο σύμβουλος κ. </w:t>
      </w:r>
      <w:proofErr w:type="spellStart"/>
      <w:r w:rsidRPr="009E4B24">
        <w:rPr>
          <w:rFonts w:eastAsia="Times New Roman" w:cstheme="minorHAnsi"/>
          <w:sz w:val="24"/>
          <w:szCs w:val="24"/>
          <w:lang w:val="en-US" w:eastAsia="el-GR"/>
        </w:rPr>
        <w:t>Halvor</w:t>
      </w:r>
      <w:proofErr w:type="spellEnd"/>
      <w:r w:rsidRPr="009E4B24">
        <w:rPr>
          <w:rFonts w:eastAsia="Times New Roman" w:cstheme="minorHAnsi"/>
          <w:sz w:val="24"/>
          <w:szCs w:val="24"/>
          <w:lang w:eastAsia="el-GR"/>
        </w:rPr>
        <w:t xml:space="preserve"> </w:t>
      </w:r>
      <w:proofErr w:type="spellStart"/>
      <w:r w:rsidRPr="009E4B24">
        <w:rPr>
          <w:rFonts w:eastAsia="Times New Roman" w:cstheme="minorHAnsi"/>
          <w:sz w:val="24"/>
          <w:szCs w:val="24"/>
          <w:lang w:val="en-US" w:eastAsia="el-GR"/>
        </w:rPr>
        <w:t>Liodden</w:t>
      </w:r>
      <w:proofErr w:type="spellEnd"/>
      <w:r w:rsidRPr="009E4B24">
        <w:rPr>
          <w:rFonts w:eastAsia="Times New Roman" w:cstheme="minorHAnsi"/>
          <w:sz w:val="24"/>
          <w:szCs w:val="24"/>
          <w:lang w:eastAsia="el-GR"/>
        </w:rPr>
        <w:t xml:space="preserve"> είναι </w:t>
      </w:r>
      <w:r w:rsidRPr="009E4B24">
        <w:rPr>
          <w:rFonts w:eastAsia="Times New Roman" w:cstheme="minorHAnsi"/>
          <w:sz w:val="24"/>
          <w:szCs w:val="24"/>
          <w:lang w:val="en-US" w:eastAsia="el-GR"/>
        </w:rPr>
        <w:t>CEO</w:t>
      </w:r>
      <w:r w:rsidRPr="009E4B24">
        <w:rPr>
          <w:rFonts w:eastAsia="Times New Roman" w:cstheme="minorHAnsi"/>
          <w:sz w:val="24"/>
          <w:szCs w:val="24"/>
          <w:lang w:eastAsia="el-GR"/>
        </w:rPr>
        <w:t xml:space="preserve"> του ομίλου </w:t>
      </w:r>
      <w:proofErr w:type="spellStart"/>
      <w:r w:rsidRPr="009E4B24">
        <w:rPr>
          <w:rFonts w:eastAsia="Times New Roman" w:cstheme="minorHAnsi"/>
          <w:sz w:val="24"/>
          <w:szCs w:val="24"/>
          <w:lang w:val="en-US" w:eastAsia="el-GR"/>
        </w:rPr>
        <w:t>Credin</w:t>
      </w:r>
      <w:proofErr w:type="spellEnd"/>
      <w:r w:rsidRPr="009E4B24">
        <w:rPr>
          <w:rFonts w:eastAsia="Times New Roman" w:cstheme="minorHAnsi"/>
          <w:sz w:val="24"/>
          <w:szCs w:val="24"/>
          <w:lang w:eastAsia="el-GR"/>
        </w:rPr>
        <w:t>, στον οποίο εμμέσως συμμετέχει ο Προτείνων, και Αντιπρόεδρος του Διοικητικού Συμβουλίου του Προτείνοντος, ενώ</w:t>
      </w:r>
    </w:p>
    <w:p w14:paraId="79A379F5"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 xml:space="preserve">- η  σύμβουλος κα </w:t>
      </w:r>
      <w:r w:rsidRPr="009E4B24">
        <w:rPr>
          <w:rFonts w:eastAsia="Times New Roman" w:cstheme="minorHAnsi"/>
          <w:sz w:val="24"/>
          <w:szCs w:val="24"/>
          <w:lang w:val="en-US" w:eastAsia="el-GR"/>
        </w:rPr>
        <w:t>Manuela</w:t>
      </w:r>
      <w:r w:rsidRPr="009E4B24">
        <w:rPr>
          <w:rFonts w:eastAsia="Times New Roman" w:cstheme="minorHAnsi"/>
          <w:sz w:val="24"/>
          <w:szCs w:val="24"/>
          <w:lang w:eastAsia="el-GR"/>
        </w:rPr>
        <w:t xml:space="preserve"> </w:t>
      </w:r>
      <w:r w:rsidRPr="009E4B24">
        <w:rPr>
          <w:rFonts w:eastAsia="Times New Roman" w:cstheme="minorHAnsi"/>
          <w:sz w:val="24"/>
          <w:szCs w:val="24"/>
          <w:lang w:val="en-US" w:eastAsia="el-GR"/>
        </w:rPr>
        <w:t>Banu</w:t>
      </w:r>
      <w:r w:rsidRPr="009E4B24">
        <w:rPr>
          <w:rFonts w:eastAsia="Times New Roman" w:cstheme="minorHAnsi"/>
          <w:sz w:val="24"/>
          <w:szCs w:val="24"/>
          <w:lang w:eastAsia="el-GR"/>
        </w:rPr>
        <w:t xml:space="preserve"> είναι στην παρούσα συγκυρία CEO της εταιρείας «Orkla Foods Romania S.A.», 100% θυγατρικής εταιρείας του Προτείνοντος και, ως εκ τούτου, αποτελούν πρόσωπα που ενεργούν συντονισμένα με τον Προτείνοντα.</w:t>
      </w:r>
    </w:p>
    <w:p w14:paraId="0F8AAA56" w14:textId="77777777" w:rsidR="009E4B24" w:rsidRPr="009E4B24" w:rsidRDefault="009E4B24" w:rsidP="009E4B24">
      <w:pPr>
        <w:spacing w:line="312" w:lineRule="auto"/>
        <w:ind w:left="0" w:right="0"/>
        <w:rPr>
          <w:rFonts w:eastAsia="Times New Roman" w:cstheme="minorHAnsi"/>
          <w:sz w:val="24"/>
          <w:szCs w:val="24"/>
          <w:lang w:eastAsia="el-GR"/>
        </w:rPr>
      </w:pPr>
    </w:p>
    <w:p w14:paraId="55B5624F"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4.</w:t>
      </w:r>
      <w:r w:rsidRPr="009E4B24">
        <w:rPr>
          <w:rFonts w:eastAsia="Times New Roman" w:cstheme="minorHAnsi"/>
          <w:sz w:val="24"/>
          <w:szCs w:val="24"/>
          <w:lang w:eastAsia="el-GR"/>
        </w:rPr>
        <w:t xml:space="preserve">  Κατόπιν των ανωτέρω, το Διοικητικό Συμβούλιο της Εταιρείας, με γνώμονα την προσήλωση στις αρχές της διαφύλαξης και της προαγωγής των συμφερόντων της Εταιρείας και των μετόχων της, και βασιζόμενο στο περιεχόμενο του εγκριθέντος Πληροφοριακού Δελτίου του Προτείνοντος, κατέληξε ομόφωνα στην ακόλουθη άποψη:</w:t>
      </w:r>
    </w:p>
    <w:p w14:paraId="2A894BF7" w14:textId="77777777" w:rsidR="009E4B24" w:rsidRPr="009E4B24" w:rsidRDefault="009E4B24" w:rsidP="009E4B24">
      <w:pPr>
        <w:spacing w:line="312" w:lineRule="auto"/>
        <w:ind w:left="0" w:right="0"/>
        <w:rPr>
          <w:rFonts w:eastAsia="Times New Roman" w:cstheme="minorHAnsi"/>
          <w:sz w:val="24"/>
          <w:szCs w:val="24"/>
          <w:lang w:eastAsia="el-GR"/>
        </w:rPr>
      </w:pPr>
    </w:p>
    <w:p w14:paraId="7033FF58"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(Α)</w:t>
      </w:r>
      <w:r w:rsidRPr="009E4B24">
        <w:rPr>
          <w:rFonts w:eastAsia="Times New Roman" w:cstheme="minorHAnsi"/>
          <w:sz w:val="24"/>
          <w:szCs w:val="24"/>
          <w:lang w:eastAsia="el-GR"/>
        </w:rPr>
        <w:t xml:space="preserve"> Τα στρατηγικά σχέδια του Προτείνοντα, όπως αναφέρονται στο Πληροφοριακό Δελτίο δεν αναμένεται να επηρεάσουν αρνητικά τα συμφέροντα και την επιχειρηματική δραστηριότητα της Εταιρείας.</w:t>
      </w:r>
    </w:p>
    <w:p w14:paraId="15D7D127" w14:textId="77777777" w:rsidR="009E4B24" w:rsidRPr="009E4B24" w:rsidRDefault="009E4B24" w:rsidP="009E4B24">
      <w:pPr>
        <w:spacing w:line="312" w:lineRule="auto"/>
        <w:ind w:left="0" w:right="0"/>
        <w:rPr>
          <w:rFonts w:eastAsia="Times New Roman" w:cstheme="minorHAnsi"/>
          <w:sz w:val="24"/>
          <w:szCs w:val="24"/>
          <w:lang w:eastAsia="el-GR"/>
        </w:rPr>
      </w:pPr>
    </w:p>
    <w:p w14:paraId="137F7427"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(Β)</w:t>
      </w:r>
      <w:r w:rsidRPr="009E4B24">
        <w:rPr>
          <w:rFonts w:eastAsia="Times New Roman" w:cstheme="minorHAnsi"/>
          <w:sz w:val="24"/>
          <w:szCs w:val="24"/>
          <w:lang w:eastAsia="el-GR"/>
        </w:rPr>
        <w:t xml:space="preserve"> Σύμφωνα με όσα αναφέρονται στο Πληροφοριακό Δελτίο, η επιτυχής έκβαση της Δημόσιας Πρότασης δεν αναμένεται να έχει δυσμενείς επιπτώσεις στην απασχόληση στους χώρους όπου διεξάγονται οι δραστηριότητες της Εταιρείας και στα συμφέροντα των εργαζομένων της Εταιρείας.</w:t>
      </w:r>
    </w:p>
    <w:p w14:paraId="1B97AB60" w14:textId="77777777" w:rsidR="009E4B24" w:rsidRPr="009E4B24" w:rsidRDefault="009E4B24" w:rsidP="009E4B24">
      <w:pPr>
        <w:spacing w:line="312" w:lineRule="auto"/>
        <w:ind w:left="0" w:right="0"/>
        <w:rPr>
          <w:rFonts w:eastAsia="Times New Roman" w:cstheme="minorHAnsi"/>
          <w:sz w:val="24"/>
          <w:szCs w:val="24"/>
          <w:lang w:eastAsia="el-GR"/>
        </w:rPr>
      </w:pPr>
    </w:p>
    <w:p w14:paraId="249645FD"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(Γ)</w:t>
      </w:r>
      <w:r w:rsidRPr="009E4B24">
        <w:rPr>
          <w:rFonts w:eastAsia="Times New Roman" w:cstheme="minorHAnsi"/>
          <w:sz w:val="24"/>
          <w:szCs w:val="24"/>
          <w:lang w:eastAsia="el-GR"/>
        </w:rPr>
        <w:t xml:space="preserve"> Το προσφερθέν από τον Προτείνοντα αντάλλαγμα για την αγορά, στο πλαίσιο της προαιρετικής Δημόσιας Πρότασης ύψους €4,36 ανά μετοχή, είναι δίκαιο και εύλογο από χρηματοοικονομικής άποψης για τους κατόχους των Μετοχών της Δημόσιας Πρότασης.</w:t>
      </w:r>
    </w:p>
    <w:p w14:paraId="3407B2A8" w14:textId="77777777" w:rsidR="009E4B24" w:rsidRPr="009E4B24" w:rsidRDefault="009E4B24" w:rsidP="009E4B24">
      <w:pPr>
        <w:spacing w:line="312" w:lineRule="auto"/>
        <w:ind w:left="0" w:right="0"/>
        <w:rPr>
          <w:rFonts w:eastAsia="Times New Roman" w:cstheme="minorHAnsi"/>
          <w:sz w:val="24"/>
          <w:szCs w:val="24"/>
          <w:lang w:eastAsia="el-GR"/>
        </w:rPr>
      </w:pPr>
    </w:p>
    <w:p w14:paraId="265DB644"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b/>
          <w:bCs/>
          <w:sz w:val="24"/>
          <w:szCs w:val="24"/>
          <w:lang w:eastAsia="el-GR"/>
        </w:rPr>
        <w:t>5.</w:t>
      </w:r>
      <w:r w:rsidRPr="009E4B24">
        <w:rPr>
          <w:rFonts w:eastAsia="Times New Roman" w:cstheme="minorHAnsi"/>
          <w:sz w:val="24"/>
          <w:szCs w:val="24"/>
          <w:lang w:eastAsia="el-GR"/>
        </w:rPr>
        <w:t xml:space="preserve"> Οι ανωτέρω διατυπωθείσες εκτιμήσεις αποτελούν μια γενική αξιολόγηση των όρων της προαιρετικής Δημόσιας Πρότασης, της επίδρασης της στην λειτουργία της Εταιρείας και της επάρκειας του Προσφερόμενου Ανταλλάγματος και δεν επέχουν θέση παρότρυνσης, σύστασης ή συμβουλής προς τους μετόχους της Εταιρείας περί αποδοχής ή μη της υποβληθείσας Δημόσιας Πρότασης.</w:t>
      </w:r>
    </w:p>
    <w:p w14:paraId="7426235F" w14:textId="77777777" w:rsidR="009E4B24" w:rsidRPr="009E4B24" w:rsidRDefault="009E4B24" w:rsidP="009E4B24">
      <w:pPr>
        <w:spacing w:line="312" w:lineRule="auto"/>
        <w:ind w:left="0" w:right="0"/>
        <w:rPr>
          <w:rFonts w:eastAsia="Times New Roman" w:cstheme="minorHAnsi"/>
          <w:sz w:val="24"/>
          <w:szCs w:val="24"/>
          <w:lang w:eastAsia="el-GR"/>
        </w:rPr>
      </w:pPr>
    </w:p>
    <w:p w14:paraId="7627D717" w14:textId="77777777" w:rsidR="009E4B24" w:rsidRP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lastRenderedPageBreak/>
        <w:t>Η παρούσα Αιτιολογημένη Γνώμη του Διοικητικού Συμβουλίου της Εταιρείας καταρτίστηκε σύμφωνα με τις διατάξεις του άρθρου 15 παρ. 1 και 2 του νόμου 3461/2006 και θα υποβληθεί στις διατυπώσεις δημοσιότητας που ορίζουν οι διατάξεις του ανωτέρω νόμου.</w:t>
      </w:r>
    </w:p>
    <w:p w14:paraId="717376A1" w14:textId="77777777" w:rsidR="009E4B24" w:rsidRPr="009E4B24" w:rsidRDefault="009E4B24" w:rsidP="009E4B24">
      <w:pPr>
        <w:spacing w:line="312" w:lineRule="auto"/>
        <w:ind w:left="0" w:right="0"/>
        <w:rPr>
          <w:rFonts w:eastAsia="Times New Roman" w:cstheme="minorHAnsi"/>
          <w:sz w:val="24"/>
          <w:szCs w:val="24"/>
          <w:lang w:eastAsia="el-GR"/>
        </w:rPr>
      </w:pPr>
    </w:p>
    <w:p w14:paraId="759AE044" w14:textId="48C344E6" w:rsidR="009E4B24" w:rsidRDefault="009E4B24" w:rsidP="009E4B24">
      <w:pPr>
        <w:spacing w:line="312" w:lineRule="auto"/>
        <w:ind w:left="0" w:right="0"/>
        <w:rPr>
          <w:rFonts w:eastAsia="Times New Roman" w:cstheme="minorHAnsi"/>
          <w:sz w:val="24"/>
          <w:szCs w:val="24"/>
          <w:lang w:eastAsia="el-GR"/>
        </w:rPr>
      </w:pPr>
      <w:r w:rsidRPr="009E4B24">
        <w:rPr>
          <w:rFonts w:eastAsia="Times New Roman" w:cstheme="minorHAnsi"/>
          <w:sz w:val="24"/>
          <w:szCs w:val="24"/>
          <w:lang w:eastAsia="el-GR"/>
        </w:rPr>
        <w:t>Η έκθεση του Συμβούλου, μαζί με την παρούσα Αιτιολογημένη Γνώμη του Διοικητικού Συμβουλίου της Εταιρείας θα βρίσκονται αναρτημένες στην ιστοσελίδα της Εταιρίας (www.stelioskanakis.gr) καθ' όλη τη διάρκεια της περιόδου αποδοχής της Δημόσιας Πρότασης.</w:t>
      </w:r>
    </w:p>
    <w:p w14:paraId="063712CF" w14:textId="77777777" w:rsidR="009E4B24" w:rsidRDefault="009E4B24">
      <w:pPr>
        <w:spacing w:after="160" w:line="259" w:lineRule="auto"/>
        <w:ind w:left="0" w:right="0"/>
        <w:jc w:val="left"/>
        <w:rPr>
          <w:rFonts w:eastAsia="Times New Roman" w:cstheme="minorHAnsi"/>
          <w:sz w:val="24"/>
          <w:szCs w:val="24"/>
          <w:lang w:eastAsia="el-GR"/>
        </w:rPr>
      </w:pPr>
      <w:r>
        <w:rPr>
          <w:rFonts w:eastAsia="Times New Roman" w:cstheme="minorHAnsi"/>
          <w:sz w:val="24"/>
          <w:szCs w:val="24"/>
          <w:lang w:eastAsia="el-GR"/>
        </w:rPr>
        <w:br w:type="page"/>
      </w:r>
    </w:p>
    <w:p w14:paraId="3E5E7535" w14:textId="77777777" w:rsidR="009E4B24" w:rsidRPr="009E4B24" w:rsidRDefault="009E4B24" w:rsidP="009E4B24">
      <w:pPr>
        <w:spacing w:line="312" w:lineRule="auto"/>
        <w:ind w:left="0" w:right="0"/>
        <w:rPr>
          <w:rFonts w:eastAsia="Times New Roman" w:cstheme="minorHAnsi"/>
          <w:sz w:val="24"/>
          <w:szCs w:val="24"/>
          <w:lang w:eastAsia="el-GR"/>
        </w:rPr>
      </w:pPr>
    </w:p>
    <w:p w14:paraId="4105F70E" w14:textId="60858331" w:rsidR="001A61C6" w:rsidRDefault="009E4B24" w:rsidP="009E4B24">
      <w:pPr>
        <w:jc w:val="center"/>
        <w:rPr>
          <w:b/>
          <w:bCs/>
          <w:sz w:val="24"/>
          <w:szCs w:val="24"/>
          <w:u w:val="single"/>
        </w:rPr>
      </w:pPr>
      <w:r w:rsidRPr="009E4B24">
        <w:rPr>
          <w:rFonts w:eastAsia="Times New Roman" w:cstheme="minorHAnsi"/>
          <w:b/>
          <w:bCs/>
          <w:sz w:val="24"/>
          <w:szCs w:val="24"/>
          <w:u w:val="single"/>
          <w:lang w:eastAsia="el-GR"/>
        </w:rPr>
        <w:t>ΠΑΡΑΡΤΗΜΑ 1</w:t>
      </w:r>
      <w:r>
        <w:rPr>
          <w:rFonts w:eastAsia="Times New Roman" w:cstheme="minorHAnsi"/>
          <w:b/>
          <w:bCs/>
          <w:sz w:val="24"/>
          <w:szCs w:val="24"/>
          <w:u w:val="single"/>
          <w:lang w:eastAsia="el-GR"/>
        </w:rPr>
        <w:t xml:space="preserve"> </w:t>
      </w:r>
      <w:r w:rsidRPr="000C1CE6">
        <w:rPr>
          <w:b/>
          <w:bCs/>
          <w:sz w:val="24"/>
          <w:szCs w:val="24"/>
          <w:u w:val="single"/>
        </w:rPr>
        <w:t>– ΕΚΘΕΣΗ ΧΡΗΜΑΤΟΟΙΚΟΝΟΜΙΚΟΥ ΣΥΜΒΟΥΛΟΥ</w:t>
      </w:r>
    </w:p>
    <w:p w14:paraId="7D06D154" w14:textId="09997E40" w:rsidR="00ED5DB0" w:rsidRDefault="00ED5DB0" w:rsidP="009E4B24">
      <w:pPr>
        <w:jc w:val="center"/>
        <w:rPr>
          <w:b/>
          <w:bCs/>
          <w:sz w:val="24"/>
          <w:szCs w:val="24"/>
          <w:u w:val="single"/>
        </w:rPr>
      </w:pPr>
    </w:p>
    <w:p w14:paraId="608D251B" w14:textId="77777777" w:rsidR="00ED5DB0" w:rsidRPr="00ED5DB0" w:rsidRDefault="00ED5DB0" w:rsidP="009E4B24">
      <w:pPr>
        <w:jc w:val="center"/>
        <w:rPr>
          <w:rFonts w:cstheme="minorHAnsi"/>
          <w:sz w:val="24"/>
          <w:szCs w:val="24"/>
        </w:rPr>
      </w:pPr>
    </w:p>
    <w:sectPr w:rsidR="00ED5DB0" w:rsidRPr="00ED5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A4781B"/>
    <w:multiLevelType w:val="hybridMultilevel"/>
    <w:tmpl w:val="DE14811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AD60A4"/>
    <w:multiLevelType w:val="hybridMultilevel"/>
    <w:tmpl w:val="5F8E740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E8B312"/>
    <w:multiLevelType w:val="hybridMultilevel"/>
    <w:tmpl w:val="A9300E4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F44FAD1"/>
    <w:multiLevelType w:val="hybridMultilevel"/>
    <w:tmpl w:val="32F706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2D5325"/>
    <w:multiLevelType w:val="hybridMultilevel"/>
    <w:tmpl w:val="1A208BA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0725446D"/>
    <w:multiLevelType w:val="hybridMultilevel"/>
    <w:tmpl w:val="BA18E2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098725EA"/>
    <w:multiLevelType w:val="hybridMultilevel"/>
    <w:tmpl w:val="7B7A67C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9E2514E"/>
    <w:multiLevelType w:val="hybridMultilevel"/>
    <w:tmpl w:val="55224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166F7338"/>
    <w:multiLevelType w:val="hybridMultilevel"/>
    <w:tmpl w:val="B2471DA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6EC1D01"/>
    <w:multiLevelType w:val="hybridMultilevel"/>
    <w:tmpl w:val="9282F4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1F6B7729"/>
    <w:multiLevelType w:val="hybridMultilevel"/>
    <w:tmpl w:val="8B6C4C2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20C14B72"/>
    <w:multiLevelType w:val="hybridMultilevel"/>
    <w:tmpl w:val="30EE7E7E"/>
    <w:lvl w:ilvl="0" w:tplc="04080005">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2">
    <w:nsid w:val="2B2C7E2D"/>
    <w:multiLevelType w:val="hybridMultilevel"/>
    <w:tmpl w:val="95AC6A1A"/>
    <w:lvl w:ilvl="0" w:tplc="61A6B63C">
      <w:start w:val="1"/>
      <w:numFmt w:val="decimal"/>
      <w:lvlText w:val="%1."/>
      <w:lvlJc w:val="left"/>
      <w:pPr>
        <w:ind w:left="720" w:hanging="360"/>
      </w:pPr>
      <w:rPr>
        <w:rFonts w:hint="default"/>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E42521F"/>
    <w:multiLevelType w:val="multilevel"/>
    <w:tmpl w:val="EDD23016"/>
    <w:lvl w:ilvl="0">
      <w:start w:val="1"/>
      <w:numFmt w:val="decimal"/>
      <w:lvlText w:val="%1."/>
      <w:lvlJc w:val="left"/>
      <w:pPr>
        <w:ind w:left="360" w:hanging="360"/>
      </w:pPr>
      <w:rPr>
        <w:rFonts w:ascii="Segoe UI" w:hAnsi="Segoe UI" w:cs="Segoe UI" w:hint="default"/>
        <w:b w:val="0"/>
        <w:sz w:val="20"/>
        <w:szCs w:val="22"/>
      </w:rPr>
    </w:lvl>
    <w:lvl w:ilvl="1">
      <w:start w:val="4"/>
      <w:numFmt w:val="decimal"/>
      <w:isLgl/>
      <w:lvlText w:val="%1.%2"/>
      <w:lvlJc w:val="left"/>
      <w:pPr>
        <w:ind w:left="957"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2F6E4A0C"/>
    <w:multiLevelType w:val="multilevel"/>
    <w:tmpl w:val="A37C344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A482207"/>
    <w:multiLevelType w:val="hybridMultilevel"/>
    <w:tmpl w:val="16E0EFF8"/>
    <w:lvl w:ilvl="0" w:tplc="B3D6B374">
      <w:start w:val="5"/>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C0D0868"/>
    <w:multiLevelType w:val="hybridMultilevel"/>
    <w:tmpl w:val="3B38405C"/>
    <w:lvl w:ilvl="0" w:tplc="04080005">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7">
    <w:nsid w:val="3E562500"/>
    <w:multiLevelType w:val="hybridMultilevel"/>
    <w:tmpl w:val="6DB2E95A"/>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8">
    <w:nsid w:val="530D55B7"/>
    <w:multiLevelType w:val="hybridMultilevel"/>
    <w:tmpl w:val="2DF2F958"/>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3F83264"/>
    <w:multiLevelType w:val="hybridMultilevel"/>
    <w:tmpl w:val="D7D070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14A2FDC"/>
    <w:multiLevelType w:val="hybridMultilevel"/>
    <w:tmpl w:val="7FCEA2FC"/>
    <w:lvl w:ilvl="0" w:tplc="F56CE01E">
      <w:start w:val="9"/>
      <w:numFmt w:val="upperRoman"/>
      <w:lvlText w:val="%1."/>
      <w:lvlJc w:val="left"/>
      <w:pPr>
        <w:ind w:left="1080" w:hanging="72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39E00BB"/>
    <w:multiLevelType w:val="hybridMultilevel"/>
    <w:tmpl w:val="5A64299A"/>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3362CC"/>
    <w:multiLevelType w:val="hybridMultilevel"/>
    <w:tmpl w:val="20C8DC5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B5A36C3"/>
    <w:multiLevelType w:val="hybridMultilevel"/>
    <w:tmpl w:val="D7427AD2"/>
    <w:lvl w:ilvl="0" w:tplc="AE9E94B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4">
    <w:nsid w:val="6D5070A3"/>
    <w:multiLevelType w:val="hybridMultilevel"/>
    <w:tmpl w:val="EE3AEEE6"/>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71296EF2"/>
    <w:multiLevelType w:val="hybridMultilevel"/>
    <w:tmpl w:val="1CE49D54"/>
    <w:lvl w:ilvl="0" w:tplc="04080005">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6">
    <w:nsid w:val="7186003D"/>
    <w:multiLevelType w:val="hybridMultilevel"/>
    <w:tmpl w:val="B652E71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A39A9"/>
    <w:multiLevelType w:val="hybridMultilevel"/>
    <w:tmpl w:val="BCC5436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F937527"/>
    <w:multiLevelType w:val="hybridMultilevel"/>
    <w:tmpl w:val="38381D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8"/>
  </w:num>
  <w:num w:numId="4">
    <w:abstractNumId w:val="15"/>
  </w:num>
  <w:num w:numId="5">
    <w:abstractNumId w:val="27"/>
  </w:num>
  <w:num w:numId="6">
    <w:abstractNumId w:val="2"/>
  </w:num>
  <w:num w:numId="7">
    <w:abstractNumId w:val="1"/>
  </w:num>
  <w:num w:numId="8">
    <w:abstractNumId w:val="0"/>
  </w:num>
  <w:num w:numId="9">
    <w:abstractNumId w:val="20"/>
  </w:num>
  <w:num w:numId="10">
    <w:abstractNumId w:val="13"/>
  </w:num>
  <w:num w:numId="11">
    <w:abstractNumId w:val="26"/>
  </w:num>
  <w:num w:numId="12">
    <w:abstractNumId w:val="16"/>
  </w:num>
  <w:num w:numId="13">
    <w:abstractNumId w:val="23"/>
  </w:num>
  <w:num w:numId="14">
    <w:abstractNumId w:val="12"/>
  </w:num>
  <w:num w:numId="15">
    <w:abstractNumId w:val="25"/>
  </w:num>
  <w:num w:numId="16">
    <w:abstractNumId w:val="11"/>
  </w:num>
  <w:num w:numId="17">
    <w:abstractNumId w:val="18"/>
  </w:num>
  <w:num w:numId="18">
    <w:abstractNumId w:val="22"/>
  </w:num>
  <w:num w:numId="19">
    <w:abstractNumId w:val="6"/>
  </w:num>
  <w:num w:numId="20">
    <w:abstractNumId w:val="21"/>
  </w:num>
  <w:num w:numId="21">
    <w:abstractNumId w:val="4"/>
  </w:num>
  <w:num w:numId="22">
    <w:abstractNumId w:val="10"/>
  </w:num>
  <w:num w:numId="23">
    <w:abstractNumId w:val="24"/>
  </w:num>
  <w:num w:numId="24">
    <w:abstractNumId w:val="9"/>
  </w:num>
  <w:num w:numId="25">
    <w:abstractNumId w:val="5"/>
  </w:num>
  <w:num w:numId="26">
    <w:abstractNumId w:val="19"/>
  </w:num>
  <w:num w:numId="27">
    <w:abstractNumId w:val="28"/>
  </w:num>
  <w:num w:numId="28">
    <w:abstractNumId w:val="1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C6"/>
    <w:rsid w:val="0017647D"/>
    <w:rsid w:val="001A61C6"/>
    <w:rsid w:val="00237805"/>
    <w:rsid w:val="002F59C6"/>
    <w:rsid w:val="00517A58"/>
    <w:rsid w:val="008B1CC8"/>
    <w:rsid w:val="009A2F62"/>
    <w:rsid w:val="009E4B24"/>
    <w:rsid w:val="00B25540"/>
    <w:rsid w:val="00ED5DB0"/>
    <w:rsid w:val="00F0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24"/>
    <w:pPr>
      <w:spacing w:after="0" w:line="360" w:lineRule="auto"/>
      <w:ind w:left="-567" w:right="-567"/>
      <w:jc w:val="both"/>
    </w:pPr>
    <w:rPr>
      <w:lang w:val="el-GR"/>
    </w:rPr>
  </w:style>
  <w:style w:type="paragraph" w:styleId="Heading1">
    <w:name w:val="heading 1"/>
    <w:basedOn w:val="Normal"/>
    <w:next w:val="Normal"/>
    <w:link w:val="Heading1Char"/>
    <w:uiPriority w:val="9"/>
    <w:qFormat/>
    <w:rsid w:val="00ED5DB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B0"/>
    <w:rPr>
      <w:rFonts w:asciiTheme="majorHAnsi" w:eastAsiaTheme="majorEastAsia" w:hAnsiTheme="majorHAnsi" w:cstheme="majorBidi"/>
      <w:b/>
      <w:bCs/>
      <w:color w:val="2F5496" w:themeColor="accent1" w:themeShade="BF"/>
      <w:sz w:val="28"/>
      <w:szCs w:val="28"/>
      <w:lang w:val="el-GR"/>
    </w:rPr>
  </w:style>
  <w:style w:type="paragraph" w:styleId="BalloonText">
    <w:name w:val="Balloon Text"/>
    <w:basedOn w:val="Normal"/>
    <w:link w:val="BalloonTextChar"/>
    <w:uiPriority w:val="99"/>
    <w:semiHidden/>
    <w:unhideWhenUsed/>
    <w:rsid w:val="00ED5D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B0"/>
    <w:rPr>
      <w:rFonts w:ascii="Tahoma" w:hAnsi="Tahoma" w:cs="Tahoma"/>
      <w:sz w:val="16"/>
      <w:szCs w:val="16"/>
      <w:lang w:val="el-GR"/>
    </w:rPr>
  </w:style>
  <w:style w:type="paragraph" w:styleId="Header">
    <w:name w:val="header"/>
    <w:basedOn w:val="Normal"/>
    <w:link w:val="HeaderChar"/>
    <w:uiPriority w:val="99"/>
    <w:unhideWhenUsed/>
    <w:rsid w:val="00ED5DB0"/>
    <w:pPr>
      <w:tabs>
        <w:tab w:val="center" w:pos="4153"/>
        <w:tab w:val="right" w:pos="8306"/>
      </w:tabs>
      <w:spacing w:line="240" w:lineRule="auto"/>
    </w:pPr>
  </w:style>
  <w:style w:type="character" w:customStyle="1" w:styleId="HeaderChar">
    <w:name w:val="Header Char"/>
    <w:basedOn w:val="DefaultParagraphFont"/>
    <w:link w:val="Header"/>
    <w:uiPriority w:val="99"/>
    <w:rsid w:val="00ED5DB0"/>
    <w:rPr>
      <w:lang w:val="el-GR"/>
    </w:rPr>
  </w:style>
  <w:style w:type="paragraph" w:styleId="Footer">
    <w:name w:val="footer"/>
    <w:basedOn w:val="Normal"/>
    <w:link w:val="FooterChar"/>
    <w:uiPriority w:val="99"/>
    <w:unhideWhenUsed/>
    <w:rsid w:val="00ED5DB0"/>
    <w:pPr>
      <w:tabs>
        <w:tab w:val="center" w:pos="4153"/>
        <w:tab w:val="right" w:pos="8306"/>
      </w:tabs>
      <w:spacing w:line="240" w:lineRule="auto"/>
    </w:pPr>
  </w:style>
  <w:style w:type="character" w:customStyle="1" w:styleId="FooterChar">
    <w:name w:val="Footer Char"/>
    <w:basedOn w:val="DefaultParagraphFont"/>
    <w:link w:val="Footer"/>
    <w:uiPriority w:val="99"/>
    <w:rsid w:val="00ED5DB0"/>
    <w:rPr>
      <w:lang w:val="el-GR"/>
    </w:rPr>
  </w:style>
  <w:style w:type="paragraph" w:styleId="ListParagraph">
    <w:name w:val="List Paragraph"/>
    <w:basedOn w:val="Normal"/>
    <w:uiPriority w:val="34"/>
    <w:qFormat/>
    <w:rsid w:val="00ED5DB0"/>
    <w:pPr>
      <w:ind w:left="720"/>
      <w:contextualSpacing/>
    </w:pPr>
  </w:style>
  <w:style w:type="paragraph" w:customStyle="1" w:styleId="Default">
    <w:name w:val="Default"/>
    <w:rsid w:val="00ED5DB0"/>
    <w:pPr>
      <w:autoSpaceDE w:val="0"/>
      <w:autoSpaceDN w:val="0"/>
      <w:adjustRightInd w:val="0"/>
      <w:spacing w:after="0" w:line="240" w:lineRule="auto"/>
      <w:ind w:left="-567" w:right="-567"/>
      <w:jc w:val="both"/>
    </w:pPr>
    <w:rPr>
      <w:rFonts w:ascii="Arial" w:hAnsi="Arial" w:cs="Arial"/>
      <w:color w:val="000000"/>
      <w:sz w:val="24"/>
      <w:szCs w:val="24"/>
      <w:lang w:val="el-GR"/>
    </w:rPr>
  </w:style>
  <w:style w:type="paragraph" w:customStyle="1" w:styleId="1">
    <w:name w:val="Παράγραφος λίστας1"/>
    <w:basedOn w:val="Normal"/>
    <w:autoRedefine/>
    <w:qFormat/>
    <w:rsid w:val="00ED5DB0"/>
    <w:rPr>
      <w:rFonts w:ascii="Segoe UI" w:eastAsia="Times New Roman" w:hAnsi="Segoe UI" w:cs="Segoe UI"/>
      <w:sz w:val="20"/>
    </w:rPr>
  </w:style>
  <w:style w:type="character" w:styleId="Hyperlink">
    <w:name w:val="Hyperlink"/>
    <w:basedOn w:val="DefaultParagraphFont"/>
    <w:uiPriority w:val="99"/>
    <w:unhideWhenUsed/>
    <w:rsid w:val="00ED5DB0"/>
    <w:rPr>
      <w:color w:val="0563C1" w:themeColor="hyperlink"/>
      <w:u w:val="single"/>
    </w:rPr>
  </w:style>
  <w:style w:type="paragraph" w:styleId="TOCHeading">
    <w:name w:val="TOC Heading"/>
    <w:basedOn w:val="Heading1"/>
    <w:next w:val="Normal"/>
    <w:uiPriority w:val="39"/>
    <w:semiHidden/>
    <w:unhideWhenUsed/>
    <w:qFormat/>
    <w:rsid w:val="00ED5DB0"/>
    <w:pPr>
      <w:spacing w:line="276" w:lineRule="auto"/>
      <w:ind w:left="0" w:right="0"/>
      <w:jc w:val="left"/>
      <w:outlineLvl w:val="9"/>
    </w:pPr>
  </w:style>
  <w:style w:type="table" w:styleId="TableGrid">
    <w:name w:val="Table Grid"/>
    <w:basedOn w:val="TableNormal"/>
    <w:uiPriority w:val="59"/>
    <w:rsid w:val="00ED5DB0"/>
    <w:pPr>
      <w:spacing w:after="0" w:line="240" w:lineRule="auto"/>
      <w:ind w:left="-567" w:right="-567"/>
      <w:jc w:val="both"/>
    </w:pPr>
    <w:rPr>
      <w:lang w:val="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Ανοιχτόχρωμη λίστα - ΄Εμφαση 11"/>
    <w:basedOn w:val="TableNormal"/>
    <w:uiPriority w:val="61"/>
    <w:rsid w:val="00ED5DB0"/>
    <w:pPr>
      <w:spacing w:after="0" w:line="240" w:lineRule="auto"/>
      <w:ind w:left="-567" w:right="-567"/>
      <w:jc w:val="both"/>
    </w:pPr>
    <w:rPr>
      <w:lang w:val="el-GR"/>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1-11">
    <w:name w:val="Μεσαία σκίαση 1 - ΄Εμφαση 11"/>
    <w:basedOn w:val="TableNormal"/>
    <w:uiPriority w:val="63"/>
    <w:rsid w:val="00ED5DB0"/>
    <w:pPr>
      <w:spacing w:after="0" w:line="240" w:lineRule="auto"/>
      <w:ind w:left="-567" w:right="-567"/>
      <w:jc w:val="both"/>
    </w:pPr>
    <w:rPr>
      <w:lang w:val="el-GR"/>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ED5DB0"/>
    <w:rPr>
      <w:color w:val="808080"/>
    </w:rPr>
  </w:style>
  <w:style w:type="character" w:styleId="FollowedHyperlink">
    <w:name w:val="FollowedHyperlink"/>
    <w:basedOn w:val="DefaultParagraphFont"/>
    <w:uiPriority w:val="99"/>
    <w:semiHidden/>
    <w:unhideWhenUsed/>
    <w:rsid w:val="00ED5DB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24"/>
    <w:pPr>
      <w:spacing w:after="0" w:line="360" w:lineRule="auto"/>
      <w:ind w:left="-567" w:right="-567"/>
      <w:jc w:val="both"/>
    </w:pPr>
    <w:rPr>
      <w:lang w:val="el-GR"/>
    </w:rPr>
  </w:style>
  <w:style w:type="paragraph" w:styleId="Heading1">
    <w:name w:val="heading 1"/>
    <w:basedOn w:val="Normal"/>
    <w:next w:val="Normal"/>
    <w:link w:val="Heading1Char"/>
    <w:uiPriority w:val="9"/>
    <w:qFormat/>
    <w:rsid w:val="00ED5DB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B0"/>
    <w:rPr>
      <w:rFonts w:asciiTheme="majorHAnsi" w:eastAsiaTheme="majorEastAsia" w:hAnsiTheme="majorHAnsi" w:cstheme="majorBidi"/>
      <w:b/>
      <w:bCs/>
      <w:color w:val="2F5496" w:themeColor="accent1" w:themeShade="BF"/>
      <w:sz w:val="28"/>
      <w:szCs w:val="28"/>
      <w:lang w:val="el-GR"/>
    </w:rPr>
  </w:style>
  <w:style w:type="paragraph" w:styleId="BalloonText">
    <w:name w:val="Balloon Text"/>
    <w:basedOn w:val="Normal"/>
    <w:link w:val="BalloonTextChar"/>
    <w:uiPriority w:val="99"/>
    <w:semiHidden/>
    <w:unhideWhenUsed/>
    <w:rsid w:val="00ED5D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B0"/>
    <w:rPr>
      <w:rFonts w:ascii="Tahoma" w:hAnsi="Tahoma" w:cs="Tahoma"/>
      <w:sz w:val="16"/>
      <w:szCs w:val="16"/>
      <w:lang w:val="el-GR"/>
    </w:rPr>
  </w:style>
  <w:style w:type="paragraph" w:styleId="Header">
    <w:name w:val="header"/>
    <w:basedOn w:val="Normal"/>
    <w:link w:val="HeaderChar"/>
    <w:uiPriority w:val="99"/>
    <w:unhideWhenUsed/>
    <w:rsid w:val="00ED5DB0"/>
    <w:pPr>
      <w:tabs>
        <w:tab w:val="center" w:pos="4153"/>
        <w:tab w:val="right" w:pos="8306"/>
      </w:tabs>
      <w:spacing w:line="240" w:lineRule="auto"/>
    </w:pPr>
  </w:style>
  <w:style w:type="character" w:customStyle="1" w:styleId="HeaderChar">
    <w:name w:val="Header Char"/>
    <w:basedOn w:val="DefaultParagraphFont"/>
    <w:link w:val="Header"/>
    <w:uiPriority w:val="99"/>
    <w:rsid w:val="00ED5DB0"/>
    <w:rPr>
      <w:lang w:val="el-GR"/>
    </w:rPr>
  </w:style>
  <w:style w:type="paragraph" w:styleId="Footer">
    <w:name w:val="footer"/>
    <w:basedOn w:val="Normal"/>
    <w:link w:val="FooterChar"/>
    <w:uiPriority w:val="99"/>
    <w:unhideWhenUsed/>
    <w:rsid w:val="00ED5DB0"/>
    <w:pPr>
      <w:tabs>
        <w:tab w:val="center" w:pos="4153"/>
        <w:tab w:val="right" w:pos="8306"/>
      </w:tabs>
      <w:spacing w:line="240" w:lineRule="auto"/>
    </w:pPr>
  </w:style>
  <w:style w:type="character" w:customStyle="1" w:styleId="FooterChar">
    <w:name w:val="Footer Char"/>
    <w:basedOn w:val="DefaultParagraphFont"/>
    <w:link w:val="Footer"/>
    <w:uiPriority w:val="99"/>
    <w:rsid w:val="00ED5DB0"/>
    <w:rPr>
      <w:lang w:val="el-GR"/>
    </w:rPr>
  </w:style>
  <w:style w:type="paragraph" w:styleId="ListParagraph">
    <w:name w:val="List Paragraph"/>
    <w:basedOn w:val="Normal"/>
    <w:uiPriority w:val="34"/>
    <w:qFormat/>
    <w:rsid w:val="00ED5DB0"/>
    <w:pPr>
      <w:ind w:left="720"/>
      <w:contextualSpacing/>
    </w:pPr>
  </w:style>
  <w:style w:type="paragraph" w:customStyle="1" w:styleId="Default">
    <w:name w:val="Default"/>
    <w:rsid w:val="00ED5DB0"/>
    <w:pPr>
      <w:autoSpaceDE w:val="0"/>
      <w:autoSpaceDN w:val="0"/>
      <w:adjustRightInd w:val="0"/>
      <w:spacing w:after="0" w:line="240" w:lineRule="auto"/>
      <w:ind w:left="-567" w:right="-567"/>
      <w:jc w:val="both"/>
    </w:pPr>
    <w:rPr>
      <w:rFonts w:ascii="Arial" w:hAnsi="Arial" w:cs="Arial"/>
      <w:color w:val="000000"/>
      <w:sz w:val="24"/>
      <w:szCs w:val="24"/>
      <w:lang w:val="el-GR"/>
    </w:rPr>
  </w:style>
  <w:style w:type="paragraph" w:customStyle="1" w:styleId="1">
    <w:name w:val="Παράγραφος λίστας1"/>
    <w:basedOn w:val="Normal"/>
    <w:autoRedefine/>
    <w:qFormat/>
    <w:rsid w:val="00ED5DB0"/>
    <w:rPr>
      <w:rFonts w:ascii="Segoe UI" w:eastAsia="Times New Roman" w:hAnsi="Segoe UI" w:cs="Segoe UI"/>
      <w:sz w:val="20"/>
    </w:rPr>
  </w:style>
  <w:style w:type="character" w:styleId="Hyperlink">
    <w:name w:val="Hyperlink"/>
    <w:basedOn w:val="DefaultParagraphFont"/>
    <w:uiPriority w:val="99"/>
    <w:unhideWhenUsed/>
    <w:rsid w:val="00ED5DB0"/>
    <w:rPr>
      <w:color w:val="0563C1" w:themeColor="hyperlink"/>
      <w:u w:val="single"/>
    </w:rPr>
  </w:style>
  <w:style w:type="paragraph" w:styleId="TOCHeading">
    <w:name w:val="TOC Heading"/>
    <w:basedOn w:val="Heading1"/>
    <w:next w:val="Normal"/>
    <w:uiPriority w:val="39"/>
    <w:semiHidden/>
    <w:unhideWhenUsed/>
    <w:qFormat/>
    <w:rsid w:val="00ED5DB0"/>
    <w:pPr>
      <w:spacing w:line="276" w:lineRule="auto"/>
      <w:ind w:left="0" w:right="0"/>
      <w:jc w:val="left"/>
      <w:outlineLvl w:val="9"/>
    </w:pPr>
  </w:style>
  <w:style w:type="table" w:styleId="TableGrid">
    <w:name w:val="Table Grid"/>
    <w:basedOn w:val="TableNormal"/>
    <w:uiPriority w:val="59"/>
    <w:rsid w:val="00ED5DB0"/>
    <w:pPr>
      <w:spacing w:after="0" w:line="240" w:lineRule="auto"/>
      <w:ind w:left="-567" w:right="-567"/>
      <w:jc w:val="both"/>
    </w:pPr>
    <w:rPr>
      <w:lang w:val="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Ανοιχτόχρωμη λίστα - ΄Εμφαση 11"/>
    <w:basedOn w:val="TableNormal"/>
    <w:uiPriority w:val="61"/>
    <w:rsid w:val="00ED5DB0"/>
    <w:pPr>
      <w:spacing w:after="0" w:line="240" w:lineRule="auto"/>
      <w:ind w:left="-567" w:right="-567"/>
      <w:jc w:val="both"/>
    </w:pPr>
    <w:rPr>
      <w:lang w:val="el-GR"/>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1-11">
    <w:name w:val="Μεσαία σκίαση 1 - ΄Εμφαση 11"/>
    <w:basedOn w:val="TableNormal"/>
    <w:uiPriority w:val="63"/>
    <w:rsid w:val="00ED5DB0"/>
    <w:pPr>
      <w:spacing w:after="0" w:line="240" w:lineRule="auto"/>
      <w:ind w:left="-567" w:right="-567"/>
      <w:jc w:val="both"/>
    </w:pPr>
    <w:rPr>
      <w:lang w:val="el-GR"/>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ED5DB0"/>
    <w:rPr>
      <w:color w:val="808080"/>
    </w:rPr>
  </w:style>
  <w:style w:type="character" w:styleId="FollowedHyperlink">
    <w:name w:val="FollowedHyperlink"/>
    <w:basedOn w:val="DefaultParagraphFont"/>
    <w:uiPriority w:val="99"/>
    <w:semiHidden/>
    <w:unhideWhenUsed/>
    <w:rsid w:val="00ED5D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2852</Words>
  <Characters>15404</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Consult2</dc:creator>
  <cp:lastModifiedBy>ATHEX</cp:lastModifiedBy>
  <cp:revision>2</cp:revision>
  <dcterms:created xsi:type="dcterms:W3CDTF">2019-06-14T12:21:00Z</dcterms:created>
  <dcterms:modified xsi:type="dcterms:W3CDTF">2019-06-14T12:21:00Z</dcterms:modified>
</cp:coreProperties>
</file>