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917" w:rsidRPr="00CC3917" w:rsidRDefault="00CC3917" w:rsidP="00CC3917">
      <w:pPr>
        <w:pStyle w:val="a8"/>
        <w:spacing w:after="120"/>
        <w:jc w:val="center"/>
        <w:rPr>
          <w:rFonts w:asciiTheme="minorHAnsi" w:hAnsiTheme="minorHAnsi" w:cs="Arial"/>
          <w:b/>
          <w:sz w:val="22"/>
          <w:szCs w:val="22"/>
          <w:u w:val="single"/>
          <w:lang w:val="fr-FR"/>
        </w:rPr>
      </w:pPr>
      <w:r w:rsidRPr="00CC3917">
        <w:rPr>
          <w:rFonts w:asciiTheme="minorHAnsi" w:hAnsiTheme="minorHAnsi" w:cs="Arial"/>
          <w:b/>
          <w:sz w:val="22"/>
          <w:szCs w:val="22"/>
          <w:u w:val="single"/>
          <w:lang w:val="fr-FR"/>
        </w:rPr>
        <w:t>TITAN CEMENT INTERNATIONAL S.A.</w:t>
      </w:r>
    </w:p>
    <w:p w:rsidR="00CC3917" w:rsidRPr="00CC3917" w:rsidRDefault="00CC3917" w:rsidP="00CC3917">
      <w:pPr>
        <w:pStyle w:val="a8"/>
        <w:spacing w:after="120"/>
        <w:jc w:val="center"/>
        <w:rPr>
          <w:rFonts w:asciiTheme="minorHAnsi" w:hAnsiTheme="minorHAnsi" w:cs="Arial"/>
          <w:b/>
          <w:sz w:val="22"/>
          <w:szCs w:val="22"/>
          <w:u w:val="single"/>
          <w:lang w:val="el-GR"/>
        </w:rPr>
      </w:pPr>
      <w:r w:rsidRPr="00CC3917">
        <w:rPr>
          <w:rFonts w:asciiTheme="minorHAnsi" w:hAnsiTheme="minorHAnsi" w:cs="Arial"/>
          <w:b/>
          <w:sz w:val="22"/>
          <w:szCs w:val="22"/>
          <w:u w:val="single"/>
          <w:lang w:val="el-GR"/>
        </w:rPr>
        <w:t>ΑΝΑΚΟΙΝΩΣΗ</w:t>
      </w:r>
    </w:p>
    <w:p w:rsidR="00CC3917" w:rsidRPr="00CC3917" w:rsidRDefault="00CC3917" w:rsidP="00CC3917">
      <w:pPr>
        <w:autoSpaceDE w:val="0"/>
        <w:autoSpaceDN w:val="0"/>
        <w:adjustRightInd w:val="0"/>
        <w:spacing w:after="120"/>
        <w:jc w:val="both"/>
        <w:rPr>
          <w:rFonts w:asciiTheme="minorHAnsi" w:hAnsiTheme="minorHAnsi"/>
          <w:bCs/>
          <w:i/>
          <w:iCs/>
          <w:sz w:val="22"/>
          <w:szCs w:val="22"/>
          <w:lang w:val="el-GR"/>
        </w:rPr>
      </w:pPr>
    </w:p>
    <w:p w:rsidR="00CC3917" w:rsidRPr="00CC3917" w:rsidRDefault="00CC3917" w:rsidP="00CC3917">
      <w:pPr>
        <w:autoSpaceDE w:val="0"/>
        <w:autoSpaceDN w:val="0"/>
        <w:adjustRightInd w:val="0"/>
        <w:spacing w:after="120"/>
        <w:jc w:val="center"/>
        <w:rPr>
          <w:rFonts w:asciiTheme="minorHAnsi" w:hAnsiTheme="minorHAnsi"/>
          <w:bCs/>
          <w:i/>
          <w:iCs/>
          <w:sz w:val="22"/>
          <w:szCs w:val="22"/>
          <w:lang w:val="el-GR"/>
        </w:rPr>
      </w:pPr>
      <w:r w:rsidRPr="00CC3917">
        <w:rPr>
          <w:rFonts w:asciiTheme="minorHAnsi" w:hAnsiTheme="minorHAnsi"/>
          <w:bCs/>
          <w:i/>
          <w:iCs/>
          <w:sz w:val="22"/>
          <w:szCs w:val="22"/>
          <w:lang w:val="el-GR"/>
        </w:rPr>
        <w:t>ΝΑ ΜΗΝ ΑΠΟΣΤΑΛΕΙ, ΔΗΜΟΣΙΕΥΘΕΙ Ή ΔΙΑΝΕΜΗΘΕΙ, ΑΜΕΣΑ Ή ΕΜΜΕΣΑ, ΕΝ ΟΛΩ Ή ΕΝ ΜΕΡΕΙ, ΣΤΙΣ ΗΠΑ, ΣΤΗΝ ΑΥΣΤΡΑΛΙΑ, ΣΤΟΝ ΚΑΝΑΔΑ, ΣΤΗΝ ΙΑΠΩΝΙΑ Ή ΣΕ ΟΙΑΔΗΠΟΤΕ ΑΛΛΗ ΔΙΚΑΙΟΔΟΣΙΑ ΟΠΟΥ ΑΠΑΓΟΡΕΥΕΤΑΙ ΑΠΟ ΤΗΝ ΟΙΚΕΙΑ ΝΟΜΟΘΕΣΙΑ</w:t>
      </w:r>
    </w:p>
    <w:p w:rsidR="00CC3917" w:rsidRPr="00CC3917" w:rsidRDefault="00CC3917" w:rsidP="00CC3917">
      <w:pPr>
        <w:spacing w:after="120"/>
        <w:jc w:val="center"/>
        <w:outlineLvl w:val="0"/>
        <w:rPr>
          <w:rFonts w:asciiTheme="minorHAnsi" w:hAnsiTheme="minorHAnsi"/>
          <w:b/>
          <w:color w:val="000000"/>
          <w:sz w:val="22"/>
          <w:szCs w:val="22"/>
          <w:lang w:val="el-GR"/>
        </w:rPr>
      </w:pPr>
      <w:r w:rsidRPr="00CC3917">
        <w:rPr>
          <w:rFonts w:asciiTheme="minorHAnsi" w:hAnsiTheme="minorHAnsi"/>
          <w:b/>
          <w:color w:val="000000"/>
          <w:sz w:val="22"/>
          <w:szCs w:val="22"/>
          <w:lang w:val="el-GR"/>
        </w:rPr>
        <w:t xml:space="preserve">ΑΝΑΚΟΙΝΩΣΗ ΥΠΟΒΟΛΗΣ ΠΡΟΑΙΡΕΤΙΚΗΣ ΔΗΜΟΣΙΑΣ ΠΡΟΤΑΣΗΣ ΑΠΟ ΤΗΝ </w:t>
      </w:r>
      <w:r w:rsidRPr="00CC3917">
        <w:rPr>
          <w:rFonts w:asciiTheme="minorHAnsi" w:hAnsiTheme="minorHAnsi"/>
          <w:b/>
          <w:color w:val="000000"/>
          <w:sz w:val="22"/>
          <w:szCs w:val="22"/>
        </w:rPr>
        <w:t>TITAN</w:t>
      </w:r>
      <w:r w:rsidRPr="00CC3917">
        <w:rPr>
          <w:rFonts w:asciiTheme="minorHAnsi" w:hAnsiTheme="minorHAnsi"/>
          <w:b/>
          <w:color w:val="000000"/>
          <w:sz w:val="22"/>
          <w:szCs w:val="22"/>
          <w:lang w:val="el-GR"/>
        </w:rPr>
        <w:t xml:space="preserve"> </w:t>
      </w:r>
      <w:r w:rsidRPr="00CC3917">
        <w:rPr>
          <w:rFonts w:asciiTheme="minorHAnsi" w:hAnsiTheme="minorHAnsi"/>
          <w:b/>
          <w:color w:val="000000"/>
          <w:sz w:val="22"/>
          <w:szCs w:val="22"/>
        </w:rPr>
        <w:t>CEMENT</w:t>
      </w:r>
      <w:r w:rsidRPr="00CC3917">
        <w:rPr>
          <w:rFonts w:asciiTheme="minorHAnsi" w:hAnsiTheme="minorHAnsi"/>
          <w:b/>
          <w:color w:val="000000"/>
          <w:sz w:val="22"/>
          <w:szCs w:val="22"/>
          <w:lang w:val="el-GR"/>
        </w:rPr>
        <w:t xml:space="preserve"> </w:t>
      </w:r>
      <w:r w:rsidRPr="00CC3917">
        <w:rPr>
          <w:rFonts w:asciiTheme="minorHAnsi" w:hAnsiTheme="minorHAnsi"/>
          <w:b/>
          <w:color w:val="000000"/>
          <w:sz w:val="22"/>
          <w:szCs w:val="22"/>
        </w:rPr>
        <w:t>INTERNATIONAL</w:t>
      </w:r>
      <w:r w:rsidRPr="00CC3917">
        <w:rPr>
          <w:rFonts w:asciiTheme="minorHAnsi" w:hAnsiTheme="minorHAnsi"/>
          <w:b/>
          <w:color w:val="000000"/>
          <w:sz w:val="22"/>
          <w:szCs w:val="22"/>
          <w:lang w:val="el-GR"/>
        </w:rPr>
        <w:t xml:space="preserve"> </w:t>
      </w:r>
      <w:r w:rsidRPr="00CC3917">
        <w:rPr>
          <w:rFonts w:asciiTheme="minorHAnsi" w:hAnsiTheme="minorHAnsi"/>
          <w:b/>
          <w:color w:val="000000"/>
          <w:sz w:val="22"/>
          <w:szCs w:val="22"/>
        </w:rPr>
        <w:t>S</w:t>
      </w:r>
      <w:r w:rsidRPr="00CC3917">
        <w:rPr>
          <w:rFonts w:asciiTheme="minorHAnsi" w:hAnsiTheme="minorHAnsi"/>
          <w:b/>
          <w:color w:val="000000"/>
          <w:sz w:val="22"/>
          <w:szCs w:val="22"/>
          <w:lang w:val="el-GR"/>
        </w:rPr>
        <w:t>.</w:t>
      </w:r>
      <w:r w:rsidRPr="00CC3917">
        <w:rPr>
          <w:rFonts w:asciiTheme="minorHAnsi" w:hAnsiTheme="minorHAnsi"/>
          <w:b/>
          <w:color w:val="000000"/>
          <w:sz w:val="22"/>
          <w:szCs w:val="22"/>
        </w:rPr>
        <w:t>A</w:t>
      </w:r>
      <w:r w:rsidRPr="00CC3917">
        <w:rPr>
          <w:rFonts w:asciiTheme="minorHAnsi" w:hAnsiTheme="minorHAnsi"/>
          <w:b/>
          <w:color w:val="000000"/>
          <w:sz w:val="22"/>
          <w:szCs w:val="22"/>
          <w:lang w:val="el-GR"/>
        </w:rPr>
        <w:t xml:space="preserve">. ΠΡΟΣ ΤΟΥΣ ΜΕΤΟΧΟΥΣ ΤΗΣ Α.Ε. ΤΣΙΜΕΝΤΩΝ ΤΙΤΑΝ ΓΙΑ ΤΗΝ ΑΝΤΑΛΛΑΓΗ ΟΛΩΝ ΤΩΝ ΚΟΙΝΩΝ ΚΑΙ ΠΡΟΝΟΜΙΟΥΧΩΝ ΜΕΤΟΧΩΝ ΕΚΔΟΣΗΣ ΤΗΣ Α.Ε. ΤΣΙΜΕΝΤΩΝ ΤΙΤΑΝ ΜΕ ΜΕΤΟΧΕΣ ΤΗΣ </w:t>
      </w:r>
      <w:r w:rsidRPr="00CC3917">
        <w:rPr>
          <w:rFonts w:asciiTheme="minorHAnsi" w:hAnsiTheme="minorHAnsi"/>
          <w:b/>
          <w:color w:val="000000"/>
          <w:sz w:val="22"/>
          <w:szCs w:val="22"/>
        </w:rPr>
        <w:t>TITAN</w:t>
      </w:r>
      <w:r w:rsidRPr="00CC3917">
        <w:rPr>
          <w:rFonts w:asciiTheme="minorHAnsi" w:hAnsiTheme="minorHAnsi"/>
          <w:b/>
          <w:color w:val="000000"/>
          <w:sz w:val="22"/>
          <w:szCs w:val="22"/>
          <w:lang w:val="el-GR"/>
        </w:rPr>
        <w:t xml:space="preserve"> </w:t>
      </w:r>
      <w:r w:rsidRPr="00CC3917">
        <w:rPr>
          <w:rFonts w:asciiTheme="minorHAnsi" w:hAnsiTheme="minorHAnsi"/>
          <w:b/>
          <w:color w:val="000000"/>
          <w:sz w:val="22"/>
          <w:szCs w:val="22"/>
        </w:rPr>
        <w:t>CEMENT</w:t>
      </w:r>
      <w:r w:rsidRPr="00CC3917">
        <w:rPr>
          <w:rFonts w:asciiTheme="minorHAnsi" w:hAnsiTheme="minorHAnsi"/>
          <w:b/>
          <w:color w:val="000000"/>
          <w:sz w:val="22"/>
          <w:szCs w:val="22"/>
          <w:lang w:val="el-GR"/>
        </w:rPr>
        <w:t xml:space="preserve"> </w:t>
      </w:r>
      <w:r w:rsidRPr="00CC3917">
        <w:rPr>
          <w:rFonts w:asciiTheme="minorHAnsi" w:hAnsiTheme="minorHAnsi"/>
          <w:b/>
          <w:color w:val="000000"/>
          <w:sz w:val="22"/>
          <w:szCs w:val="22"/>
        </w:rPr>
        <w:t>INTERNATIONAL</w:t>
      </w:r>
      <w:r w:rsidRPr="00CC3917">
        <w:rPr>
          <w:rFonts w:asciiTheme="minorHAnsi" w:hAnsiTheme="minorHAnsi"/>
          <w:b/>
          <w:color w:val="000000"/>
          <w:sz w:val="22"/>
          <w:szCs w:val="22"/>
          <w:lang w:val="el-GR"/>
        </w:rPr>
        <w:t xml:space="preserve"> </w:t>
      </w:r>
      <w:r w:rsidRPr="00CC3917">
        <w:rPr>
          <w:rFonts w:asciiTheme="minorHAnsi" w:hAnsiTheme="minorHAnsi"/>
          <w:b/>
          <w:color w:val="000000"/>
          <w:sz w:val="22"/>
          <w:szCs w:val="22"/>
        </w:rPr>
        <w:t>S</w:t>
      </w:r>
      <w:r w:rsidRPr="00CC3917">
        <w:rPr>
          <w:rFonts w:asciiTheme="minorHAnsi" w:hAnsiTheme="minorHAnsi"/>
          <w:b/>
          <w:color w:val="000000"/>
          <w:sz w:val="22"/>
          <w:szCs w:val="22"/>
          <w:lang w:val="el-GR"/>
        </w:rPr>
        <w:t>.</w:t>
      </w:r>
      <w:r w:rsidRPr="00CC3917">
        <w:rPr>
          <w:rFonts w:asciiTheme="minorHAnsi" w:hAnsiTheme="minorHAnsi"/>
          <w:b/>
          <w:color w:val="000000"/>
          <w:sz w:val="22"/>
          <w:szCs w:val="22"/>
        </w:rPr>
        <w:t>A</w:t>
      </w:r>
      <w:r w:rsidRPr="00CC3917">
        <w:rPr>
          <w:rFonts w:asciiTheme="minorHAnsi" w:hAnsiTheme="minorHAnsi"/>
          <w:b/>
          <w:color w:val="000000"/>
          <w:sz w:val="22"/>
          <w:szCs w:val="22"/>
          <w:lang w:val="el-GR"/>
        </w:rPr>
        <w:t>.</w:t>
      </w:r>
    </w:p>
    <w:p w:rsidR="00CC3917" w:rsidRPr="00CC3917" w:rsidRDefault="000478F9" w:rsidP="00CC3917">
      <w:pPr>
        <w:spacing w:after="120" w:line="360" w:lineRule="auto"/>
        <w:jc w:val="right"/>
        <w:rPr>
          <w:rFonts w:asciiTheme="minorHAnsi" w:hAnsiTheme="minorHAnsi"/>
          <w:color w:val="000000"/>
          <w:sz w:val="22"/>
          <w:szCs w:val="22"/>
        </w:rPr>
      </w:pPr>
      <w:r>
        <w:rPr>
          <w:rFonts w:asciiTheme="minorHAnsi" w:hAnsiTheme="minorHAnsi"/>
          <w:color w:val="000000"/>
          <w:sz w:val="22"/>
          <w:szCs w:val="22"/>
        </w:rPr>
        <w:t xml:space="preserve">18 </w:t>
      </w:r>
      <w:r w:rsidR="00CC3917" w:rsidRPr="00CC3917">
        <w:rPr>
          <w:rFonts w:asciiTheme="minorHAnsi" w:hAnsiTheme="minorHAnsi"/>
          <w:color w:val="000000"/>
          <w:sz w:val="22"/>
          <w:szCs w:val="22"/>
          <w:lang w:val="el-GR"/>
        </w:rPr>
        <w:t>Οκτωβρίου</w:t>
      </w:r>
      <w:r w:rsidR="00CC3917" w:rsidRPr="00CC3917">
        <w:rPr>
          <w:rFonts w:asciiTheme="minorHAnsi" w:hAnsiTheme="minorHAnsi"/>
          <w:color w:val="000000"/>
          <w:sz w:val="22"/>
          <w:szCs w:val="22"/>
        </w:rPr>
        <w:t xml:space="preserve"> 2018</w:t>
      </w:r>
    </w:p>
    <w:p w:rsidR="00CC3917" w:rsidRPr="00CC3917" w:rsidRDefault="00CC3917" w:rsidP="00CC3917">
      <w:pPr>
        <w:pStyle w:val="a9"/>
        <w:tabs>
          <w:tab w:val="left" w:pos="720"/>
        </w:tabs>
        <w:spacing w:after="120" w:line="360" w:lineRule="auto"/>
        <w:ind w:left="0"/>
        <w:rPr>
          <w:rFonts w:asciiTheme="minorHAnsi" w:hAnsiTheme="minorHAnsi"/>
          <w:b/>
          <w:szCs w:val="22"/>
          <w:u w:val="single"/>
        </w:rPr>
      </w:pPr>
      <w:r w:rsidRPr="00CC3917">
        <w:rPr>
          <w:rFonts w:asciiTheme="minorHAnsi" w:hAnsiTheme="minorHAnsi"/>
          <w:b/>
          <w:szCs w:val="22"/>
          <w:u w:val="single"/>
          <w:lang w:val="el-GR"/>
        </w:rPr>
        <w:t>Σύνοψη</w:t>
      </w:r>
    </w:p>
    <w:p w:rsidR="00CC3917" w:rsidRPr="00CC3917" w:rsidRDefault="00CC3917" w:rsidP="00CC3917">
      <w:pPr>
        <w:pStyle w:val="a9"/>
        <w:numPr>
          <w:ilvl w:val="0"/>
          <w:numId w:val="12"/>
        </w:numPr>
        <w:spacing w:after="120" w:line="240" w:lineRule="auto"/>
        <w:rPr>
          <w:rFonts w:asciiTheme="minorHAnsi" w:hAnsiTheme="minorHAnsi"/>
          <w:szCs w:val="22"/>
          <w:lang w:val="el-GR"/>
        </w:rPr>
      </w:pPr>
      <w:r w:rsidRPr="00CC3917">
        <w:rPr>
          <w:rFonts w:asciiTheme="minorHAnsi" w:hAnsiTheme="minorHAnsi"/>
          <w:szCs w:val="22"/>
          <w:lang w:val="el-GR"/>
        </w:rPr>
        <w:t>Σύμφωνα με το Νόμο 3461/2006, όπως τροποποιήθηκε (εφεξής ο «</w:t>
      </w:r>
      <w:r w:rsidRPr="00CC3917">
        <w:rPr>
          <w:rFonts w:asciiTheme="minorHAnsi" w:hAnsiTheme="minorHAnsi"/>
          <w:b/>
          <w:szCs w:val="22"/>
          <w:lang w:val="el-GR"/>
        </w:rPr>
        <w:t>Νόμος</w:t>
      </w:r>
      <w:r w:rsidRPr="00CC3917">
        <w:rPr>
          <w:rFonts w:asciiTheme="minorHAnsi" w:hAnsiTheme="minorHAnsi"/>
          <w:szCs w:val="22"/>
          <w:lang w:val="el-GR"/>
        </w:rPr>
        <w:t xml:space="preserve">»), η </w:t>
      </w:r>
      <w:r w:rsidRPr="00CC3917">
        <w:rPr>
          <w:rFonts w:asciiTheme="minorHAnsi" w:hAnsiTheme="minorHAnsi"/>
          <w:bCs/>
          <w:szCs w:val="22"/>
          <w:lang w:val="el-GR"/>
        </w:rPr>
        <w:t>«</w:t>
      </w:r>
      <w:r w:rsidRPr="00CC3917">
        <w:rPr>
          <w:rFonts w:asciiTheme="minorHAnsi" w:hAnsiTheme="minorHAnsi"/>
          <w:bCs/>
          <w:szCs w:val="22"/>
        </w:rPr>
        <w:t>Titan</w:t>
      </w:r>
      <w:r w:rsidRPr="00CC3917">
        <w:rPr>
          <w:rFonts w:asciiTheme="minorHAnsi" w:hAnsiTheme="minorHAnsi"/>
          <w:bCs/>
          <w:szCs w:val="22"/>
          <w:lang w:val="el-GR"/>
        </w:rPr>
        <w:t xml:space="preserve"> </w:t>
      </w:r>
      <w:r w:rsidRPr="00CC3917">
        <w:rPr>
          <w:rFonts w:asciiTheme="minorHAnsi" w:hAnsiTheme="minorHAnsi"/>
          <w:bCs/>
          <w:szCs w:val="22"/>
        </w:rPr>
        <w:t>Cement</w:t>
      </w:r>
      <w:r w:rsidRPr="00CC3917">
        <w:rPr>
          <w:rFonts w:asciiTheme="minorHAnsi" w:hAnsiTheme="minorHAnsi"/>
          <w:bCs/>
          <w:szCs w:val="22"/>
          <w:lang w:val="el-GR"/>
        </w:rPr>
        <w:t xml:space="preserve"> </w:t>
      </w:r>
      <w:r w:rsidRPr="00CC3917">
        <w:rPr>
          <w:rFonts w:asciiTheme="minorHAnsi" w:hAnsiTheme="minorHAnsi"/>
          <w:bCs/>
          <w:szCs w:val="22"/>
          <w:lang w:val="en-US"/>
        </w:rPr>
        <w:t>International</w:t>
      </w:r>
      <w:r w:rsidRPr="00CC3917">
        <w:rPr>
          <w:rFonts w:asciiTheme="minorHAnsi" w:hAnsiTheme="minorHAnsi"/>
          <w:bCs/>
          <w:szCs w:val="22"/>
          <w:lang w:val="el-GR"/>
        </w:rPr>
        <w:t xml:space="preserve"> </w:t>
      </w:r>
      <w:r w:rsidRPr="00CC3917">
        <w:rPr>
          <w:rFonts w:asciiTheme="minorHAnsi" w:hAnsiTheme="minorHAnsi"/>
          <w:bCs/>
          <w:szCs w:val="22"/>
          <w:lang w:val="en-US"/>
        </w:rPr>
        <w:t>S</w:t>
      </w:r>
      <w:r w:rsidRPr="00CC3917">
        <w:rPr>
          <w:rFonts w:asciiTheme="minorHAnsi" w:hAnsiTheme="minorHAnsi"/>
          <w:bCs/>
          <w:szCs w:val="22"/>
          <w:lang w:val="el-GR"/>
        </w:rPr>
        <w:t>.</w:t>
      </w:r>
      <w:r w:rsidRPr="00CC3917">
        <w:rPr>
          <w:rFonts w:asciiTheme="minorHAnsi" w:hAnsiTheme="minorHAnsi"/>
          <w:bCs/>
          <w:szCs w:val="22"/>
          <w:lang w:val="en-US"/>
        </w:rPr>
        <w:t>A</w:t>
      </w:r>
      <w:r w:rsidRPr="00CC3917">
        <w:rPr>
          <w:rFonts w:asciiTheme="minorHAnsi" w:hAnsiTheme="minorHAnsi"/>
          <w:bCs/>
          <w:szCs w:val="22"/>
          <w:lang w:val="el-GR"/>
        </w:rPr>
        <w:t>.», νεοσυσταθείσα σύμφωνα με το βελγικό δίκαιο ανώνυμη εταιρεία (εφεξής «</w:t>
      </w:r>
      <w:r w:rsidRPr="00CC3917">
        <w:rPr>
          <w:rFonts w:asciiTheme="minorHAnsi" w:hAnsiTheme="minorHAnsi"/>
          <w:b/>
          <w:bCs/>
          <w:szCs w:val="22"/>
          <w:lang w:val="en-US"/>
        </w:rPr>
        <w:t>TITAN</w:t>
      </w:r>
      <w:r w:rsidRPr="00CC3917">
        <w:rPr>
          <w:rFonts w:asciiTheme="minorHAnsi" w:hAnsiTheme="minorHAnsi"/>
          <w:b/>
          <w:bCs/>
          <w:szCs w:val="22"/>
          <w:lang w:val="el-GR"/>
        </w:rPr>
        <w:t xml:space="preserve"> </w:t>
      </w:r>
      <w:r w:rsidRPr="00CC3917">
        <w:rPr>
          <w:rFonts w:asciiTheme="minorHAnsi" w:hAnsiTheme="minorHAnsi"/>
          <w:b/>
          <w:bCs/>
          <w:szCs w:val="22"/>
          <w:lang w:val="en-US"/>
        </w:rPr>
        <w:t>Cement</w:t>
      </w:r>
      <w:r w:rsidRPr="00CC3917">
        <w:rPr>
          <w:rFonts w:asciiTheme="minorHAnsi" w:hAnsiTheme="minorHAnsi"/>
          <w:b/>
          <w:bCs/>
          <w:szCs w:val="22"/>
          <w:lang w:val="el-GR"/>
        </w:rPr>
        <w:t xml:space="preserve"> </w:t>
      </w:r>
      <w:r w:rsidRPr="00CC3917">
        <w:rPr>
          <w:rFonts w:asciiTheme="minorHAnsi" w:hAnsiTheme="minorHAnsi"/>
          <w:b/>
          <w:bCs/>
          <w:szCs w:val="22"/>
          <w:lang w:val="en-US"/>
        </w:rPr>
        <w:t>International</w:t>
      </w:r>
      <w:r w:rsidRPr="00CC3917">
        <w:rPr>
          <w:rFonts w:asciiTheme="minorHAnsi" w:hAnsiTheme="minorHAnsi"/>
          <w:bCs/>
          <w:szCs w:val="22"/>
          <w:lang w:val="el-GR"/>
        </w:rPr>
        <w:t>»), ανακοινώνει την υποβολή προαιρετικής δημόσιας πρότασης ανταλλαγής (εφεξής η «</w:t>
      </w:r>
      <w:r w:rsidRPr="00CC3917">
        <w:rPr>
          <w:rFonts w:asciiTheme="minorHAnsi" w:hAnsiTheme="minorHAnsi"/>
          <w:b/>
          <w:bCs/>
          <w:szCs w:val="22"/>
          <w:lang w:val="el-GR"/>
        </w:rPr>
        <w:t>Δημόσια Πρόταση Ανταλλαγής</w:t>
      </w:r>
      <w:r w:rsidRPr="00CC3917">
        <w:rPr>
          <w:rFonts w:asciiTheme="minorHAnsi" w:hAnsiTheme="minorHAnsi"/>
          <w:bCs/>
          <w:szCs w:val="22"/>
          <w:lang w:val="el-GR"/>
        </w:rPr>
        <w:t>») για την απόκτηση του συνόλου των κοινών ονομαστικών μετοχών (εφεξής «</w:t>
      </w:r>
      <w:r w:rsidRPr="00CC3917">
        <w:rPr>
          <w:rFonts w:asciiTheme="minorHAnsi" w:hAnsiTheme="minorHAnsi"/>
          <w:b/>
          <w:bCs/>
          <w:szCs w:val="22"/>
          <w:lang w:val="el-GR"/>
        </w:rPr>
        <w:t>Κοινές Μετοχές</w:t>
      </w:r>
      <w:r w:rsidRPr="00CC3917">
        <w:rPr>
          <w:rFonts w:asciiTheme="minorHAnsi" w:hAnsiTheme="minorHAnsi"/>
          <w:bCs/>
          <w:szCs w:val="22"/>
          <w:lang w:val="el-GR"/>
        </w:rPr>
        <w:t>») και προνομιούχων μετοχών (εφεξής «</w:t>
      </w:r>
      <w:r w:rsidRPr="00CC3917">
        <w:rPr>
          <w:rFonts w:asciiTheme="minorHAnsi" w:hAnsiTheme="minorHAnsi"/>
          <w:b/>
          <w:bCs/>
          <w:szCs w:val="22"/>
          <w:lang w:val="el-GR"/>
        </w:rPr>
        <w:t>Προνομιούχες Μετοχές</w:t>
      </w:r>
      <w:r w:rsidRPr="00CC3917">
        <w:rPr>
          <w:rFonts w:asciiTheme="minorHAnsi" w:hAnsiTheme="minorHAnsi"/>
          <w:bCs/>
          <w:szCs w:val="22"/>
          <w:lang w:val="el-GR"/>
        </w:rPr>
        <w:t>» και μαζί με τις Κοινές Μετοχές, «</w:t>
      </w:r>
      <w:r w:rsidRPr="00CC3917">
        <w:rPr>
          <w:rFonts w:asciiTheme="minorHAnsi" w:hAnsiTheme="minorHAnsi"/>
          <w:b/>
          <w:bCs/>
          <w:szCs w:val="22"/>
          <w:lang w:val="el-GR"/>
        </w:rPr>
        <w:t>Μετοχές ΤΙΤΑΝ</w:t>
      </w:r>
      <w:r w:rsidRPr="00CC3917">
        <w:rPr>
          <w:rFonts w:asciiTheme="minorHAnsi" w:hAnsiTheme="minorHAnsi"/>
          <w:bCs/>
          <w:szCs w:val="22"/>
          <w:lang w:val="el-GR"/>
        </w:rPr>
        <w:t>»), ονομαστικής αξίας €3,45 έκαστη, τις οποίες έχει εκδώσει η «Α.Ε. Τσιμέντων ΤΙΤΑΝ» (εφεξής «</w:t>
      </w:r>
      <w:r w:rsidRPr="00CC3917">
        <w:rPr>
          <w:rFonts w:asciiTheme="minorHAnsi" w:hAnsiTheme="minorHAnsi"/>
          <w:b/>
          <w:bCs/>
          <w:szCs w:val="22"/>
          <w:lang w:val="el-GR"/>
        </w:rPr>
        <w:t>ΤΙΤΑΝ</w:t>
      </w:r>
      <w:r w:rsidRPr="00CC3917">
        <w:rPr>
          <w:rFonts w:asciiTheme="minorHAnsi" w:hAnsiTheme="minorHAnsi"/>
          <w:bCs/>
          <w:szCs w:val="22"/>
          <w:lang w:val="el-GR"/>
        </w:rPr>
        <w:t xml:space="preserve">»), έναντι νέων μετοχών που θα εκδοθούν από την TITAN </w:t>
      </w:r>
      <w:proofErr w:type="spellStart"/>
      <w:r w:rsidRPr="00CC3917">
        <w:rPr>
          <w:rFonts w:asciiTheme="minorHAnsi" w:hAnsiTheme="minorHAnsi"/>
          <w:bCs/>
          <w:szCs w:val="22"/>
          <w:lang w:val="el-GR"/>
        </w:rPr>
        <w:t>Cement</w:t>
      </w:r>
      <w:proofErr w:type="spellEnd"/>
      <w:r w:rsidRPr="00CC3917">
        <w:rPr>
          <w:rFonts w:asciiTheme="minorHAnsi" w:hAnsiTheme="minorHAnsi"/>
          <w:bCs/>
          <w:szCs w:val="22"/>
          <w:lang w:val="el-GR"/>
        </w:rPr>
        <w:t xml:space="preserve"> </w:t>
      </w:r>
      <w:proofErr w:type="spellStart"/>
      <w:r w:rsidRPr="00CC3917">
        <w:rPr>
          <w:rFonts w:asciiTheme="minorHAnsi" w:hAnsiTheme="minorHAnsi"/>
          <w:bCs/>
          <w:szCs w:val="22"/>
          <w:lang w:val="el-GR"/>
        </w:rPr>
        <w:t>International</w:t>
      </w:r>
      <w:proofErr w:type="spellEnd"/>
      <w:r w:rsidRPr="00CC3917">
        <w:rPr>
          <w:rFonts w:asciiTheme="minorHAnsi" w:hAnsiTheme="minorHAnsi"/>
          <w:bCs/>
          <w:szCs w:val="22"/>
          <w:lang w:val="el-GR"/>
        </w:rPr>
        <w:t xml:space="preserve"> (εφεξής «</w:t>
      </w:r>
      <w:r w:rsidRPr="00CC3917">
        <w:rPr>
          <w:rFonts w:asciiTheme="minorHAnsi" w:hAnsiTheme="minorHAnsi"/>
          <w:b/>
          <w:bCs/>
          <w:szCs w:val="22"/>
          <w:lang w:val="el-GR"/>
        </w:rPr>
        <w:t>Μετοχές του Ανταλλάγματος</w:t>
      </w:r>
      <w:r w:rsidRPr="00CC3917">
        <w:rPr>
          <w:rFonts w:asciiTheme="minorHAnsi" w:hAnsiTheme="minorHAnsi"/>
          <w:bCs/>
          <w:szCs w:val="22"/>
          <w:lang w:val="el-GR"/>
        </w:rPr>
        <w:t>») με σχέση ανταλλαγής μίας Μετοχής του Ανταλλάγματος για κάθε μία Μετοχή ΤΙΤΑΝ (εφεξής «</w:t>
      </w:r>
      <w:r w:rsidRPr="00CC3917">
        <w:rPr>
          <w:rFonts w:asciiTheme="minorHAnsi" w:hAnsiTheme="minorHAnsi"/>
          <w:b/>
          <w:bCs/>
          <w:szCs w:val="22"/>
          <w:lang w:val="el-GR"/>
        </w:rPr>
        <w:t>Σχέση Ανταλλαγής</w:t>
      </w:r>
      <w:r w:rsidRPr="00CC3917">
        <w:rPr>
          <w:rFonts w:asciiTheme="minorHAnsi" w:hAnsiTheme="minorHAnsi"/>
          <w:bCs/>
          <w:szCs w:val="22"/>
          <w:lang w:val="el-GR"/>
        </w:rPr>
        <w:t>»).</w:t>
      </w:r>
    </w:p>
    <w:p w:rsidR="00CC3917" w:rsidRPr="00CC3917" w:rsidRDefault="00CC3917" w:rsidP="00CC3917">
      <w:pPr>
        <w:pStyle w:val="a9"/>
        <w:numPr>
          <w:ilvl w:val="0"/>
          <w:numId w:val="12"/>
        </w:numPr>
        <w:spacing w:after="120" w:line="240" w:lineRule="auto"/>
        <w:rPr>
          <w:rFonts w:asciiTheme="minorHAnsi" w:hAnsiTheme="minorHAnsi"/>
          <w:szCs w:val="22"/>
          <w:lang w:val="el-GR"/>
        </w:rPr>
      </w:pPr>
      <w:r w:rsidRPr="00CC3917">
        <w:rPr>
          <w:rFonts w:asciiTheme="minorHAnsi" w:hAnsiTheme="minorHAnsi"/>
          <w:szCs w:val="22"/>
          <w:lang w:val="el-GR"/>
        </w:rPr>
        <w:t xml:space="preserve">Η </w:t>
      </w:r>
      <w:r w:rsidRPr="00CC3917">
        <w:rPr>
          <w:rFonts w:asciiTheme="minorHAnsi" w:hAnsiTheme="minorHAnsi"/>
          <w:szCs w:val="22"/>
        </w:rPr>
        <w:t>TITAN</w:t>
      </w:r>
      <w:r w:rsidRPr="00CC3917">
        <w:rPr>
          <w:rFonts w:asciiTheme="minorHAnsi" w:hAnsiTheme="minorHAnsi"/>
          <w:szCs w:val="22"/>
          <w:lang w:val="el-GR"/>
        </w:rPr>
        <w:t xml:space="preserve"> </w:t>
      </w:r>
      <w:r w:rsidRPr="00CC3917">
        <w:rPr>
          <w:rFonts w:asciiTheme="minorHAnsi" w:hAnsiTheme="minorHAnsi"/>
          <w:szCs w:val="22"/>
          <w:lang w:val="en-US"/>
        </w:rPr>
        <w:t>Cement</w:t>
      </w:r>
      <w:r w:rsidRPr="00CC3917">
        <w:rPr>
          <w:rFonts w:asciiTheme="minorHAnsi" w:hAnsiTheme="minorHAnsi"/>
          <w:szCs w:val="22"/>
          <w:lang w:val="el-GR"/>
        </w:rPr>
        <w:t xml:space="preserve"> </w:t>
      </w:r>
      <w:r w:rsidRPr="00CC3917">
        <w:rPr>
          <w:rFonts w:asciiTheme="minorHAnsi" w:hAnsiTheme="minorHAnsi"/>
          <w:szCs w:val="22"/>
        </w:rPr>
        <w:t>International</w:t>
      </w:r>
      <w:r w:rsidRPr="00CC3917">
        <w:rPr>
          <w:rFonts w:asciiTheme="minorHAnsi" w:hAnsiTheme="minorHAnsi"/>
          <w:szCs w:val="22"/>
          <w:lang w:val="el-GR"/>
        </w:rPr>
        <w:t xml:space="preserve"> θα υποβάλει αίτηση στο </w:t>
      </w:r>
      <w:r w:rsidRPr="00CC3917">
        <w:rPr>
          <w:rFonts w:asciiTheme="minorHAnsi" w:hAnsiTheme="minorHAnsi"/>
          <w:szCs w:val="22"/>
        </w:rPr>
        <w:t>Euronext</w:t>
      </w:r>
      <w:r w:rsidRPr="00CC3917">
        <w:rPr>
          <w:rFonts w:asciiTheme="minorHAnsi" w:hAnsiTheme="minorHAnsi"/>
          <w:szCs w:val="22"/>
          <w:lang w:val="el-GR"/>
        </w:rPr>
        <w:t xml:space="preserve"> Βρυξελλών, ένα από τα μεγαλύτερα χρηματιστήρια της Ευρωπαϊκής Ένωσης, για την πρωτογενή  εισαγωγή προς διαπραγμάτευση όλων των μετοχών της, συμπεριλαμβανομένων των </w:t>
      </w:r>
      <w:r w:rsidRPr="00CC3917">
        <w:rPr>
          <w:rFonts w:asciiTheme="minorHAnsi" w:hAnsiTheme="minorHAnsi"/>
          <w:bCs/>
          <w:szCs w:val="22"/>
          <w:lang w:val="el-GR"/>
        </w:rPr>
        <w:t>Μετοχών του Ανταλλάγματος</w:t>
      </w:r>
      <w:r w:rsidRPr="00CC3917">
        <w:rPr>
          <w:rFonts w:asciiTheme="minorHAnsi" w:hAnsiTheme="minorHAnsi"/>
          <w:szCs w:val="22"/>
          <w:lang w:val="el-GR"/>
        </w:rPr>
        <w:t>,</w:t>
      </w:r>
      <w:r w:rsidRPr="00CC3917">
        <w:rPr>
          <w:rFonts w:asciiTheme="minorHAnsi" w:hAnsiTheme="minorHAnsi"/>
          <w:b/>
          <w:szCs w:val="22"/>
          <w:lang w:val="el-GR"/>
        </w:rPr>
        <w:t xml:space="preserve"> </w:t>
      </w:r>
      <w:r w:rsidR="00FE7B01" w:rsidRPr="00FE7B01">
        <w:rPr>
          <w:rFonts w:asciiTheme="minorHAnsi" w:hAnsiTheme="minorHAnsi"/>
          <w:szCs w:val="22"/>
          <w:lang w:val="el-GR"/>
        </w:rPr>
        <w:t>καθώς και</w:t>
      </w:r>
      <w:r w:rsidRPr="00CC3917">
        <w:rPr>
          <w:rFonts w:asciiTheme="minorHAnsi" w:hAnsiTheme="minorHAnsi"/>
          <w:szCs w:val="22"/>
          <w:lang w:val="el-GR"/>
        </w:rPr>
        <w:t xml:space="preserve"> αίτηση για τη δευτερογενή εισαγωγή προς διαπραγμάτευσή τους στο Χρηματιστήριο Αθηνών (εφεξής «</w:t>
      </w:r>
      <w:r w:rsidRPr="00CC3917">
        <w:rPr>
          <w:rFonts w:asciiTheme="minorHAnsi" w:hAnsiTheme="minorHAnsi"/>
          <w:b/>
          <w:szCs w:val="22"/>
          <w:lang w:val="el-GR"/>
        </w:rPr>
        <w:t>Χ.Α.</w:t>
      </w:r>
      <w:r w:rsidRPr="00CC3917">
        <w:rPr>
          <w:rFonts w:asciiTheme="minorHAnsi" w:hAnsiTheme="minorHAnsi"/>
          <w:szCs w:val="22"/>
          <w:lang w:val="el-GR"/>
        </w:rPr>
        <w:t xml:space="preserve">») και το </w:t>
      </w:r>
      <w:r w:rsidRPr="00CC3917">
        <w:rPr>
          <w:rFonts w:asciiTheme="minorHAnsi" w:hAnsiTheme="minorHAnsi"/>
          <w:szCs w:val="22"/>
          <w:lang w:val="en-US"/>
        </w:rPr>
        <w:t>Euronext</w:t>
      </w:r>
      <w:r w:rsidRPr="00CC3917">
        <w:rPr>
          <w:rFonts w:asciiTheme="minorHAnsi" w:hAnsiTheme="minorHAnsi"/>
          <w:szCs w:val="22"/>
          <w:lang w:val="el-GR"/>
        </w:rPr>
        <w:t xml:space="preserve"> Παρισίων. </w:t>
      </w:r>
    </w:p>
    <w:p w:rsidR="00CC3917" w:rsidRPr="00CC3917" w:rsidRDefault="00CC3917" w:rsidP="00CC3917">
      <w:pPr>
        <w:pStyle w:val="a9"/>
        <w:numPr>
          <w:ilvl w:val="0"/>
          <w:numId w:val="12"/>
        </w:numPr>
        <w:spacing w:after="120" w:line="240" w:lineRule="auto"/>
        <w:rPr>
          <w:rFonts w:asciiTheme="minorHAnsi" w:hAnsiTheme="minorHAnsi"/>
          <w:szCs w:val="22"/>
          <w:lang w:val="el-GR"/>
        </w:rPr>
      </w:pPr>
      <w:r w:rsidRPr="00CC3917">
        <w:rPr>
          <w:rFonts w:asciiTheme="minorHAnsi" w:hAnsiTheme="minorHAnsi"/>
          <w:szCs w:val="22"/>
          <w:lang w:val="el-GR"/>
        </w:rPr>
        <w:t xml:space="preserve">Οι </w:t>
      </w:r>
      <w:r w:rsidR="00585152">
        <w:rPr>
          <w:rFonts w:asciiTheme="minorHAnsi" w:hAnsiTheme="minorHAnsi"/>
          <w:szCs w:val="22"/>
          <w:lang w:val="en-US"/>
        </w:rPr>
        <w:t>I</w:t>
      </w:r>
      <w:proofErr w:type="spellStart"/>
      <w:r w:rsidRPr="00CC3917">
        <w:rPr>
          <w:rFonts w:asciiTheme="minorHAnsi" w:hAnsiTheme="minorHAnsi"/>
          <w:szCs w:val="22"/>
          <w:lang w:val="el-GR"/>
        </w:rPr>
        <w:t>δρυτές</w:t>
      </w:r>
      <w:proofErr w:type="spellEnd"/>
      <w:r w:rsidR="00585152" w:rsidRPr="00585152">
        <w:rPr>
          <w:rFonts w:asciiTheme="minorHAnsi" w:hAnsiTheme="minorHAnsi"/>
          <w:szCs w:val="22"/>
          <w:lang w:val="el-GR"/>
        </w:rPr>
        <w:t xml:space="preserve"> (</w:t>
      </w:r>
      <w:r w:rsidR="00585152">
        <w:rPr>
          <w:rFonts w:asciiTheme="minorHAnsi" w:hAnsiTheme="minorHAnsi"/>
          <w:szCs w:val="22"/>
          <w:lang w:val="el-GR"/>
        </w:rPr>
        <w:t>ως ορίζονται κατωτέρω)</w:t>
      </w:r>
      <w:r w:rsidRPr="00CC3917">
        <w:rPr>
          <w:rFonts w:asciiTheme="minorHAnsi" w:hAnsiTheme="minorHAnsi"/>
          <w:szCs w:val="22"/>
          <w:lang w:val="el-GR"/>
        </w:rPr>
        <w:t xml:space="preserve"> και επί του παρόντος μοναδικοί μέτοχοι της </w:t>
      </w:r>
      <w:r w:rsidRPr="00CC3917">
        <w:rPr>
          <w:rFonts w:asciiTheme="minorHAnsi" w:hAnsiTheme="minorHAnsi"/>
          <w:szCs w:val="22"/>
        </w:rPr>
        <w:t>TITAN</w:t>
      </w:r>
      <w:r w:rsidRPr="00CC3917">
        <w:rPr>
          <w:rFonts w:asciiTheme="minorHAnsi" w:hAnsiTheme="minorHAnsi"/>
          <w:szCs w:val="22"/>
          <w:lang w:val="el-GR"/>
        </w:rPr>
        <w:t xml:space="preserve"> </w:t>
      </w:r>
      <w:r w:rsidRPr="00CC3917">
        <w:rPr>
          <w:rFonts w:asciiTheme="minorHAnsi" w:hAnsiTheme="minorHAnsi"/>
          <w:szCs w:val="22"/>
        </w:rPr>
        <w:t>Cement</w:t>
      </w:r>
      <w:r w:rsidRPr="00CC3917">
        <w:rPr>
          <w:rFonts w:asciiTheme="minorHAnsi" w:hAnsiTheme="minorHAnsi"/>
          <w:szCs w:val="22"/>
          <w:lang w:val="el-GR"/>
        </w:rPr>
        <w:t xml:space="preserve"> </w:t>
      </w:r>
      <w:r w:rsidRPr="00CC3917">
        <w:rPr>
          <w:rFonts w:asciiTheme="minorHAnsi" w:hAnsiTheme="minorHAnsi"/>
          <w:szCs w:val="22"/>
        </w:rPr>
        <w:t>International</w:t>
      </w:r>
      <w:r w:rsidRPr="00CC3917">
        <w:rPr>
          <w:rFonts w:asciiTheme="minorHAnsi" w:hAnsiTheme="minorHAnsi"/>
          <w:szCs w:val="22"/>
          <w:lang w:val="el-GR"/>
        </w:rPr>
        <w:t xml:space="preserve"> είναι μέλη της οικογένειας που </w:t>
      </w:r>
      <w:r w:rsidR="0021491D">
        <w:rPr>
          <w:rFonts w:asciiTheme="minorHAnsi" w:hAnsiTheme="minorHAnsi"/>
          <w:szCs w:val="22"/>
          <w:lang w:val="el-GR"/>
        </w:rPr>
        <w:t>ίδρυσε την</w:t>
      </w:r>
      <w:r w:rsidRPr="00CC3917">
        <w:rPr>
          <w:rFonts w:asciiTheme="minorHAnsi" w:hAnsiTheme="minorHAnsi"/>
          <w:szCs w:val="22"/>
          <w:lang w:val="el-GR"/>
        </w:rPr>
        <w:t xml:space="preserve"> ΤΙΤΑΝ το 1911.</w:t>
      </w:r>
    </w:p>
    <w:p w:rsidR="00CC3917" w:rsidRPr="00CC3917" w:rsidRDefault="00CC3917" w:rsidP="00CC3917">
      <w:pPr>
        <w:pStyle w:val="a9"/>
        <w:numPr>
          <w:ilvl w:val="0"/>
          <w:numId w:val="12"/>
        </w:numPr>
        <w:spacing w:after="120" w:line="240" w:lineRule="auto"/>
        <w:rPr>
          <w:rFonts w:asciiTheme="minorHAnsi" w:hAnsiTheme="minorHAnsi"/>
          <w:szCs w:val="22"/>
          <w:lang w:val="el-GR"/>
        </w:rPr>
      </w:pPr>
      <w:r w:rsidRPr="00CC3917">
        <w:rPr>
          <w:rFonts w:asciiTheme="minorHAnsi" w:hAnsiTheme="minorHAnsi"/>
          <w:szCs w:val="22"/>
          <w:lang w:val="el-GR"/>
        </w:rPr>
        <w:t>Σκοπός της Δημόσιας</w:t>
      </w:r>
      <w:r w:rsidRPr="00CC3917">
        <w:rPr>
          <w:rFonts w:asciiTheme="minorHAnsi" w:hAnsiTheme="minorHAnsi"/>
          <w:bCs/>
          <w:szCs w:val="22"/>
          <w:lang w:val="el-GR"/>
        </w:rPr>
        <w:t xml:space="preserve"> Πρότασης Ανταλλαγής </w:t>
      </w:r>
      <w:r w:rsidRPr="00CC3917">
        <w:rPr>
          <w:rFonts w:asciiTheme="minorHAnsi" w:hAnsiTheme="minorHAnsi"/>
          <w:szCs w:val="22"/>
          <w:lang w:val="el-GR"/>
        </w:rPr>
        <w:t>δεν είναι η απόκτηση του ελέγχου της ΤΙΤΑΝ, αλλά η διευκόλυνση της εισαγωγής της ΤΙΤΑΝ και των θυγατρικών της (εφεξής «</w:t>
      </w:r>
      <w:r w:rsidRPr="00CC3917">
        <w:rPr>
          <w:rFonts w:asciiTheme="minorHAnsi" w:hAnsiTheme="minorHAnsi"/>
          <w:b/>
          <w:szCs w:val="22"/>
          <w:lang w:val="el-GR"/>
        </w:rPr>
        <w:t>Όμιλος ΤΙΤΑΝ</w:t>
      </w:r>
      <w:r w:rsidRPr="00CC3917">
        <w:rPr>
          <w:rFonts w:asciiTheme="minorHAnsi" w:hAnsiTheme="minorHAnsi"/>
          <w:szCs w:val="22"/>
          <w:lang w:val="el-GR"/>
        </w:rPr>
        <w:t xml:space="preserve">») στο </w:t>
      </w:r>
      <w:r w:rsidRPr="00CC3917">
        <w:rPr>
          <w:rFonts w:asciiTheme="minorHAnsi" w:hAnsiTheme="minorHAnsi"/>
          <w:szCs w:val="22"/>
        </w:rPr>
        <w:t>Euronext</w:t>
      </w:r>
      <w:r w:rsidRPr="00CC3917">
        <w:rPr>
          <w:rFonts w:asciiTheme="minorHAnsi" w:hAnsiTheme="minorHAnsi"/>
          <w:szCs w:val="22"/>
          <w:lang w:val="el-GR"/>
        </w:rPr>
        <w:t xml:space="preserve"> Βρυξελλών μέσω της εισαγωγής προς διαπραγμάτευση όλων των μετοχών της </w:t>
      </w:r>
      <w:r w:rsidRPr="00CC3917">
        <w:rPr>
          <w:rFonts w:asciiTheme="minorHAnsi" w:hAnsiTheme="minorHAnsi"/>
          <w:szCs w:val="22"/>
        </w:rPr>
        <w:t>TITAN</w:t>
      </w:r>
      <w:r w:rsidRPr="00CC3917">
        <w:rPr>
          <w:rFonts w:asciiTheme="minorHAnsi" w:hAnsiTheme="minorHAnsi"/>
          <w:szCs w:val="22"/>
          <w:lang w:val="el-GR"/>
        </w:rPr>
        <w:t xml:space="preserve"> </w:t>
      </w:r>
      <w:r w:rsidRPr="00CC3917">
        <w:rPr>
          <w:rFonts w:asciiTheme="minorHAnsi" w:hAnsiTheme="minorHAnsi"/>
          <w:szCs w:val="22"/>
        </w:rPr>
        <w:t>Cement</w:t>
      </w:r>
      <w:r w:rsidRPr="00CC3917">
        <w:rPr>
          <w:rFonts w:asciiTheme="minorHAnsi" w:hAnsiTheme="minorHAnsi"/>
          <w:szCs w:val="22"/>
          <w:lang w:val="el-GR"/>
        </w:rPr>
        <w:t xml:space="preserve"> </w:t>
      </w:r>
      <w:r w:rsidRPr="00CC3917">
        <w:rPr>
          <w:rFonts w:asciiTheme="minorHAnsi" w:hAnsiTheme="minorHAnsi"/>
          <w:szCs w:val="22"/>
        </w:rPr>
        <w:t>International</w:t>
      </w:r>
      <w:r w:rsidRPr="00CC3917">
        <w:rPr>
          <w:rFonts w:asciiTheme="minorHAnsi" w:hAnsiTheme="minorHAnsi"/>
          <w:szCs w:val="22"/>
          <w:lang w:val="el-GR"/>
        </w:rPr>
        <w:t xml:space="preserve"> στην αγορά κινητών αξιών του </w:t>
      </w:r>
      <w:r w:rsidRPr="00CC3917">
        <w:rPr>
          <w:rFonts w:asciiTheme="minorHAnsi" w:hAnsiTheme="minorHAnsi"/>
          <w:szCs w:val="22"/>
        </w:rPr>
        <w:t>Euronext</w:t>
      </w:r>
      <w:r w:rsidRPr="00CC3917">
        <w:rPr>
          <w:rFonts w:asciiTheme="minorHAnsi" w:hAnsiTheme="minorHAnsi"/>
          <w:szCs w:val="22"/>
          <w:lang w:val="el-GR"/>
        </w:rPr>
        <w:t xml:space="preserve"> Βρυξελλών</w:t>
      </w:r>
      <w:r w:rsidR="00FE7B01">
        <w:rPr>
          <w:rFonts w:asciiTheme="minorHAnsi" w:hAnsiTheme="minorHAnsi"/>
          <w:szCs w:val="22"/>
          <w:lang w:val="el-GR"/>
        </w:rPr>
        <w:t xml:space="preserve">. </w:t>
      </w:r>
      <w:r w:rsidR="00443AE4">
        <w:rPr>
          <w:rFonts w:asciiTheme="minorHAnsi" w:hAnsiTheme="minorHAnsi"/>
          <w:szCs w:val="22"/>
          <w:lang w:val="el-GR"/>
        </w:rPr>
        <w:t>Μ</w:t>
      </w:r>
      <w:r w:rsidR="001B6870">
        <w:rPr>
          <w:rFonts w:asciiTheme="minorHAnsi" w:hAnsiTheme="minorHAnsi"/>
          <w:szCs w:val="22"/>
          <w:lang w:val="el-GR"/>
        </w:rPr>
        <w:t xml:space="preserve">έσω της Δημόσιας Πρότασης Ανταλλαγής επιδιώκεται περαιτέρω </w:t>
      </w:r>
      <w:r w:rsidRPr="00CC3917">
        <w:rPr>
          <w:rFonts w:asciiTheme="minorHAnsi" w:hAnsiTheme="minorHAnsi"/>
          <w:szCs w:val="22"/>
          <w:lang w:val="el-GR"/>
        </w:rPr>
        <w:t xml:space="preserve">η </w:t>
      </w:r>
      <w:r w:rsidRPr="00CC3917">
        <w:rPr>
          <w:rFonts w:asciiTheme="minorHAnsi" w:hAnsiTheme="minorHAnsi"/>
          <w:szCs w:val="22"/>
        </w:rPr>
        <w:t>TITAN</w:t>
      </w:r>
      <w:r w:rsidRPr="00CC3917">
        <w:rPr>
          <w:rFonts w:asciiTheme="minorHAnsi" w:hAnsiTheme="minorHAnsi"/>
          <w:szCs w:val="22"/>
          <w:lang w:val="el-GR"/>
        </w:rPr>
        <w:t xml:space="preserve"> </w:t>
      </w:r>
      <w:r w:rsidRPr="00CC3917">
        <w:rPr>
          <w:rFonts w:asciiTheme="minorHAnsi" w:hAnsiTheme="minorHAnsi"/>
          <w:szCs w:val="22"/>
        </w:rPr>
        <w:t>Cement</w:t>
      </w:r>
      <w:r w:rsidRPr="00CC3917">
        <w:rPr>
          <w:rFonts w:asciiTheme="minorHAnsi" w:hAnsiTheme="minorHAnsi"/>
          <w:szCs w:val="22"/>
          <w:lang w:val="el-GR"/>
        </w:rPr>
        <w:t xml:space="preserve"> </w:t>
      </w:r>
      <w:r w:rsidRPr="00CC3917">
        <w:rPr>
          <w:rFonts w:asciiTheme="minorHAnsi" w:hAnsiTheme="minorHAnsi"/>
          <w:szCs w:val="22"/>
        </w:rPr>
        <w:t>International</w:t>
      </w:r>
      <w:r w:rsidRPr="00CC3917">
        <w:rPr>
          <w:rFonts w:asciiTheme="minorHAnsi" w:hAnsiTheme="minorHAnsi"/>
          <w:szCs w:val="22"/>
          <w:lang w:val="el-GR"/>
        </w:rPr>
        <w:t xml:space="preserve"> </w:t>
      </w:r>
      <w:r w:rsidR="001B6870">
        <w:rPr>
          <w:rFonts w:asciiTheme="minorHAnsi" w:hAnsiTheme="minorHAnsi"/>
          <w:szCs w:val="22"/>
          <w:lang w:val="el-GR"/>
        </w:rPr>
        <w:t>να</w:t>
      </w:r>
      <w:r w:rsidRPr="00CC3917">
        <w:rPr>
          <w:rFonts w:asciiTheme="minorHAnsi" w:hAnsiTheme="minorHAnsi"/>
          <w:szCs w:val="22"/>
          <w:lang w:val="el-GR"/>
        </w:rPr>
        <w:t xml:space="preserve"> καταστεί η άμεσα μητρική εταιρία της ΤΙΤΑΝ και </w:t>
      </w:r>
      <w:r w:rsidRPr="00CC3917">
        <w:rPr>
          <w:rFonts w:asciiTheme="minorHAnsi" w:hAnsiTheme="minorHAnsi" w:cs="Calibri"/>
          <w:szCs w:val="22"/>
          <w:lang w:val="el-GR"/>
        </w:rPr>
        <w:t xml:space="preserve">η απώτατη μητρική </w:t>
      </w:r>
      <w:r w:rsidRPr="00CC3917">
        <w:rPr>
          <w:rFonts w:asciiTheme="minorHAnsi" w:hAnsiTheme="minorHAnsi"/>
          <w:szCs w:val="22"/>
          <w:lang w:val="el-GR"/>
        </w:rPr>
        <w:t xml:space="preserve">εταιρία  του Ομίλου ΤΙΤΑΝ, με μετοχική δομή στην οποία όλοι οι μέτοχοι της ΤΙΤΑΝ θα καταστούν μέτοχοι της </w:t>
      </w:r>
      <w:r w:rsidRPr="00CC3917">
        <w:rPr>
          <w:rFonts w:asciiTheme="minorHAnsi" w:hAnsiTheme="minorHAnsi"/>
          <w:szCs w:val="22"/>
        </w:rPr>
        <w:t>TITAN</w:t>
      </w:r>
      <w:r w:rsidRPr="00CC3917">
        <w:rPr>
          <w:rFonts w:asciiTheme="minorHAnsi" w:hAnsiTheme="minorHAnsi"/>
          <w:szCs w:val="22"/>
          <w:lang w:val="el-GR"/>
        </w:rPr>
        <w:t xml:space="preserve"> </w:t>
      </w:r>
      <w:r w:rsidRPr="00CC3917">
        <w:rPr>
          <w:rFonts w:asciiTheme="minorHAnsi" w:hAnsiTheme="minorHAnsi"/>
          <w:szCs w:val="22"/>
        </w:rPr>
        <w:t>Cement</w:t>
      </w:r>
      <w:r w:rsidRPr="00CC3917">
        <w:rPr>
          <w:rFonts w:asciiTheme="minorHAnsi" w:hAnsiTheme="minorHAnsi"/>
          <w:szCs w:val="22"/>
          <w:lang w:val="el-GR"/>
        </w:rPr>
        <w:t xml:space="preserve"> </w:t>
      </w:r>
      <w:r w:rsidRPr="00CC3917">
        <w:rPr>
          <w:rFonts w:asciiTheme="minorHAnsi" w:hAnsiTheme="minorHAnsi"/>
          <w:szCs w:val="22"/>
        </w:rPr>
        <w:t>International</w:t>
      </w:r>
      <w:r w:rsidRPr="00CC3917">
        <w:rPr>
          <w:rFonts w:asciiTheme="minorHAnsi" w:hAnsiTheme="minorHAnsi"/>
          <w:szCs w:val="22"/>
          <w:lang w:val="el-GR"/>
        </w:rPr>
        <w:t>.</w:t>
      </w:r>
    </w:p>
    <w:p w:rsidR="00CC3917" w:rsidRPr="00CC3917" w:rsidRDefault="00CC3917" w:rsidP="00CC3917">
      <w:pPr>
        <w:pStyle w:val="a9"/>
        <w:numPr>
          <w:ilvl w:val="0"/>
          <w:numId w:val="12"/>
        </w:numPr>
        <w:tabs>
          <w:tab w:val="left" w:pos="720"/>
        </w:tabs>
        <w:spacing w:after="120" w:line="240" w:lineRule="auto"/>
        <w:rPr>
          <w:rFonts w:asciiTheme="minorHAnsi" w:hAnsiTheme="minorHAnsi"/>
          <w:szCs w:val="22"/>
          <w:lang w:val="el-GR"/>
        </w:rPr>
      </w:pPr>
      <w:r w:rsidRPr="00CC3917">
        <w:rPr>
          <w:rFonts w:asciiTheme="minorHAnsi" w:hAnsiTheme="minorHAnsi"/>
          <w:szCs w:val="22"/>
          <w:lang w:val="el-GR"/>
        </w:rPr>
        <w:t>Οι κύριοι στόχοι της Δημόσιας Πρότασης Ανταλλαγής είναι να:</w:t>
      </w:r>
    </w:p>
    <w:p w:rsidR="00CC3917" w:rsidRPr="00CC3917" w:rsidRDefault="00CC3917" w:rsidP="00CC3917">
      <w:pPr>
        <w:pStyle w:val="af2"/>
        <w:numPr>
          <w:ilvl w:val="0"/>
          <w:numId w:val="13"/>
        </w:numPr>
        <w:spacing w:after="120"/>
        <w:jc w:val="both"/>
        <w:rPr>
          <w:rFonts w:asciiTheme="minorHAnsi" w:eastAsia="Times New Roman" w:hAnsiTheme="minorHAnsi"/>
          <w:color w:val="000000"/>
          <w:lang w:val="el-GR" w:eastAsia="ja-JP"/>
        </w:rPr>
      </w:pPr>
      <w:r w:rsidRPr="00CC3917">
        <w:rPr>
          <w:rFonts w:asciiTheme="minorHAnsi" w:hAnsiTheme="minorHAnsi"/>
          <w:color w:val="000000"/>
          <w:lang w:val="el-GR" w:eastAsia="ja-JP"/>
        </w:rPr>
        <w:t>αντικατοπτριστεί και να ενισχυθεί ο διεθνής χαρακτήρας</w:t>
      </w:r>
      <w:r w:rsidRPr="00CC3917">
        <w:rPr>
          <w:rFonts w:asciiTheme="minorHAnsi" w:eastAsia="Times New Roman" w:hAnsiTheme="minorHAnsi"/>
          <w:color w:val="000000"/>
          <w:lang w:val="el-GR" w:eastAsia="ja-JP"/>
        </w:rPr>
        <w:t xml:space="preserve"> των επιχειρηματικών δραστηριοτήτων του Ομίλου ΤΙΤΑΝ,</w:t>
      </w:r>
    </w:p>
    <w:p w:rsidR="00CC3917" w:rsidRPr="00CC3917" w:rsidRDefault="00CC3917" w:rsidP="00CC3917">
      <w:pPr>
        <w:pStyle w:val="Default"/>
        <w:numPr>
          <w:ilvl w:val="0"/>
          <w:numId w:val="13"/>
        </w:numPr>
        <w:spacing w:after="120"/>
        <w:jc w:val="both"/>
        <w:rPr>
          <w:rFonts w:asciiTheme="minorHAnsi" w:hAnsiTheme="minorHAnsi" w:cs="Calibri"/>
          <w:bCs/>
          <w:sz w:val="22"/>
          <w:szCs w:val="22"/>
          <w:lang w:val="el-GR"/>
        </w:rPr>
      </w:pPr>
      <w:r w:rsidRPr="00CC3917">
        <w:rPr>
          <w:rFonts w:asciiTheme="minorHAnsi" w:hAnsiTheme="minorHAnsi" w:cs="Calibri"/>
          <w:bCs/>
          <w:sz w:val="22"/>
          <w:szCs w:val="22"/>
          <w:lang w:val="el-GR"/>
        </w:rPr>
        <w:t xml:space="preserve">εισαχθεί ο Όμιλος ΤΙΤΑΝ σε </w:t>
      </w:r>
      <w:r w:rsidR="001B6870">
        <w:rPr>
          <w:rFonts w:asciiTheme="minorHAnsi" w:hAnsiTheme="minorHAnsi" w:cs="Calibri"/>
          <w:bCs/>
          <w:sz w:val="22"/>
          <w:szCs w:val="22"/>
          <w:lang w:val="el-GR"/>
        </w:rPr>
        <w:t>μεγάλο διεθνές χρηματιστήριο</w:t>
      </w:r>
      <w:r w:rsidRPr="00CC3917">
        <w:rPr>
          <w:rFonts w:asciiTheme="minorHAnsi" w:hAnsiTheme="minorHAnsi" w:cs="Calibri"/>
          <w:bCs/>
          <w:sz w:val="22"/>
          <w:szCs w:val="22"/>
          <w:lang w:val="el-GR"/>
        </w:rPr>
        <w:t xml:space="preserve">, </w:t>
      </w:r>
      <w:r w:rsidR="001B6870">
        <w:rPr>
          <w:rFonts w:asciiTheme="minorHAnsi" w:hAnsiTheme="minorHAnsi" w:cs="Calibri"/>
          <w:bCs/>
          <w:sz w:val="22"/>
          <w:szCs w:val="22"/>
          <w:lang w:val="el-GR"/>
        </w:rPr>
        <w:t>που θα του προσφέρει</w:t>
      </w:r>
      <w:r w:rsidRPr="00CC3917">
        <w:rPr>
          <w:rFonts w:asciiTheme="minorHAnsi" w:hAnsiTheme="minorHAnsi" w:cs="Calibri"/>
          <w:bCs/>
          <w:sz w:val="22"/>
          <w:szCs w:val="22"/>
          <w:lang w:val="el-GR"/>
        </w:rPr>
        <w:t xml:space="preserve"> πρόσβαση σε ευρύτερη βάση επενδυτών</w:t>
      </w:r>
      <w:r w:rsidR="001B6870">
        <w:rPr>
          <w:rFonts w:asciiTheme="minorHAnsi" w:hAnsiTheme="minorHAnsi" w:cs="Calibri"/>
          <w:bCs/>
          <w:sz w:val="22"/>
          <w:szCs w:val="22"/>
          <w:lang w:val="el-GR"/>
        </w:rPr>
        <w:t>,</w:t>
      </w:r>
      <w:r w:rsidRPr="00CC3917">
        <w:rPr>
          <w:rFonts w:asciiTheme="minorHAnsi" w:hAnsiTheme="minorHAnsi" w:cs="Calibri"/>
          <w:bCs/>
          <w:sz w:val="22"/>
          <w:szCs w:val="22"/>
          <w:lang w:val="el-GR"/>
        </w:rPr>
        <w:t xml:space="preserve"> ενισχύοντας τη ρευστότητα των μετοχών του και</w:t>
      </w:r>
    </w:p>
    <w:p w:rsidR="00CC3917" w:rsidRPr="00CC3917" w:rsidRDefault="00CC3917" w:rsidP="00CC3917">
      <w:pPr>
        <w:pStyle w:val="a9"/>
        <w:numPr>
          <w:ilvl w:val="0"/>
          <w:numId w:val="13"/>
        </w:numPr>
        <w:autoSpaceDE w:val="0"/>
        <w:autoSpaceDN w:val="0"/>
        <w:adjustRightInd w:val="0"/>
        <w:spacing w:after="120" w:line="240" w:lineRule="auto"/>
        <w:rPr>
          <w:rFonts w:asciiTheme="minorHAnsi" w:hAnsiTheme="minorHAnsi" w:cs="Calibri"/>
          <w:bCs/>
          <w:color w:val="000000"/>
          <w:szCs w:val="22"/>
          <w:lang w:val="el-GR"/>
        </w:rPr>
      </w:pPr>
      <w:r w:rsidRPr="00CC3917">
        <w:rPr>
          <w:rFonts w:asciiTheme="minorHAnsi" w:hAnsiTheme="minorHAnsi" w:cs="Calibri"/>
          <w:szCs w:val="22"/>
          <w:lang w:val="el-GR"/>
        </w:rPr>
        <w:lastRenderedPageBreak/>
        <w:t xml:space="preserve">διευρυνθούν οι </w:t>
      </w:r>
      <w:r w:rsidRPr="00CC3917">
        <w:rPr>
          <w:rFonts w:asciiTheme="minorHAnsi" w:hAnsiTheme="minorHAnsi" w:cs="Calibri"/>
          <w:bCs/>
          <w:color w:val="000000"/>
          <w:szCs w:val="22"/>
          <w:lang w:val="el-GR"/>
        </w:rPr>
        <w:t>πηγές άντλησης κεφαλαίων του Ομίλου ΤΙΤΑΝ, βελτιώνοντας την πρόσβασή του στις διεθνείς κεφαλαιαγορές και το διεθνές τραπεζικό σύστημα</w:t>
      </w:r>
      <w:r w:rsidR="00597C90" w:rsidRPr="00597C90">
        <w:rPr>
          <w:rFonts w:asciiTheme="minorHAnsi" w:hAnsiTheme="minorHAnsi" w:cs="Calibri"/>
          <w:bCs/>
          <w:color w:val="000000"/>
          <w:szCs w:val="22"/>
          <w:lang w:val="el-GR"/>
        </w:rPr>
        <w:t>,</w:t>
      </w:r>
      <w:r w:rsidRPr="00CC3917">
        <w:rPr>
          <w:rFonts w:asciiTheme="minorHAnsi" w:hAnsiTheme="minorHAnsi" w:cs="Calibri"/>
          <w:bCs/>
          <w:color w:val="000000"/>
          <w:szCs w:val="22"/>
          <w:lang w:val="el-GR"/>
        </w:rPr>
        <w:t xml:space="preserve"> με πιο </w:t>
      </w:r>
      <w:r w:rsidRPr="00CC3917">
        <w:rPr>
          <w:rFonts w:asciiTheme="minorHAnsi" w:hAnsiTheme="minorHAnsi" w:cs="Calibri"/>
          <w:szCs w:val="22"/>
          <w:lang w:val="el-GR"/>
        </w:rPr>
        <w:t>ανταγωνιστικό κόστος δανεισμού.</w:t>
      </w:r>
    </w:p>
    <w:p w:rsidR="00CC3917" w:rsidRPr="00CC3917" w:rsidRDefault="00CC3917" w:rsidP="00CC3917">
      <w:pPr>
        <w:pStyle w:val="a9"/>
        <w:numPr>
          <w:ilvl w:val="0"/>
          <w:numId w:val="14"/>
        </w:numPr>
        <w:tabs>
          <w:tab w:val="left" w:pos="426"/>
        </w:tabs>
        <w:spacing w:after="120" w:line="240" w:lineRule="auto"/>
        <w:rPr>
          <w:rFonts w:asciiTheme="minorHAnsi" w:hAnsiTheme="minorHAnsi"/>
          <w:szCs w:val="22"/>
          <w:lang w:val="el-GR"/>
        </w:rPr>
      </w:pPr>
      <w:r w:rsidRPr="00CC3917">
        <w:rPr>
          <w:rFonts w:asciiTheme="minorHAnsi" w:hAnsiTheme="minorHAnsi"/>
          <w:szCs w:val="22"/>
          <w:lang w:val="el-GR"/>
        </w:rPr>
        <w:t>Η Δημόσια Πρόταση Ανταλλαγής δεν σηματοδοτεί οποιαδήποτε αλλαγή στη στρατηγική κατεύθυνση του Ομίλου ΤΙΤΑΝ. Αντιθέτως, αναμένεται να αποτελέσει ένα ακόμη ορόσημο στη δυναμική πορεία ανάπτυξης του Ομίλου, αντικατοπτρίζοντας πλήρως το διεθνές αποτύπωμα και τις προοπτικές του.</w:t>
      </w:r>
    </w:p>
    <w:p w:rsidR="00CC3917" w:rsidRPr="00CC3917" w:rsidRDefault="00CC3917" w:rsidP="002F424E">
      <w:pPr>
        <w:pStyle w:val="af2"/>
        <w:numPr>
          <w:ilvl w:val="0"/>
          <w:numId w:val="14"/>
        </w:numPr>
        <w:shd w:val="clear" w:color="auto" w:fill="FFFFFF"/>
        <w:spacing w:after="120"/>
        <w:jc w:val="both"/>
        <w:rPr>
          <w:rFonts w:asciiTheme="minorHAnsi" w:hAnsiTheme="minorHAnsi" w:cs="Arial"/>
          <w:lang w:val="el-GR"/>
        </w:rPr>
      </w:pPr>
      <w:r w:rsidRPr="00CC3917">
        <w:rPr>
          <w:rFonts w:asciiTheme="minorHAnsi" w:hAnsiTheme="minorHAnsi"/>
          <w:lang w:val="el-GR"/>
        </w:rPr>
        <w:t xml:space="preserve">Η </w:t>
      </w:r>
      <w:r w:rsidR="001B6870">
        <w:rPr>
          <w:rFonts w:asciiTheme="minorHAnsi" w:hAnsiTheme="minorHAnsi"/>
          <w:lang w:val="el-GR"/>
        </w:rPr>
        <w:t xml:space="preserve">επιτυχής έκβαση της </w:t>
      </w:r>
      <w:r w:rsidRPr="00CC3917">
        <w:rPr>
          <w:rFonts w:asciiTheme="minorHAnsi" w:hAnsiTheme="minorHAnsi"/>
          <w:lang w:val="el-GR"/>
        </w:rPr>
        <w:t>Δημόσια</w:t>
      </w:r>
      <w:r w:rsidR="001B6870">
        <w:rPr>
          <w:rFonts w:asciiTheme="minorHAnsi" w:hAnsiTheme="minorHAnsi"/>
          <w:lang w:val="el-GR"/>
        </w:rPr>
        <w:t>ς</w:t>
      </w:r>
      <w:r w:rsidRPr="00CC3917">
        <w:rPr>
          <w:rFonts w:asciiTheme="minorHAnsi" w:hAnsiTheme="minorHAnsi"/>
          <w:lang w:val="el-GR"/>
        </w:rPr>
        <w:t xml:space="preserve"> Πρόταση</w:t>
      </w:r>
      <w:r w:rsidR="001B6870">
        <w:rPr>
          <w:rFonts w:asciiTheme="minorHAnsi" w:hAnsiTheme="minorHAnsi"/>
          <w:lang w:val="el-GR"/>
        </w:rPr>
        <w:t>ς</w:t>
      </w:r>
      <w:r w:rsidRPr="00CC3917">
        <w:rPr>
          <w:rFonts w:asciiTheme="minorHAnsi" w:hAnsiTheme="minorHAnsi"/>
          <w:lang w:val="el-GR"/>
        </w:rPr>
        <w:t xml:space="preserve"> Ανταλλαγής δεν θα επιφέρει οποιαδήποτε αλλαγή στο εύρος των λειτουργιών, τις επιχειρηματικές δραστηριότητες, τη στρατηγική και τις προτεραιότητες του Ομίλου ΤΙΤΑΝ. </w:t>
      </w:r>
      <w:r w:rsidRPr="00CC3917">
        <w:rPr>
          <w:rFonts w:asciiTheme="minorHAnsi" w:hAnsiTheme="minorHAnsi" w:cs="Arial"/>
          <w:lang w:val="el-GR"/>
        </w:rPr>
        <w:t xml:space="preserve"> Η υφιστάμενη διοικητική ομάδα θα συνεχίσει να</w:t>
      </w:r>
      <w:r w:rsidRPr="00CC3917">
        <w:rPr>
          <w:rFonts w:asciiTheme="minorHAnsi" w:hAnsiTheme="minorHAnsi"/>
          <w:lang w:val="el-GR"/>
        </w:rPr>
        <w:t xml:space="preserve"> ηγείται των επιχειρηματικών δραστηριοτήτων και της μακροπρόθεσμης στρατηγικής του.</w:t>
      </w:r>
    </w:p>
    <w:p w:rsidR="00CC3917" w:rsidRPr="00CC3917" w:rsidRDefault="00CC3917" w:rsidP="002F424E">
      <w:pPr>
        <w:pStyle w:val="af2"/>
        <w:numPr>
          <w:ilvl w:val="0"/>
          <w:numId w:val="14"/>
        </w:numPr>
        <w:shd w:val="clear" w:color="auto" w:fill="FFFFFF"/>
        <w:tabs>
          <w:tab w:val="left" w:pos="426"/>
        </w:tabs>
        <w:spacing w:after="120"/>
        <w:jc w:val="both"/>
        <w:rPr>
          <w:rFonts w:asciiTheme="minorHAnsi" w:hAnsiTheme="minorHAnsi"/>
          <w:lang w:val="el-GR"/>
        </w:rPr>
      </w:pPr>
      <w:r w:rsidRPr="00CC3917">
        <w:rPr>
          <w:rFonts w:asciiTheme="minorHAnsi" w:hAnsiTheme="minorHAnsi"/>
          <w:lang w:val="el-GR"/>
        </w:rPr>
        <w:t xml:space="preserve">Η παρουσία του Ομίλου ΤΙΤΑΝ στην Ελλάδα θα </w:t>
      </w:r>
      <w:r w:rsidR="001B6870">
        <w:rPr>
          <w:rFonts w:asciiTheme="minorHAnsi" w:hAnsiTheme="minorHAnsi"/>
          <w:lang w:val="el-GR"/>
        </w:rPr>
        <w:t>παραμείνει</w:t>
      </w:r>
      <w:r w:rsidRPr="00CC3917">
        <w:rPr>
          <w:rFonts w:asciiTheme="minorHAnsi" w:hAnsiTheme="minorHAnsi"/>
          <w:lang w:val="el-GR"/>
        </w:rPr>
        <w:t xml:space="preserve"> αμετάβλητη </w:t>
      </w:r>
      <w:r w:rsidR="001B6870">
        <w:rPr>
          <w:rFonts w:asciiTheme="minorHAnsi" w:hAnsiTheme="minorHAnsi"/>
          <w:lang w:val="el-GR"/>
        </w:rPr>
        <w:t>με δεδομένη τη διατήρηση</w:t>
      </w:r>
      <w:r w:rsidRPr="00CC3917">
        <w:rPr>
          <w:rFonts w:asciiTheme="minorHAnsi" w:hAnsiTheme="minorHAnsi"/>
          <w:lang w:val="el-GR"/>
        </w:rPr>
        <w:t xml:space="preserve"> της τοπικής παραγωγής, των επενδύσεων στις δραστηριότητες και το ανθρ</w:t>
      </w:r>
      <w:r w:rsidR="00A308B7">
        <w:rPr>
          <w:rFonts w:asciiTheme="minorHAnsi" w:hAnsiTheme="minorHAnsi"/>
          <w:lang w:val="el-GR"/>
        </w:rPr>
        <w:t>ώπινο δυναμικό του στη χώρα, της</w:t>
      </w:r>
      <w:r w:rsidRPr="00CC3917">
        <w:rPr>
          <w:rFonts w:asciiTheme="minorHAnsi" w:hAnsiTheme="minorHAnsi"/>
          <w:lang w:val="el-GR"/>
        </w:rPr>
        <w:t xml:space="preserve"> συνεχούς συνεισφοράς του στην τοπική οικονομία και κοινωνία, όπως και μέσω της δευτερογενούς διαπραγμάτευσης της ΤΙΤΑΝ στο Χρηματιστήριο Αθηνών. </w:t>
      </w:r>
    </w:p>
    <w:p w:rsidR="00CC3917" w:rsidRPr="00CC3917" w:rsidRDefault="008B45CA" w:rsidP="00CC3917">
      <w:pPr>
        <w:pStyle w:val="af2"/>
        <w:numPr>
          <w:ilvl w:val="0"/>
          <w:numId w:val="5"/>
        </w:numPr>
        <w:shd w:val="clear" w:color="auto" w:fill="FFFFFF"/>
        <w:tabs>
          <w:tab w:val="left" w:pos="426"/>
        </w:tabs>
        <w:spacing w:after="120"/>
        <w:ind w:left="426" w:hanging="426"/>
        <w:jc w:val="both"/>
        <w:rPr>
          <w:rFonts w:asciiTheme="minorHAnsi" w:hAnsiTheme="minorHAnsi"/>
          <w:lang w:val="el-GR"/>
        </w:rPr>
      </w:pPr>
      <w:r>
        <w:rPr>
          <w:rFonts w:asciiTheme="minorHAnsi" w:hAnsiTheme="minorHAnsi"/>
          <w:lang w:val="el-GR"/>
        </w:rPr>
        <w:t>Η</w:t>
      </w:r>
      <w:r w:rsidRPr="00CC3917">
        <w:rPr>
          <w:rFonts w:asciiTheme="minorHAnsi" w:hAnsiTheme="minorHAnsi"/>
          <w:lang w:val="el-GR"/>
        </w:rPr>
        <w:t xml:space="preserve"> </w:t>
      </w:r>
      <w:r w:rsidRPr="00CC3917">
        <w:rPr>
          <w:rFonts w:asciiTheme="minorHAnsi" w:hAnsiTheme="minorHAnsi"/>
        </w:rPr>
        <w:t>TITAN</w:t>
      </w:r>
      <w:r w:rsidRPr="00CC3917">
        <w:rPr>
          <w:rFonts w:asciiTheme="minorHAnsi" w:hAnsiTheme="minorHAnsi"/>
          <w:lang w:val="el-GR"/>
        </w:rPr>
        <w:t xml:space="preserve"> </w:t>
      </w:r>
      <w:r w:rsidRPr="00CC3917">
        <w:rPr>
          <w:rFonts w:asciiTheme="minorHAnsi" w:hAnsiTheme="minorHAnsi"/>
        </w:rPr>
        <w:t>Cement</w:t>
      </w:r>
      <w:r w:rsidRPr="00CC3917">
        <w:rPr>
          <w:rFonts w:asciiTheme="minorHAnsi" w:hAnsiTheme="minorHAnsi"/>
          <w:lang w:val="el-GR"/>
        </w:rPr>
        <w:t xml:space="preserve"> </w:t>
      </w:r>
      <w:r w:rsidRPr="00CC3917">
        <w:rPr>
          <w:rFonts w:asciiTheme="minorHAnsi" w:hAnsiTheme="minorHAnsi"/>
        </w:rPr>
        <w:t>International</w:t>
      </w:r>
      <w:r w:rsidRPr="00CC3917">
        <w:rPr>
          <w:rFonts w:asciiTheme="minorHAnsi" w:hAnsiTheme="minorHAnsi"/>
          <w:lang w:val="el-GR"/>
        </w:rPr>
        <w:t xml:space="preserve"> πιστεύει ότι ο Όμιλος ΤΙΤΑΝ</w:t>
      </w:r>
      <w:r>
        <w:rPr>
          <w:rFonts w:asciiTheme="minorHAnsi" w:hAnsiTheme="minorHAnsi"/>
          <w:lang w:val="el-GR"/>
        </w:rPr>
        <w:t>, δραστηριοποιούμενος</w:t>
      </w:r>
      <w:r w:rsidR="00CC3917" w:rsidRPr="00CC3917">
        <w:rPr>
          <w:rFonts w:asciiTheme="minorHAnsi" w:hAnsiTheme="minorHAnsi"/>
          <w:lang w:val="el-GR"/>
        </w:rPr>
        <w:t xml:space="preserve"> σε ένα διεθνές περιβάλλον εντεινόμενου ανταγωνισμού, αυξημένης αβεβαιότητας και πολλαπλών προκλήσεων, σε έναν κλάδο εντάσεως κεφαλαίου όπου η πρόσβαση σε κεφάλαια είναι καθοριστικής σημασίας για τη μελλοντική ανάπτυξη, χρειάζεται να προβεί σε ενέργειες που θα διευκόλυναν την πρόσβασή του σε χρηματοδότηση υπό όρους ανάλογους με αυτούς που προσφέρονται στους ανταγωνιστές του. Η Δημόσια Πρόταση Ανταλλαγής σκοπό έχει να διευκολύνει τη συνέχιση της εξωστρεφούς πορείας του Ομίλου ΤΙΤΑΝ, ενισχύοντας το διεθνή χαρακτήρα του και επιτρέποντάς του να χρηματοδοτήσει την στρατηγική ανάπτυξή του με περισσότερο ανταγωνιστικούς όρους.</w:t>
      </w:r>
    </w:p>
    <w:p w:rsidR="00CC3917" w:rsidRPr="00CC3917" w:rsidRDefault="00CC3917" w:rsidP="00CC3917">
      <w:pPr>
        <w:pStyle w:val="af2"/>
        <w:numPr>
          <w:ilvl w:val="0"/>
          <w:numId w:val="5"/>
        </w:numPr>
        <w:tabs>
          <w:tab w:val="left" w:pos="567"/>
        </w:tabs>
        <w:spacing w:after="120"/>
        <w:ind w:left="426" w:hanging="426"/>
        <w:jc w:val="both"/>
        <w:rPr>
          <w:rFonts w:asciiTheme="minorHAnsi" w:hAnsiTheme="minorHAnsi"/>
          <w:lang w:val="el-GR"/>
        </w:rPr>
      </w:pPr>
      <w:r w:rsidRPr="00CC3917">
        <w:rPr>
          <w:rFonts w:asciiTheme="minorHAnsi" w:hAnsiTheme="minorHAnsi"/>
          <w:lang w:val="el-GR"/>
        </w:rPr>
        <w:t xml:space="preserve">Η </w:t>
      </w:r>
      <w:r w:rsidR="008B45CA">
        <w:rPr>
          <w:rFonts w:asciiTheme="minorHAnsi" w:hAnsiTheme="minorHAnsi"/>
          <w:lang w:val="el-GR"/>
        </w:rPr>
        <w:t>καταστατική</w:t>
      </w:r>
      <w:r w:rsidRPr="00CC3917">
        <w:rPr>
          <w:rFonts w:asciiTheme="minorHAnsi" w:hAnsiTheme="minorHAnsi"/>
          <w:lang w:val="el-GR"/>
        </w:rPr>
        <w:t xml:space="preserve"> έδρα της TITAN </w:t>
      </w:r>
      <w:proofErr w:type="spellStart"/>
      <w:r w:rsidRPr="00CC3917">
        <w:rPr>
          <w:rFonts w:asciiTheme="minorHAnsi" w:hAnsiTheme="minorHAnsi"/>
          <w:lang w:val="el-GR"/>
        </w:rPr>
        <w:t>Cement</w:t>
      </w:r>
      <w:proofErr w:type="spellEnd"/>
      <w:r w:rsidRPr="00CC3917">
        <w:rPr>
          <w:rFonts w:asciiTheme="minorHAnsi" w:hAnsiTheme="minorHAnsi"/>
          <w:lang w:val="el-GR"/>
        </w:rPr>
        <w:t xml:space="preserve"> </w:t>
      </w:r>
      <w:proofErr w:type="spellStart"/>
      <w:r w:rsidRPr="00CC3917">
        <w:rPr>
          <w:rFonts w:asciiTheme="minorHAnsi" w:hAnsiTheme="minorHAnsi"/>
          <w:lang w:val="el-GR"/>
        </w:rPr>
        <w:t>International</w:t>
      </w:r>
      <w:proofErr w:type="spellEnd"/>
      <w:r w:rsidRPr="00CC3917">
        <w:rPr>
          <w:rFonts w:asciiTheme="minorHAnsi" w:hAnsiTheme="minorHAnsi"/>
          <w:lang w:val="el-GR"/>
        </w:rPr>
        <w:t xml:space="preserve"> είναι στο Βέλγιο, μία χώρα που βρίσκεται στο κέντρο της Ευρωπαϊκής Ένωσης, </w:t>
      </w:r>
      <w:r w:rsidR="008B45CA">
        <w:rPr>
          <w:rFonts w:asciiTheme="minorHAnsi" w:hAnsiTheme="minorHAnsi"/>
          <w:lang w:val="el-GR"/>
        </w:rPr>
        <w:t>ενώ η διοίκησή της θα ασκείται από την</w:t>
      </w:r>
      <w:r w:rsidRPr="00CC3917">
        <w:rPr>
          <w:rFonts w:asciiTheme="minorHAnsi" w:hAnsiTheme="minorHAnsi"/>
          <w:lang w:val="el-GR"/>
        </w:rPr>
        <w:t xml:space="preserve"> Κύπρο, χώρα στην οποία ο Όμιλος ΤΙΤΑΝ έχει πολύχρονη παρουσία και εμπειρία.</w:t>
      </w:r>
    </w:p>
    <w:p w:rsidR="00CC3917" w:rsidRPr="00CC3917" w:rsidRDefault="00CC3917" w:rsidP="00CC3917">
      <w:pPr>
        <w:pStyle w:val="a9"/>
        <w:numPr>
          <w:ilvl w:val="0"/>
          <w:numId w:val="5"/>
        </w:numPr>
        <w:tabs>
          <w:tab w:val="left" w:pos="426"/>
          <w:tab w:val="left" w:pos="567"/>
        </w:tabs>
        <w:spacing w:after="120" w:line="240" w:lineRule="auto"/>
        <w:ind w:left="426" w:hanging="426"/>
        <w:rPr>
          <w:rFonts w:asciiTheme="minorHAnsi" w:hAnsiTheme="minorHAnsi"/>
          <w:szCs w:val="22"/>
          <w:lang w:val="el-GR"/>
        </w:rPr>
      </w:pPr>
      <w:r w:rsidRPr="00CC3917">
        <w:rPr>
          <w:rFonts w:asciiTheme="minorHAnsi" w:hAnsiTheme="minorHAnsi"/>
          <w:szCs w:val="22"/>
          <w:lang w:val="el-GR"/>
        </w:rPr>
        <w:t xml:space="preserve">Κατά την εισαγωγή των μετοχών της στο </w:t>
      </w:r>
      <w:r w:rsidRPr="00CC3917">
        <w:rPr>
          <w:rFonts w:asciiTheme="minorHAnsi" w:hAnsiTheme="minorHAnsi"/>
          <w:szCs w:val="22"/>
          <w:lang w:val="en-US"/>
        </w:rPr>
        <w:t>Euronext</w:t>
      </w:r>
      <w:r w:rsidRPr="00CC3917">
        <w:rPr>
          <w:rFonts w:asciiTheme="minorHAnsi" w:hAnsiTheme="minorHAnsi"/>
          <w:szCs w:val="22"/>
          <w:lang w:val="el-GR"/>
        </w:rPr>
        <w:t xml:space="preserve"> Βρυξελλών, η TITAN </w:t>
      </w:r>
      <w:proofErr w:type="spellStart"/>
      <w:r w:rsidRPr="00CC3917">
        <w:rPr>
          <w:rFonts w:asciiTheme="minorHAnsi" w:hAnsiTheme="minorHAnsi"/>
          <w:szCs w:val="22"/>
          <w:lang w:val="el-GR"/>
        </w:rPr>
        <w:t>Cement</w:t>
      </w:r>
      <w:proofErr w:type="spellEnd"/>
      <w:r w:rsidRPr="00CC3917">
        <w:rPr>
          <w:rFonts w:asciiTheme="minorHAnsi" w:hAnsiTheme="minorHAnsi"/>
          <w:szCs w:val="22"/>
          <w:lang w:val="el-GR"/>
        </w:rPr>
        <w:t xml:space="preserve"> </w:t>
      </w:r>
      <w:proofErr w:type="spellStart"/>
      <w:r w:rsidRPr="00CC3917">
        <w:rPr>
          <w:rFonts w:asciiTheme="minorHAnsi" w:hAnsiTheme="minorHAnsi"/>
          <w:szCs w:val="22"/>
          <w:lang w:val="el-GR"/>
        </w:rPr>
        <w:t>International</w:t>
      </w:r>
      <w:proofErr w:type="spellEnd"/>
      <w:r w:rsidRPr="00CC3917">
        <w:rPr>
          <w:rFonts w:asciiTheme="minorHAnsi" w:hAnsiTheme="minorHAnsi"/>
          <w:szCs w:val="22"/>
          <w:lang w:val="el-GR"/>
        </w:rPr>
        <w:t xml:space="preserve"> θα υιοθετήσει τον κώδικα εταιρικής διακυβέρνησης του Βελγίου</w:t>
      </w:r>
      <w:r w:rsidR="00BE4182">
        <w:rPr>
          <w:rFonts w:asciiTheme="minorHAnsi" w:hAnsiTheme="minorHAnsi"/>
          <w:szCs w:val="22"/>
          <w:lang w:val="el-GR"/>
        </w:rPr>
        <w:t xml:space="preserve"> βάσει της Οδηγίας 2013/34/ΕΕ</w:t>
      </w:r>
      <w:r w:rsidRPr="00CC3917">
        <w:rPr>
          <w:rFonts w:asciiTheme="minorHAnsi" w:hAnsiTheme="minorHAnsi"/>
          <w:szCs w:val="22"/>
          <w:lang w:val="el-GR"/>
        </w:rPr>
        <w:t>.</w:t>
      </w:r>
    </w:p>
    <w:p w:rsidR="00CC3917" w:rsidRPr="00CC3917" w:rsidRDefault="00CC3917" w:rsidP="00CC3917">
      <w:pPr>
        <w:pStyle w:val="a9"/>
        <w:numPr>
          <w:ilvl w:val="0"/>
          <w:numId w:val="8"/>
        </w:numPr>
        <w:spacing w:after="120" w:line="240" w:lineRule="auto"/>
        <w:ind w:left="426"/>
        <w:rPr>
          <w:rFonts w:asciiTheme="minorHAnsi" w:hAnsiTheme="minorHAnsi"/>
          <w:b/>
          <w:szCs w:val="22"/>
          <w:lang w:val="el-GR"/>
        </w:rPr>
      </w:pPr>
      <w:r w:rsidRPr="00CC3917">
        <w:rPr>
          <w:rFonts w:asciiTheme="minorHAnsi" w:hAnsiTheme="minorHAnsi"/>
          <w:szCs w:val="22"/>
          <w:lang w:val="el-GR"/>
        </w:rPr>
        <w:t xml:space="preserve">Η θέση σε ισχύ της Δημόσιας </w:t>
      </w:r>
      <w:r w:rsidRPr="00CC3917">
        <w:rPr>
          <w:rFonts w:asciiTheme="minorHAnsi" w:hAnsiTheme="minorHAnsi"/>
          <w:bCs/>
          <w:szCs w:val="22"/>
          <w:lang w:val="el-GR"/>
        </w:rPr>
        <w:t xml:space="preserve">Πρότασης Ανταλλαγής </w:t>
      </w:r>
      <w:r w:rsidRPr="00CC3917">
        <w:rPr>
          <w:rFonts w:asciiTheme="minorHAnsi" w:hAnsiTheme="minorHAnsi"/>
          <w:szCs w:val="22"/>
          <w:lang w:val="el-GR"/>
        </w:rPr>
        <w:t>τελεί υπό τις ακόλουθες αιρέσεις:</w:t>
      </w:r>
    </w:p>
    <w:p w:rsidR="00CC3917" w:rsidRPr="00CC3917" w:rsidRDefault="00CC3917" w:rsidP="00CC3917">
      <w:pPr>
        <w:pStyle w:val="a9"/>
        <w:spacing w:after="120" w:line="240" w:lineRule="auto"/>
        <w:ind w:left="1440" w:hanging="720"/>
        <w:rPr>
          <w:rFonts w:asciiTheme="minorHAnsi" w:hAnsiTheme="minorHAnsi"/>
          <w:szCs w:val="22"/>
          <w:lang w:val="el-GR"/>
        </w:rPr>
      </w:pPr>
      <w:r w:rsidRPr="00CC3917">
        <w:rPr>
          <w:rFonts w:asciiTheme="minorHAnsi" w:hAnsiTheme="minorHAnsi"/>
          <w:szCs w:val="22"/>
          <w:lang w:val="el-GR"/>
        </w:rPr>
        <w:t>(α)</w:t>
      </w:r>
      <w:r w:rsidRPr="00CC3917">
        <w:rPr>
          <w:rFonts w:asciiTheme="minorHAnsi" w:hAnsiTheme="minorHAnsi"/>
          <w:szCs w:val="22"/>
          <w:lang w:val="el-GR"/>
        </w:rPr>
        <w:tab/>
        <w:t xml:space="preserve">την έγκριση από την </w:t>
      </w:r>
      <w:r w:rsidRPr="00CC3917">
        <w:rPr>
          <w:rFonts w:asciiTheme="minorHAnsi" w:hAnsiTheme="minorHAnsi" w:cs="Calibri"/>
          <w:szCs w:val="22"/>
          <w:lang w:val="el-GR"/>
        </w:rPr>
        <w:t>βελγική Αρχή Εποπτείας Χρηματοοικονομικών Υπηρεσιών και Αγορών</w:t>
      </w:r>
      <w:r w:rsidRPr="00CC3917" w:rsidDel="00D35999">
        <w:rPr>
          <w:rFonts w:asciiTheme="minorHAnsi" w:hAnsiTheme="minorHAnsi"/>
          <w:szCs w:val="22"/>
          <w:lang w:val="el-GR"/>
        </w:rPr>
        <w:t xml:space="preserve"> </w:t>
      </w:r>
      <w:r w:rsidRPr="00CC3917">
        <w:rPr>
          <w:rFonts w:asciiTheme="minorHAnsi" w:hAnsiTheme="minorHAnsi"/>
          <w:szCs w:val="22"/>
          <w:lang w:val="el-GR"/>
        </w:rPr>
        <w:t>(</w:t>
      </w:r>
      <w:r w:rsidRPr="00CC3917">
        <w:rPr>
          <w:rFonts w:asciiTheme="minorHAnsi" w:hAnsiTheme="minorHAnsi"/>
          <w:i/>
          <w:szCs w:val="22"/>
        </w:rPr>
        <w:t>Financial</w:t>
      </w:r>
      <w:r w:rsidRPr="00CC3917">
        <w:rPr>
          <w:rFonts w:asciiTheme="minorHAnsi" w:hAnsiTheme="minorHAnsi"/>
          <w:i/>
          <w:szCs w:val="22"/>
          <w:lang w:val="el-GR"/>
        </w:rPr>
        <w:t xml:space="preserve"> </w:t>
      </w:r>
      <w:r w:rsidRPr="00CC3917">
        <w:rPr>
          <w:rFonts w:asciiTheme="minorHAnsi" w:hAnsiTheme="minorHAnsi"/>
          <w:i/>
          <w:szCs w:val="22"/>
        </w:rPr>
        <w:t>Services</w:t>
      </w:r>
      <w:r w:rsidRPr="00CC3917">
        <w:rPr>
          <w:rFonts w:asciiTheme="minorHAnsi" w:hAnsiTheme="minorHAnsi"/>
          <w:i/>
          <w:szCs w:val="22"/>
          <w:lang w:val="el-GR"/>
        </w:rPr>
        <w:t xml:space="preserve"> </w:t>
      </w:r>
      <w:r w:rsidRPr="00CC3917">
        <w:rPr>
          <w:rFonts w:asciiTheme="minorHAnsi" w:hAnsiTheme="minorHAnsi"/>
          <w:i/>
          <w:szCs w:val="22"/>
        </w:rPr>
        <w:t>and</w:t>
      </w:r>
      <w:r w:rsidRPr="00CC3917">
        <w:rPr>
          <w:rFonts w:asciiTheme="minorHAnsi" w:hAnsiTheme="minorHAnsi"/>
          <w:i/>
          <w:szCs w:val="22"/>
          <w:lang w:val="el-GR"/>
        </w:rPr>
        <w:t xml:space="preserve"> </w:t>
      </w:r>
      <w:r w:rsidRPr="00CC3917">
        <w:rPr>
          <w:rFonts w:asciiTheme="minorHAnsi" w:hAnsiTheme="minorHAnsi"/>
          <w:i/>
          <w:szCs w:val="22"/>
        </w:rPr>
        <w:t>Markets</w:t>
      </w:r>
      <w:r w:rsidRPr="00CC3917">
        <w:rPr>
          <w:rFonts w:asciiTheme="minorHAnsi" w:hAnsiTheme="minorHAnsi"/>
          <w:i/>
          <w:szCs w:val="22"/>
          <w:lang w:val="el-GR"/>
        </w:rPr>
        <w:t xml:space="preserve"> </w:t>
      </w:r>
      <w:r w:rsidRPr="00CC3917">
        <w:rPr>
          <w:rFonts w:asciiTheme="minorHAnsi" w:hAnsiTheme="minorHAnsi"/>
          <w:i/>
          <w:szCs w:val="22"/>
        </w:rPr>
        <w:t>Authority</w:t>
      </w:r>
      <w:r w:rsidRPr="00CC3917">
        <w:rPr>
          <w:rFonts w:asciiTheme="minorHAnsi" w:hAnsiTheme="minorHAnsi"/>
          <w:szCs w:val="22"/>
          <w:lang w:val="el-GR"/>
        </w:rPr>
        <w:t>, εφεξής «</w:t>
      </w:r>
      <w:r w:rsidRPr="00CC3917">
        <w:rPr>
          <w:rFonts w:asciiTheme="minorHAnsi" w:hAnsiTheme="minorHAnsi"/>
          <w:b/>
          <w:szCs w:val="22"/>
        </w:rPr>
        <w:t>FSMA</w:t>
      </w:r>
      <w:r w:rsidRPr="00CC3917">
        <w:rPr>
          <w:rFonts w:asciiTheme="minorHAnsi" w:hAnsiTheme="minorHAnsi"/>
          <w:szCs w:val="22"/>
          <w:lang w:val="el-GR"/>
        </w:rPr>
        <w:t xml:space="preserve">») του ενημερωτικού δελτίου που κατήρτισε </w:t>
      </w:r>
      <w:r w:rsidR="00443AE4">
        <w:rPr>
          <w:rFonts w:asciiTheme="minorHAnsi" w:hAnsiTheme="minorHAnsi"/>
          <w:szCs w:val="22"/>
          <w:lang w:val="el-GR"/>
        </w:rPr>
        <w:t xml:space="preserve">και υπέβαλε </w:t>
      </w:r>
      <w:r w:rsidRPr="00CC3917">
        <w:rPr>
          <w:rFonts w:asciiTheme="minorHAnsi" w:hAnsiTheme="minorHAnsi"/>
          <w:szCs w:val="22"/>
          <w:lang w:val="el-GR"/>
        </w:rPr>
        <w:t xml:space="preserve">η </w:t>
      </w:r>
      <w:r w:rsidRPr="00CC3917">
        <w:rPr>
          <w:rFonts w:asciiTheme="minorHAnsi" w:hAnsiTheme="minorHAnsi"/>
          <w:szCs w:val="22"/>
        </w:rPr>
        <w:t>TITAN</w:t>
      </w:r>
      <w:r w:rsidRPr="00CC3917">
        <w:rPr>
          <w:rFonts w:asciiTheme="minorHAnsi" w:hAnsiTheme="minorHAnsi"/>
          <w:szCs w:val="22"/>
          <w:lang w:val="el-GR"/>
        </w:rPr>
        <w:t xml:space="preserve"> </w:t>
      </w:r>
      <w:r w:rsidRPr="00CC3917">
        <w:rPr>
          <w:rFonts w:asciiTheme="minorHAnsi" w:hAnsiTheme="minorHAnsi"/>
          <w:szCs w:val="22"/>
        </w:rPr>
        <w:t>Cement</w:t>
      </w:r>
      <w:r w:rsidRPr="00CC3917">
        <w:rPr>
          <w:rFonts w:asciiTheme="minorHAnsi" w:hAnsiTheme="minorHAnsi"/>
          <w:szCs w:val="22"/>
          <w:lang w:val="el-GR"/>
        </w:rPr>
        <w:t xml:space="preserve"> </w:t>
      </w:r>
      <w:r w:rsidRPr="00CC3917">
        <w:rPr>
          <w:rFonts w:asciiTheme="minorHAnsi" w:hAnsiTheme="minorHAnsi"/>
          <w:szCs w:val="22"/>
        </w:rPr>
        <w:t>International</w:t>
      </w:r>
      <w:r w:rsidRPr="00CC3917">
        <w:rPr>
          <w:rFonts w:asciiTheme="minorHAnsi" w:hAnsiTheme="minorHAnsi"/>
          <w:szCs w:val="22"/>
          <w:lang w:val="el-GR"/>
        </w:rPr>
        <w:t xml:space="preserve"> σε σχέση με τη δημόσια προσφορά των Μετοχών του Ανταλλάγματος και την εισαγωγή</w:t>
      </w:r>
      <w:r w:rsidRPr="00CC3917">
        <w:rPr>
          <w:rFonts w:asciiTheme="minorHAnsi" w:hAnsiTheme="minorHAnsi"/>
          <w:bCs/>
          <w:szCs w:val="22"/>
          <w:lang w:val="el-GR"/>
        </w:rPr>
        <w:t xml:space="preserve"> </w:t>
      </w:r>
      <w:r w:rsidRPr="00CC3917">
        <w:rPr>
          <w:rFonts w:asciiTheme="minorHAnsi" w:hAnsiTheme="minorHAnsi"/>
          <w:szCs w:val="22"/>
          <w:lang w:val="el-GR"/>
        </w:rPr>
        <w:t xml:space="preserve">όλων των μετοχών της στο </w:t>
      </w:r>
      <w:r w:rsidRPr="00CC3917">
        <w:rPr>
          <w:rFonts w:asciiTheme="minorHAnsi" w:hAnsiTheme="minorHAnsi"/>
          <w:szCs w:val="22"/>
        </w:rPr>
        <w:t>Euronext</w:t>
      </w:r>
      <w:r w:rsidRPr="00CC3917">
        <w:rPr>
          <w:rFonts w:asciiTheme="minorHAnsi" w:hAnsiTheme="minorHAnsi"/>
          <w:szCs w:val="22"/>
          <w:lang w:val="el-GR"/>
        </w:rPr>
        <w:t xml:space="preserve"> Βρυξελλών (εφεξής «</w:t>
      </w:r>
      <w:r w:rsidRPr="00CC3917">
        <w:rPr>
          <w:rFonts w:asciiTheme="minorHAnsi" w:hAnsiTheme="minorHAnsi"/>
          <w:b/>
          <w:szCs w:val="22"/>
          <w:lang w:val="el-GR"/>
        </w:rPr>
        <w:t>Ενημερωτικό Δελτίο</w:t>
      </w:r>
      <w:r w:rsidRPr="00CC3917">
        <w:rPr>
          <w:rFonts w:asciiTheme="minorHAnsi" w:hAnsiTheme="minorHAnsi"/>
          <w:szCs w:val="22"/>
          <w:lang w:val="el-GR"/>
        </w:rPr>
        <w:t>»), καθώς και τη διαβίβαση σύμφωνα με τις διατάξεις περί "ενιαίου διαβατηρίου" (</w:t>
      </w:r>
      <w:proofErr w:type="spellStart"/>
      <w:r w:rsidRPr="00CC3917">
        <w:rPr>
          <w:rFonts w:asciiTheme="minorHAnsi" w:hAnsiTheme="minorHAnsi"/>
          <w:i/>
          <w:szCs w:val="22"/>
          <w:lang w:val="en-US"/>
        </w:rPr>
        <w:t>passporting</w:t>
      </w:r>
      <w:proofErr w:type="spellEnd"/>
      <w:r w:rsidRPr="00CC3917">
        <w:rPr>
          <w:rFonts w:asciiTheme="minorHAnsi" w:hAnsiTheme="minorHAnsi"/>
          <w:szCs w:val="22"/>
          <w:lang w:val="el-GR"/>
        </w:rPr>
        <w:t xml:space="preserve">) του εγκεκριμένου Ενημερωτικού Δελτίου στην </w:t>
      </w:r>
      <w:r w:rsidR="00A308B7" w:rsidRPr="00CC3917">
        <w:rPr>
          <w:rFonts w:asciiTheme="minorHAnsi" w:hAnsiTheme="minorHAnsi"/>
          <w:szCs w:val="22"/>
          <w:lang w:val="el-GR"/>
        </w:rPr>
        <w:t>Επιτροπή Κεφαλαιαγοράς («</w:t>
      </w:r>
      <w:r w:rsidR="00A308B7" w:rsidRPr="00CC3917">
        <w:rPr>
          <w:rFonts w:asciiTheme="minorHAnsi" w:hAnsiTheme="minorHAnsi"/>
          <w:b/>
          <w:szCs w:val="22"/>
          <w:lang w:val="el-GR"/>
        </w:rPr>
        <w:t>ΕΚ</w:t>
      </w:r>
      <w:r w:rsidR="00A308B7" w:rsidRPr="00CC3917">
        <w:rPr>
          <w:rFonts w:asciiTheme="minorHAnsi" w:hAnsiTheme="minorHAnsi"/>
          <w:szCs w:val="22"/>
          <w:lang w:val="el-GR"/>
        </w:rPr>
        <w:t>»)</w:t>
      </w:r>
      <w:r w:rsidRPr="00CC3917">
        <w:rPr>
          <w:rFonts w:asciiTheme="minorHAnsi" w:hAnsiTheme="minorHAnsi"/>
          <w:szCs w:val="22"/>
          <w:lang w:val="el-GR"/>
        </w:rPr>
        <w:t xml:space="preserve">, και </w:t>
      </w:r>
    </w:p>
    <w:p w:rsidR="00CC3917" w:rsidRPr="00CC3917" w:rsidRDefault="00CC3917" w:rsidP="00CC3917">
      <w:pPr>
        <w:pStyle w:val="a9"/>
        <w:spacing w:after="120" w:line="240" w:lineRule="auto"/>
        <w:ind w:left="1440" w:hanging="720"/>
        <w:rPr>
          <w:rFonts w:asciiTheme="minorHAnsi" w:hAnsiTheme="minorHAnsi"/>
          <w:b/>
          <w:szCs w:val="22"/>
          <w:lang w:val="el-GR"/>
        </w:rPr>
      </w:pPr>
      <w:r w:rsidRPr="00CC3917">
        <w:rPr>
          <w:rFonts w:asciiTheme="minorHAnsi" w:hAnsiTheme="minorHAnsi"/>
          <w:szCs w:val="22"/>
          <w:lang w:val="el-GR"/>
        </w:rPr>
        <w:t>(β)</w:t>
      </w:r>
      <w:r w:rsidRPr="00CC3917">
        <w:rPr>
          <w:rFonts w:asciiTheme="minorHAnsi" w:hAnsiTheme="minorHAnsi"/>
          <w:szCs w:val="22"/>
          <w:lang w:val="el-GR"/>
        </w:rPr>
        <w:tab/>
        <w:t xml:space="preserve">την έγκριση από την </w:t>
      </w:r>
      <w:r w:rsidR="00A308B7">
        <w:rPr>
          <w:rFonts w:asciiTheme="minorHAnsi" w:hAnsiTheme="minorHAnsi"/>
          <w:szCs w:val="22"/>
          <w:lang w:val="el-GR"/>
        </w:rPr>
        <w:t>ΕΚ</w:t>
      </w:r>
      <w:r w:rsidRPr="00CC3917">
        <w:rPr>
          <w:rFonts w:asciiTheme="minorHAnsi" w:hAnsiTheme="minorHAnsi"/>
          <w:szCs w:val="22"/>
          <w:lang w:val="el-GR"/>
        </w:rPr>
        <w:t xml:space="preserve"> του πληροφοριακού δελτίου που έχει καταρτίσει η </w:t>
      </w:r>
      <w:r w:rsidRPr="00CC3917">
        <w:rPr>
          <w:rFonts w:asciiTheme="minorHAnsi" w:hAnsiTheme="minorHAnsi"/>
          <w:szCs w:val="22"/>
        </w:rPr>
        <w:t>TITAN</w:t>
      </w:r>
      <w:r w:rsidRPr="00CC3917">
        <w:rPr>
          <w:rFonts w:asciiTheme="minorHAnsi" w:hAnsiTheme="minorHAnsi"/>
          <w:szCs w:val="22"/>
          <w:lang w:val="el-GR"/>
        </w:rPr>
        <w:t xml:space="preserve"> </w:t>
      </w:r>
      <w:r w:rsidRPr="00CC3917">
        <w:rPr>
          <w:rFonts w:asciiTheme="minorHAnsi" w:hAnsiTheme="minorHAnsi"/>
          <w:szCs w:val="22"/>
        </w:rPr>
        <w:t>Cement</w:t>
      </w:r>
      <w:r w:rsidRPr="00CC3917">
        <w:rPr>
          <w:rFonts w:asciiTheme="minorHAnsi" w:hAnsiTheme="minorHAnsi"/>
          <w:szCs w:val="22"/>
          <w:lang w:val="el-GR"/>
        </w:rPr>
        <w:t xml:space="preserve"> </w:t>
      </w:r>
      <w:r w:rsidRPr="00CC3917">
        <w:rPr>
          <w:rFonts w:asciiTheme="minorHAnsi" w:hAnsiTheme="minorHAnsi"/>
          <w:szCs w:val="22"/>
        </w:rPr>
        <w:t>International</w:t>
      </w:r>
      <w:r w:rsidRPr="00CC3917">
        <w:rPr>
          <w:rFonts w:asciiTheme="minorHAnsi" w:hAnsiTheme="minorHAnsi"/>
          <w:szCs w:val="22"/>
          <w:lang w:val="el-GR"/>
        </w:rPr>
        <w:t xml:space="preserve"> σε σχέση με την Δημόσια </w:t>
      </w:r>
      <w:r w:rsidRPr="00CC3917">
        <w:rPr>
          <w:rFonts w:asciiTheme="minorHAnsi" w:hAnsiTheme="minorHAnsi"/>
          <w:bCs/>
          <w:szCs w:val="22"/>
          <w:lang w:val="el-GR"/>
        </w:rPr>
        <w:t xml:space="preserve">Πρόταση Ανταλλαγής </w:t>
      </w:r>
      <w:r w:rsidRPr="00CC3917">
        <w:rPr>
          <w:rFonts w:asciiTheme="minorHAnsi" w:hAnsiTheme="minorHAnsi"/>
          <w:szCs w:val="22"/>
          <w:lang w:val="el-GR"/>
        </w:rPr>
        <w:t>σύμφωνα με το Νόμο (εφεξής «</w:t>
      </w:r>
      <w:r w:rsidRPr="00CC3917">
        <w:rPr>
          <w:rFonts w:asciiTheme="minorHAnsi" w:hAnsiTheme="minorHAnsi"/>
          <w:b/>
          <w:szCs w:val="22"/>
          <w:lang w:val="el-GR"/>
        </w:rPr>
        <w:t>Πληροφοριακό Δελτίο</w:t>
      </w:r>
      <w:r w:rsidRPr="00CC3917">
        <w:rPr>
          <w:rFonts w:asciiTheme="minorHAnsi" w:hAnsiTheme="minorHAnsi"/>
          <w:szCs w:val="22"/>
          <w:lang w:val="el-GR"/>
        </w:rPr>
        <w:t>»).</w:t>
      </w:r>
    </w:p>
    <w:p w:rsidR="00CC3917" w:rsidRPr="00CC3917" w:rsidRDefault="00CC3917" w:rsidP="00CC3917">
      <w:pPr>
        <w:pStyle w:val="af2"/>
        <w:numPr>
          <w:ilvl w:val="0"/>
          <w:numId w:val="8"/>
        </w:numPr>
        <w:tabs>
          <w:tab w:val="left" w:pos="426"/>
        </w:tabs>
        <w:spacing w:after="120"/>
        <w:ind w:left="426"/>
        <w:jc w:val="both"/>
        <w:rPr>
          <w:rFonts w:asciiTheme="minorHAnsi" w:hAnsiTheme="minorHAnsi"/>
          <w:bCs/>
          <w:lang w:val="el-GR"/>
        </w:rPr>
      </w:pPr>
      <w:r w:rsidRPr="00CC3917">
        <w:rPr>
          <w:rFonts w:asciiTheme="minorHAnsi" w:hAnsiTheme="minorHAnsi"/>
          <w:lang w:val="el-GR"/>
        </w:rPr>
        <w:t xml:space="preserve">Η ολοκλήρωση της Δημόσιας </w:t>
      </w:r>
      <w:r w:rsidRPr="00CC3917">
        <w:rPr>
          <w:rFonts w:asciiTheme="minorHAnsi" w:hAnsiTheme="minorHAnsi"/>
          <w:bCs/>
          <w:lang w:val="el-GR"/>
        </w:rPr>
        <w:t xml:space="preserve">Πρότασης Ανταλλαγής </w:t>
      </w:r>
      <w:r w:rsidRPr="00CC3917">
        <w:rPr>
          <w:rFonts w:asciiTheme="minorHAnsi" w:hAnsiTheme="minorHAnsi"/>
          <w:lang w:val="el-GR"/>
        </w:rPr>
        <w:t xml:space="preserve">τελεί υπό την προϋπόθεση ότι το </w:t>
      </w:r>
      <w:r w:rsidRPr="00CC3917">
        <w:rPr>
          <w:rFonts w:asciiTheme="minorHAnsi" w:hAnsiTheme="minorHAnsi"/>
        </w:rPr>
        <w:t>Euronext</w:t>
      </w:r>
      <w:r w:rsidRPr="00CC3917">
        <w:rPr>
          <w:rFonts w:asciiTheme="minorHAnsi" w:hAnsiTheme="minorHAnsi"/>
          <w:lang w:val="el-GR"/>
        </w:rPr>
        <w:t xml:space="preserve"> Βρυξελλών θα έχει εγκρίνει την εισαγωγή προς διαπραγμάτευση όλων των μετοχών της </w:t>
      </w:r>
      <w:r w:rsidRPr="00CC3917">
        <w:rPr>
          <w:rFonts w:asciiTheme="minorHAnsi" w:hAnsiTheme="minorHAnsi"/>
        </w:rPr>
        <w:t>TITAN</w:t>
      </w:r>
      <w:r w:rsidRPr="00CC3917">
        <w:rPr>
          <w:rFonts w:asciiTheme="minorHAnsi" w:hAnsiTheme="minorHAnsi"/>
          <w:lang w:val="el-GR"/>
        </w:rPr>
        <w:t xml:space="preserve"> </w:t>
      </w:r>
      <w:r w:rsidRPr="00CC3917">
        <w:rPr>
          <w:rFonts w:asciiTheme="minorHAnsi" w:hAnsiTheme="minorHAnsi"/>
        </w:rPr>
        <w:t>Cement</w:t>
      </w:r>
      <w:r w:rsidRPr="00CC3917">
        <w:rPr>
          <w:rFonts w:asciiTheme="minorHAnsi" w:hAnsiTheme="minorHAnsi"/>
          <w:lang w:val="el-GR"/>
        </w:rPr>
        <w:t xml:space="preserve"> </w:t>
      </w:r>
      <w:r w:rsidRPr="00CC3917">
        <w:rPr>
          <w:rFonts w:asciiTheme="minorHAnsi" w:hAnsiTheme="minorHAnsi"/>
        </w:rPr>
        <w:t>International</w:t>
      </w:r>
      <w:r w:rsidRPr="00CC3917">
        <w:rPr>
          <w:rFonts w:asciiTheme="minorHAnsi" w:hAnsiTheme="minorHAnsi"/>
          <w:lang w:val="el-GR"/>
        </w:rPr>
        <w:t xml:space="preserve"> στην αγορά κινητών αξιών του </w:t>
      </w:r>
      <w:r w:rsidRPr="00CC3917">
        <w:rPr>
          <w:rFonts w:asciiTheme="minorHAnsi" w:hAnsiTheme="minorHAnsi"/>
        </w:rPr>
        <w:t>Euronext</w:t>
      </w:r>
      <w:r w:rsidRPr="00CC3917">
        <w:rPr>
          <w:rFonts w:asciiTheme="minorHAnsi" w:hAnsiTheme="minorHAnsi"/>
          <w:lang w:val="el-GR"/>
        </w:rPr>
        <w:t xml:space="preserve"> Βρυξελλών, υπό όρους και προϋποθέσεις </w:t>
      </w:r>
      <w:r w:rsidR="00426C41">
        <w:rPr>
          <w:rFonts w:asciiTheme="minorHAnsi" w:hAnsiTheme="minorHAnsi"/>
          <w:lang w:val="el-GR"/>
        </w:rPr>
        <w:t>της αποδοχής της</w:t>
      </w:r>
      <w:r w:rsidR="00443AE4">
        <w:rPr>
          <w:rFonts w:asciiTheme="minorHAnsi" w:hAnsiTheme="minorHAnsi"/>
          <w:lang w:val="el-GR"/>
        </w:rPr>
        <w:t xml:space="preserve"> ΤΙΤΑΝ </w:t>
      </w:r>
      <w:r w:rsidR="00443AE4">
        <w:rPr>
          <w:rFonts w:asciiTheme="minorHAnsi" w:hAnsiTheme="minorHAnsi"/>
        </w:rPr>
        <w:t>Cement</w:t>
      </w:r>
      <w:r w:rsidR="00443AE4" w:rsidRPr="00443AE4">
        <w:rPr>
          <w:rFonts w:asciiTheme="minorHAnsi" w:hAnsiTheme="minorHAnsi"/>
          <w:lang w:val="el-GR"/>
        </w:rPr>
        <w:t xml:space="preserve"> </w:t>
      </w:r>
      <w:r w:rsidR="00443AE4">
        <w:rPr>
          <w:rFonts w:asciiTheme="minorHAnsi" w:hAnsiTheme="minorHAnsi"/>
        </w:rPr>
        <w:t>International</w:t>
      </w:r>
      <w:r w:rsidRPr="00CC3917">
        <w:rPr>
          <w:rFonts w:asciiTheme="minorHAnsi" w:hAnsiTheme="minorHAnsi"/>
          <w:lang w:val="el-GR"/>
        </w:rPr>
        <w:t xml:space="preserve"> (η «</w:t>
      </w:r>
      <w:r w:rsidRPr="00CC3917">
        <w:rPr>
          <w:rFonts w:asciiTheme="minorHAnsi" w:hAnsiTheme="minorHAnsi"/>
          <w:b/>
          <w:lang w:val="el-GR"/>
        </w:rPr>
        <w:t>Αίρεση</w:t>
      </w:r>
      <w:r w:rsidRPr="00CC3917">
        <w:rPr>
          <w:rFonts w:asciiTheme="minorHAnsi" w:hAnsiTheme="minorHAnsi"/>
          <w:lang w:val="el-GR"/>
        </w:rPr>
        <w:t>»)</w:t>
      </w:r>
      <w:r w:rsidRPr="00CC3917">
        <w:rPr>
          <w:rFonts w:asciiTheme="minorHAnsi" w:hAnsiTheme="minorHAnsi"/>
          <w:bCs/>
          <w:lang w:val="el-GR"/>
        </w:rPr>
        <w:t>.</w:t>
      </w:r>
    </w:p>
    <w:p w:rsidR="00CC3917" w:rsidRPr="00CC3917" w:rsidRDefault="00CC3917" w:rsidP="00CC3917">
      <w:pPr>
        <w:pStyle w:val="af2"/>
        <w:numPr>
          <w:ilvl w:val="0"/>
          <w:numId w:val="7"/>
        </w:numPr>
        <w:tabs>
          <w:tab w:val="left" w:pos="426"/>
        </w:tabs>
        <w:spacing w:after="120"/>
        <w:ind w:left="426"/>
        <w:jc w:val="both"/>
        <w:rPr>
          <w:rFonts w:asciiTheme="minorHAnsi" w:hAnsiTheme="minorHAnsi"/>
          <w:lang w:val="el-GR"/>
        </w:rPr>
      </w:pPr>
      <w:r w:rsidRPr="00CC3917">
        <w:rPr>
          <w:rFonts w:asciiTheme="minorHAnsi" w:hAnsiTheme="minorHAnsi"/>
          <w:bCs/>
          <w:lang w:val="el-GR"/>
        </w:rPr>
        <w:lastRenderedPageBreak/>
        <w:t xml:space="preserve">Η </w:t>
      </w:r>
      <w:r w:rsidRPr="00CC3917">
        <w:rPr>
          <w:rFonts w:asciiTheme="minorHAnsi" w:hAnsiTheme="minorHAnsi"/>
          <w:lang w:val="el-GR"/>
        </w:rPr>
        <w:t>διατήρηση της ισχύος</w:t>
      </w:r>
      <w:r w:rsidRPr="00CC3917">
        <w:rPr>
          <w:rFonts w:asciiTheme="minorHAnsi" w:hAnsiTheme="minorHAnsi"/>
          <w:bCs/>
          <w:lang w:val="el-GR"/>
        </w:rPr>
        <w:t xml:space="preserve"> της Δημόσιας Πρότασης Ανταλλαγής προϋποθέτει</w:t>
      </w:r>
      <w:r w:rsidRPr="00CC3917">
        <w:rPr>
          <w:rFonts w:asciiTheme="minorHAnsi" w:hAnsiTheme="minorHAnsi"/>
          <w:lang w:val="el-GR"/>
        </w:rPr>
        <w:t xml:space="preserve"> ότι κατά τη λήξη της περιόδου αποδοχής της Δημόσιας </w:t>
      </w:r>
      <w:r w:rsidRPr="00CC3917">
        <w:rPr>
          <w:rFonts w:asciiTheme="minorHAnsi" w:hAnsiTheme="minorHAnsi"/>
          <w:bCs/>
          <w:lang w:val="el-GR"/>
        </w:rPr>
        <w:t xml:space="preserve">Πρότασης Ανταλλαγής (η </w:t>
      </w:r>
      <w:r w:rsidRPr="00CC3917">
        <w:rPr>
          <w:rFonts w:asciiTheme="minorHAnsi" w:hAnsiTheme="minorHAnsi"/>
          <w:lang w:val="el-GR"/>
        </w:rPr>
        <w:t>«</w:t>
      </w:r>
      <w:r w:rsidRPr="00CC3917">
        <w:rPr>
          <w:rFonts w:asciiTheme="minorHAnsi" w:hAnsiTheme="minorHAnsi"/>
          <w:b/>
          <w:bCs/>
          <w:lang w:val="el-GR"/>
        </w:rPr>
        <w:t>Περίοδος Αποδοχής</w:t>
      </w:r>
      <w:r w:rsidRPr="00CC3917">
        <w:rPr>
          <w:rFonts w:asciiTheme="minorHAnsi" w:hAnsiTheme="minorHAnsi"/>
          <w:lang w:val="el-GR"/>
        </w:rPr>
        <w:t>»</w:t>
      </w:r>
      <w:r w:rsidRPr="00CC3917">
        <w:rPr>
          <w:rFonts w:asciiTheme="minorHAnsi" w:hAnsiTheme="minorHAnsi"/>
          <w:bCs/>
          <w:lang w:val="el-GR"/>
        </w:rPr>
        <w:t>)</w:t>
      </w:r>
      <w:r w:rsidRPr="00CC3917">
        <w:rPr>
          <w:rFonts w:asciiTheme="minorHAnsi" w:hAnsiTheme="minorHAnsi"/>
          <w:lang w:val="el-GR"/>
        </w:rPr>
        <w:t>, τουλάχιστον (</w:t>
      </w:r>
      <w:r w:rsidRPr="00CC3917">
        <w:rPr>
          <w:rFonts w:asciiTheme="minorHAnsi" w:hAnsiTheme="minorHAnsi"/>
        </w:rPr>
        <w:t>i</w:t>
      </w:r>
      <w:r w:rsidRPr="00CC3917">
        <w:rPr>
          <w:rFonts w:asciiTheme="minorHAnsi" w:hAnsiTheme="minorHAnsi"/>
          <w:lang w:val="el-GR"/>
        </w:rPr>
        <w:t xml:space="preserve">) 69.357.212 Κοινές Μετοχές, που αντιστοιχούν σε ποσοστό 90% του κοινού μετοχικού κεφαλαίου και των δικαιωμάτων ψήφου της </w:t>
      </w:r>
      <w:r w:rsidRPr="00CC3917">
        <w:rPr>
          <w:rFonts w:asciiTheme="minorHAnsi" w:hAnsiTheme="minorHAnsi"/>
        </w:rPr>
        <w:t>TITAN</w:t>
      </w:r>
      <w:r w:rsidRPr="00CC3917">
        <w:rPr>
          <w:rFonts w:asciiTheme="minorHAnsi" w:hAnsiTheme="minorHAnsi"/>
          <w:lang w:val="el-GR"/>
        </w:rPr>
        <w:t xml:space="preserve"> , και (</w:t>
      </w:r>
      <w:r w:rsidRPr="00CC3917">
        <w:rPr>
          <w:rFonts w:asciiTheme="minorHAnsi" w:hAnsiTheme="minorHAnsi"/>
        </w:rPr>
        <w:t>ii</w:t>
      </w:r>
      <w:r w:rsidRPr="00CC3917">
        <w:rPr>
          <w:rFonts w:asciiTheme="minorHAnsi" w:hAnsiTheme="minorHAnsi"/>
          <w:lang w:val="el-GR"/>
        </w:rPr>
        <w:t xml:space="preserve">) 6.812.064 Προνομιούχες  Μετοχές, που αντιστοιχούν σε ποσοστό 90% του προνομιούχου μετοχικού κεφαλαίου της </w:t>
      </w:r>
      <w:r w:rsidRPr="00CC3917">
        <w:rPr>
          <w:rFonts w:asciiTheme="minorHAnsi" w:hAnsiTheme="minorHAnsi"/>
        </w:rPr>
        <w:t>TITAN</w:t>
      </w:r>
      <w:r w:rsidRPr="00CC3917">
        <w:rPr>
          <w:rFonts w:asciiTheme="minorHAnsi" w:hAnsiTheme="minorHAnsi"/>
          <w:lang w:val="el-GR"/>
        </w:rPr>
        <w:t xml:space="preserve"> θα έχουν νόμιμα και  έγκυρα προσφερθεί στην </w:t>
      </w:r>
      <w:r w:rsidRPr="00CC3917">
        <w:rPr>
          <w:rFonts w:asciiTheme="minorHAnsi" w:hAnsiTheme="minorHAnsi"/>
          <w:bCs/>
        </w:rPr>
        <w:t>TITAN</w:t>
      </w:r>
      <w:r w:rsidRPr="00CC3917">
        <w:rPr>
          <w:rFonts w:asciiTheme="minorHAnsi" w:hAnsiTheme="minorHAnsi"/>
          <w:bCs/>
          <w:lang w:val="el-GR"/>
        </w:rPr>
        <w:t xml:space="preserve"> </w:t>
      </w:r>
      <w:r w:rsidRPr="00CC3917">
        <w:rPr>
          <w:rFonts w:asciiTheme="minorHAnsi" w:hAnsiTheme="minorHAnsi"/>
          <w:bCs/>
        </w:rPr>
        <w:t>Cement</w:t>
      </w:r>
      <w:r w:rsidRPr="00CC3917">
        <w:rPr>
          <w:rFonts w:asciiTheme="minorHAnsi" w:hAnsiTheme="minorHAnsi"/>
          <w:bCs/>
          <w:lang w:val="el-GR"/>
        </w:rPr>
        <w:t xml:space="preserve"> </w:t>
      </w:r>
      <w:r w:rsidRPr="00CC3917">
        <w:rPr>
          <w:rFonts w:asciiTheme="minorHAnsi" w:hAnsiTheme="minorHAnsi"/>
          <w:bCs/>
        </w:rPr>
        <w:t>International</w:t>
      </w:r>
      <w:r w:rsidRPr="00CC3917">
        <w:rPr>
          <w:rFonts w:asciiTheme="minorHAnsi" w:hAnsiTheme="minorHAnsi"/>
          <w:bCs/>
          <w:lang w:val="el-GR"/>
        </w:rPr>
        <w:t>.</w:t>
      </w:r>
    </w:p>
    <w:p w:rsidR="00CC3917" w:rsidRPr="00CC3917" w:rsidRDefault="00CC3917" w:rsidP="00CC3917">
      <w:pPr>
        <w:pStyle w:val="a9"/>
        <w:spacing w:after="120" w:line="240" w:lineRule="auto"/>
        <w:ind w:left="0"/>
        <w:rPr>
          <w:rFonts w:asciiTheme="minorHAnsi" w:hAnsiTheme="minorHAnsi"/>
          <w:b/>
          <w:szCs w:val="22"/>
          <w:lang w:val="el-GR"/>
        </w:rPr>
      </w:pPr>
      <w:r w:rsidRPr="00CC3917">
        <w:rPr>
          <w:rFonts w:asciiTheme="minorHAnsi" w:hAnsiTheme="minorHAnsi"/>
          <w:b/>
          <w:szCs w:val="22"/>
          <w:lang w:val="el-GR"/>
        </w:rPr>
        <w:t>Η Δημόσια Πρόταση Ανταλλαγής</w:t>
      </w:r>
    </w:p>
    <w:p w:rsidR="00CC3917" w:rsidRPr="00CC3917" w:rsidRDefault="00CC3917" w:rsidP="00CC3917">
      <w:pPr>
        <w:pStyle w:val="a9"/>
        <w:spacing w:after="120" w:line="240" w:lineRule="auto"/>
        <w:ind w:left="0"/>
        <w:rPr>
          <w:rFonts w:asciiTheme="minorHAnsi" w:hAnsiTheme="minorHAnsi" w:cs="Calibri"/>
          <w:szCs w:val="22"/>
          <w:lang w:val="el-GR"/>
        </w:rPr>
      </w:pPr>
      <w:r w:rsidRPr="00CC3917">
        <w:rPr>
          <w:rFonts w:asciiTheme="minorHAnsi" w:hAnsiTheme="minorHAnsi" w:cs="Calibri"/>
          <w:szCs w:val="22"/>
          <w:lang w:val="el-GR"/>
        </w:rPr>
        <w:t>1.</w:t>
      </w:r>
      <w:r w:rsidRPr="00CC3917">
        <w:rPr>
          <w:rFonts w:asciiTheme="minorHAnsi" w:hAnsiTheme="minorHAnsi" w:cs="Calibri"/>
          <w:szCs w:val="22"/>
          <w:lang w:val="el-GR"/>
        </w:rPr>
        <w:tab/>
        <w:t xml:space="preserve">Σύμφωνα με το Νόμο, η TITAN </w:t>
      </w:r>
      <w:proofErr w:type="spellStart"/>
      <w:r w:rsidRPr="00CC3917">
        <w:rPr>
          <w:rFonts w:asciiTheme="minorHAnsi" w:hAnsiTheme="minorHAnsi" w:cs="Calibri"/>
          <w:szCs w:val="22"/>
          <w:lang w:val="el-GR"/>
        </w:rPr>
        <w:t>Cement</w:t>
      </w:r>
      <w:proofErr w:type="spellEnd"/>
      <w:r w:rsidRPr="00CC3917">
        <w:rPr>
          <w:rFonts w:asciiTheme="minorHAnsi" w:hAnsiTheme="minorHAnsi" w:cs="Calibri"/>
          <w:szCs w:val="22"/>
          <w:lang w:val="el-GR"/>
        </w:rPr>
        <w:t xml:space="preserve"> </w:t>
      </w:r>
      <w:proofErr w:type="spellStart"/>
      <w:r w:rsidRPr="00CC3917">
        <w:rPr>
          <w:rFonts w:asciiTheme="minorHAnsi" w:hAnsiTheme="minorHAnsi" w:cs="Calibri"/>
          <w:szCs w:val="22"/>
          <w:lang w:val="el-GR"/>
        </w:rPr>
        <w:t>International</w:t>
      </w:r>
      <w:proofErr w:type="spellEnd"/>
      <w:r w:rsidRPr="00CC3917">
        <w:rPr>
          <w:rFonts w:asciiTheme="minorHAnsi" w:hAnsiTheme="minorHAnsi" w:cs="Calibri"/>
          <w:szCs w:val="22"/>
          <w:lang w:val="el-GR"/>
        </w:rPr>
        <w:t xml:space="preserve">, νεοσυσταθείσα σύμφωνα με το βελγικό δίκαιο ανώνυμη εταιρεία, με αριθμό εταιρικού μητρώου 0699.936.657 και έδρα στην οδό </w:t>
      </w:r>
      <w:proofErr w:type="spellStart"/>
      <w:r w:rsidRPr="00CC3917">
        <w:rPr>
          <w:rFonts w:asciiTheme="minorHAnsi" w:hAnsiTheme="minorHAnsi" w:cs="Calibri"/>
          <w:szCs w:val="22"/>
          <w:lang w:val="el-GR"/>
        </w:rPr>
        <w:t>Mareyde</w:t>
      </w:r>
      <w:proofErr w:type="spellEnd"/>
      <w:r w:rsidRPr="00CC3917">
        <w:rPr>
          <w:rFonts w:asciiTheme="minorHAnsi" w:hAnsiTheme="minorHAnsi" w:cs="Calibri"/>
          <w:szCs w:val="22"/>
          <w:lang w:val="el-GR"/>
        </w:rPr>
        <w:t xml:space="preserve"> 43/6, 1150, Βρυξέλλες, Βέλγιο, ανακοινώνει την υποβολή της Δημόσιας Πρότασης Ανταλλαγής για τη απόκτηση του συνόλου των Μετοχών ΤΙΤΑΝ, τις οποίες η TITAN </w:t>
      </w:r>
      <w:proofErr w:type="spellStart"/>
      <w:r w:rsidRPr="00CC3917">
        <w:rPr>
          <w:rFonts w:asciiTheme="minorHAnsi" w:hAnsiTheme="minorHAnsi" w:cs="Calibri"/>
          <w:szCs w:val="22"/>
          <w:lang w:val="el-GR"/>
        </w:rPr>
        <w:t>Cement</w:t>
      </w:r>
      <w:proofErr w:type="spellEnd"/>
      <w:r w:rsidRPr="00CC3917">
        <w:rPr>
          <w:rFonts w:asciiTheme="minorHAnsi" w:hAnsiTheme="minorHAnsi" w:cs="Calibri"/>
          <w:szCs w:val="22"/>
          <w:lang w:val="el-GR"/>
        </w:rPr>
        <w:t xml:space="preserve"> </w:t>
      </w:r>
      <w:proofErr w:type="spellStart"/>
      <w:r w:rsidRPr="00CC3917">
        <w:rPr>
          <w:rFonts w:asciiTheme="minorHAnsi" w:hAnsiTheme="minorHAnsi" w:cs="Calibri"/>
          <w:szCs w:val="22"/>
          <w:lang w:val="el-GR"/>
        </w:rPr>
        <w:t>International</w:t>
      </w:r>
      <w:proofErr w:type="spellEnd"/>
      <w:r w:rsidRPr="00CC3917">
        <w:rPr>
          <w:rFonts w:asciiTheme="minorHAnsi" w:hAnsiTheme="minorHAnsi" w:cs="Calibri"/>
          <w:szCs w:val="22"/>
          <w:lang w:val="el-GR"/>
        </w:rPr>
        <w:t xml:space="preserve"> δεν κατέχει, άμεσα ή έμμεσα, κατά την 18η Οκτωβρίου 2018 (η </w:t>
      </w:r>
      <w:r w:rsidRPr="00CC3917">
        <w:rPr>
          <w:rFonts w:asciiTheme="minorHAnsi" w:hAnsiTheme="minorHAnsi"/>
          <w:szCs w:val="22"/>
          <w:lang w:val="el-GR"/>
        </w:rPr>
        <w:t>«</w:t>
      </w:r>
      <w:r w:rsidRPr="00CC3917">
        <w:rPr>
          <w:rFonts w:asciiTheme="minorHAnsi" w:hAnsiTheme="minorHAnsi" w:cs="Calibri"/>
          <w:b/>
          <w:szCs w:val="22"/>
          <w:lang w:val="el-GR"/>
        </w:rPr>
        <w:t>Ημερομηνία της Δημόσιας Πρότασης Ανταλλαγής</w:t>
      </w:r>
      <w:r w:rsidRPr="00CC3917">
        <w:rPr>
          <w:rFonts w:asciiTheme="minorHAnsi" w:hAnsiTheme="minorHAnsi"/>
          <w:szCs w:val="22"/>
          <w:lang w:val="el-GR"/>
        </w:rPr>
        <w:t>»</w:t>
      </w:r>
      <w:r w:rsidRPr="00CC3917">
        <w:rPr>
          <w:rFonts w:asciiTheme="minorHAnsi" w:hAnsiTheme="minorHAnsi" w:cs="Calibri"/>
          <w:szCs w:val="22"/>
          <w:lang w:val="el-GR"/>
        </w:rPr>
        <w:t>), ήτοι (i) 57.490.607 Κοινές Μετοχές, οι οποίες αντιστοιχούν σε ποσοστό περίπου 74,60% του συνολικού κοινού μετοχικού κεφαλαίου και των δικαιωμάτων ψήφου της ΤΙΤΑΝ και (ii) 7.541.344 Προνομιούχες Μετοχές, οι οποίες αντιστοιχούν σε ποσοστό περίπου 99,64% του συνολικού προνομιούχου μετοχικού κεφαλαίου της ΤΙΤΑΝ κατά την ημερομηνία εκείνη.</w:t>
      </w:r>
    </w:p>
    <w:p w:rsidR="00CC3917" w:rsidRPr="00CC3917" w:rsidRDefault="00CC3917" w:rsidP="00CC3917">
      <w:pPr>
        <w:pStyle w:val="a9"/>
        <w:spacing w:after="120" w:line="240" w:lineRule="auto"/>
        <w:ind w:left="0"/>
        <w:rPr>
          <w:rFonts w:asciiTheme="minorHAnsi" w:hAnsiTheme="minorHAnsi" w:cs="Calibri"/>
          <w:szCs w:val="22"/>
          <w:lang w:val="el-GR"/>
        </w:rPr>
      </w:pPr>
      <w:r w:rsidRPr="00CC3917">
        <w:rPr>
          <w:rFonts w:asciiTheme="minorHAnsi" w:hAnsiTheme="minorHAnsi" w:cs="Calibri"/>
          <w:szCs w:val="22"/>
          <w:lang w:val="el-GR"/>
        </w:rPr>
        <w:t>Η ΤΙΤΑΝ είναι ελληνική ανώνυμη εταιρεία καταχωρημένη στο Γενικό Εμπορικό Μητρώο με αριθμό 224301000 και με έδρα στην οδό Χαλκίδος, αριθμός 22Α, 111 43 Αθήνα. Κατά την Ημερομηνία της Δημόσιας Πρότασης Ανταλλαγής, το καταβεβλημένο μετοχικό κεφάλαιο της ΤΙΤΑΝ ανέρχεται σε €291.982.221,60 και διαιρείται σε 77.063.568 Κοινές Μετοχές και 7.568.960 Προνομιούχες Μετοχές. Οι Κοινές και Προνομιούχες μετοχές είναι εισηγμένες και διαπραγματεύονται στην κύρια αγορά του Χ.Α. με τα σύμβολα  TITK και TITP αντίστοιχα.</w:t>
      </w:r>
    </w:p>
    <w:p w:rsidR="00CC3917" w:rsidRPr="00CC3917" w:rsidRDefault="00CC3917" w:rsidP="00CC3917">
      <w:pPr>
        <w:pStyle w:val="a9"/>
        <w:spacing w:after="120" w:line="240" w:lineRule="auto"/>
        <w:ind w:left="0"/>
        <w:rPr>
          <w:rFonts w:asciiTheme="minorHAnsi" w:hAnsiTheme="minorHAnsi" w:cs="Calibri"/>
          <w:szCs w:val="22"/>
          <w:lang w:val="el-GR"/>
        </w:rPr>
      </w:pPr>
      <w:r w:rsidRPr="00CC3917">
        <w:rPr>
          <w:rFonts w:asciiTheme="minorHAnsi" w:hAnsiTheme="minorHAnsi" w:cs="Calibri"/>
          <w:szCs w:val="22"/>
          <w:lang w:val="el-GR"/>
        </w:rPr>
        <w:t xml:space="preserve">2. </w:t>
      </w:r>
      <w:r w:rsidRPr="00C510D3">
        <w:rPr>
          <w:rFonts w:asciiTheme="minorHAnsi" w:hAnsiTheme="minorHAnsi" w:cs="Calibri"/>
          <w:szCs w:val="22"/>
          <w:lang w:val="el-GR"/>
        </w:rPr>
        <w:tab/>
      </w:r>
      <w:r w:rsidRPr="00CC3917">
        <w:rPr>
          <w:rFonts w:asciiTheme="minorHAnsi" w:hAnsiTheme="minorHAnsi" w:cs="Calibri"/>
          <w:szCs w:val="22"/>
          <w:lang w:val="el-GR"/>
        </w:rPr>
        <w:t xml:space="preserve">Σκοπός της Δημόσιας Πρότασης Ανταλλαγής δεν είναι η απόκτηση του ελέγχου της ΤΙΤΑΝ, αλλά η διευκόλυνση της εισαγωγής του Ομίλου ΤΙΤΑΝ στο </w:t>
      </w:r>
      <w:proofErr w:type="spellStart"/>
      <w:r w:rsidRPr="00CC3917">
        <w:rPr>
          <w:rFonts w:asciiTheme="minorHAnsi" w:hAnsiTheme="minorHAnsi" w:cs="Calibri"/>
          <w:szCs w:val="22"/>
          <w:lang w:val="el-GR"/>
        </w:rPr>
        <w:t>Euronext</w:t>
      </w:r>
      <w:proofErr w:type="spellEnd"/>
      <w:r w:rsidRPr="00CC3917">
        <w:rPr>
          <w:rFonts w:asciiTheme="minorHAnsi" w:hAnsiTheme="minorHAnsi" w:cs="Calibri"/>
          <w:szCs w:val="22"/>
          <w:lang w:val="el-GR"/>
        </w:rPr>
        <w:t xml:space="preserve"> Βρυξελλών, μέσω της πρωτογενούς εισαγωγής προς διαπραγμάτευση όλων των μετοχών της TITAN </w:t>
      </w:r>
      <w:proofErr w:type="spellStart"/>
      <w:r w:rsidRPr="00CC3917">
        <w:rPr>
          <w:rFonts w:asciiTheme="minorHAnsi" w:hAnsiTheme="minorHAnsi" w:cs="Calibri"/>
          <w:szCs w:val="22"/>
          <w:lang w:val="el-GR"/>
        </w:rPr>
        <w:t>Cement</w:t>
      </w:r>
      <w:proofErr w:type="spellEnd"/>
      <w:r w:rsidRPr="00CC3917">
        <w:rPr>
          <w:rFonts w:asciiTheme="minorHAnsi" w:hAnsiTheme="minorHAnsi" w:cs="Calibri"/>
          <w:szCs w:val="22"/>
          <w:lang w:val="el-GR"/>
        </w:rPr>
        <w:t xml:space="preserve"> </w:t>
      </w:r>
      <w:proofErr w:type="spellStart"/>
      <w:r w:rsidRPr="00CC3917">
        <w:rPr>
          <w:rFonts w:asciiTheme="minorHAnsi" w:hAnsiTheme="minorHAnsi" w:cs="Calibri"/>
          <w:szCs w:val="22"/>
          <w:lang w:val="el-GR"/>
        </w:rPr>
        <w:t>International</w:t>
      </w:r>
      <w:proofErr w:type="spellEnd"/>
      <w:r w:rsidRPr="00CC3917">
        <w:rPr>
          <w:rFonts w:asciiTheme="minorHAnsi" w:hAnsiTheme="minorHAnsi" w:cs="Calibri"/>
          <w:szCs w:val="22"/>
          <w:lang w:val="el-GR"/>
        </w:rPr>
        <w:t xml:space="preserve"> στην αγορά κινητών αξιών του </w:t>
      </w:r>
      <w:proofErr w:type="spellStart"/>
      <w:r w:rsidRPr="00CC3917">
        <w:rPr>
          <w:rFonts w:asciiTheme="minorHAnsi" w:hAnsiTheme="minorHAnsi" w:cs="Calibri"/>
          <w:szCs w:val="22"/>
          <w:lang w:val="el-GR"/>
        </w:rPr>
        <w:t>Euronext</w:t>
      </w:r>
      <w:proofErr w:type="spellEnd"/>
      <w:r w:rsidRPr="00CC3917">
        <w:rPr>
          <w:rFonts w:asciiTheme="minorHAnsi" w:hAnsiTheme="minorHAnsi" w:cs="Calibri"/>
          <w:szCs w:val="22"/>
          <w:lang w:val="el-GR"/>
        </w:rPr>
        <w:t xml:space="preserve"> Βρυξελλών, ενός από τα μεγαλύτερα Ευρωπαϊκά χρηματιστήρια</w:t>
      </w:r>
      <w:r w:rsidR="00BE4182">
        <w:rPr>
          <w:rFonts w:asciiTheme="minorHAnsi" w:hAnsiTheme="minorHAnsi" w:cs="Calibri"/>
          <w:szCs w:val="22"/>
          <w:lang w:val="el-GR"/>
        </w:rPr>
        <w:t xml:space="preserve">. </w:t>
      </w:r>
      <w:r w:rsidR="00BE4182">
        <w:rPr>
          <w:rFonts w:asciiTheme="minorHAnsi" w:hAnsiTheme="minorHAnsi"/>
          <w:szCs w:val="22"/>
          <w:lang w:val="el-GR"/>
        </w:rPr>
        <w:t>Μέσω της Δημόσιας Πρότασης Ανταλλαγής επιδιώκεται περαιτέρω</w:t>
      </w:r>
      <w:r w:rsidRPr="00CC3917">
        <w:rPr>
          <w:rFonts w:asciiTheme="minorHAnsi" w:hAnsiTheme="minorHAnsi" w:cs="Calibri"/>
          <w:szCs w:val="22"/>
          <w:lang w:val="el-GR"/>
        </w:rPr>
        <w:t xml:space="preserve"> η TITAN </w:t>
      </w:r>
      <w:proofErr w:type="spellStart"/>
      <w:r w:rsidRPr="00CC3917">
        <w:rPr>
          <w:rFonts w:asciiTheme="minorHAnsi" w:hAnsiTheme="minorHAnsi" w:cs="Calibri"/>
          <w:szCs w:val="22"/>
          <w:lang w:val="el-GR"/>
        </w:rPr>
        <w:t>Cement</w:t>
      </w:r>
      <w:proofErr w:type="spellEnd"/>
      <w:r w:rsidRPr="00CC3917">
        <w:rPr>
          <w:rFonts w:asciiTheme="minorHAnsi" w:hAnsiTheme="minorHAnsi" w:cs="Calibri"/>
          <w:szCs w:val="22"/>
          <w:lang w:val="el-GR"/>
        </w:rPr>
        <w:t xml:space="preserve"> </w:t>
      </w:r>
      <w:proofErr w:type="spellStart"/>
      <w:r w:rsidRPr="00CC3917">
        <w:rPr>
          <w:rFonts w:asciiTheme="minorHAnsi" w:hAnsiTheme="minorHAnsi" w:cs="Calibri"/>
          <w:szCs w:val="22"/>
          <w:lang w:val="el-GR"/>
        </w:rPr>
        <w:t>International</w:t>
      </w:r>
      <w:proofErr w:type="spellEnd"/>
      <w:r w:rsidRPr="00CC3917">
        <w:rPr>
          <w:rFonts w:asciiTheme="minorHAnsi" w:hAnsiTheme="minorHAnsi" w:cs="Calibri"/>
          <w:szCs w:val="22"/>
          <w:lang w:val="el-GR"/>
        </w:rPr>
        <w:t xml:space="preserve"> </w:t>
      </w:r>
      <w:r w:rsidR="00BE4182">
        <w:rPr>
          <w:rFonts w:asciiTheme="minorHAnsi" w:hAnsiTheme="minorHAnsi" w:cs="Calibri"/>
          <w:szCs w:val="22"/>
          <w:lang w:val="el-GR"/>
        </w:rPr>
        <w:t>να</w:t>
      </w:r>
      <w:r w:rsidRPr="00CC3917">
        <w:rPr>
          <w:rFonts w:asciiTheme="minorHAnsi" w:hAnsiTheme="minorHAnsi" w:cs="Calibri"/>
          <w:szCs w:val="22"/>
          <w:lang w:val="el-GR"/>
        </w:rPr>
        <w:t xml:space="preserve"> καταστεί η άμεση μητρική εταιρεία της ΤΙΤΑΝ και η απώτατη μητρική εταιρεία του Ομίλου ΤΙΤΑΝ, με μετοχική δομή που θα αντικατοπτρίζει την σημερινή μετοχική δομή της ΤΙΤΑΝ. Η TITAN </w:t>
      </w:r>
      <w:proofErr w:type="spellStart"/>
      <w:r w:rsidRPr="00CC3917">
        <w:rPr>
          <w:rFonts w:asciiTheme="minorHAnsi" w:hAnsiTheme="minorHAnsi" w:cs="Calibri"/>
          <w:szCs w:val="22"/>
          <w:lang w:val="el-GR"/>
        </w:rPr>
        <w:t>Cement</w:t>
      </w:r>
      <w:proofErr w:type="spellEnd"/>
      <w:r w:rsidRPr="00CC3917">
        <w:rPr>
          <w:rFonts w:asciiTheme="minorHAnsi" w:hAnsiTheme="minorHAnsi" w:cs="Calibri"/>
          <w:szCs w:val="22"/>
          <w:lang w:val="el-GR"/>
        </w:rPr>
        <w:t xml:space="preserve"> </w:t>
      </w:r>
      <w:proofErr w:type="spellStart"/>
      <w:r w:rsidRPr="00CC3917">
        <w:rPr>
          <w:rFonts w:asciiTheme="minorHAnsi" w:hAnsiTheme="minorHAnsi" w:cs="Calibri"/>
          <w:szCs w:val="22"/>
          <w:lang w:val="el-GR"/>
        </w:rPr>
        <w:t>International</w:t>
      </w:r>
      <w:proofErr w:type="spellEnd"/>
      <w:r w:rsidRPr="00CC3917">
        <w:rPr>
          <w:rFonts w:asciiTheme="minorHAnsi" w:hAnsiTheme="minorHAnsi" w:cs="Calibri"/>
          <w:szCs w:val="22"/>
          <w:lang w:val="el-GR"/>
        </w:rPr>
        <w:t xml:space="preserve"> θα καταθέσει αίτηση για την πρωτογενή εισαγωγή προς διαπραγμάτευση του συνόλου των μετοχών της, συμπεριλαμβανομένων των Μετοχών του Ανταλλάγματος, στο </w:t>
      </w:r>
      <w:proofErr w:type="spellStart"/>
      <w:r w:rsidRPr="00CC3917">
        <w:rPr>
          <w:rFonts w:asciiTheme="minorHAnsi" w:hAnsiTheme="minorHAnsi" w:cs="Calibri"/>
          <w:szCs w:val="22"/>
          <w:lang w:val="el-GR"/>
        </w:rPr>
        <w:t>Euronext</w:t>
      </w:r>
      <w:proofErr w:type="spellEnd"/>
      <w:r w:rsidRPr="00CC3917">
        <w:rPr>
          <w:rFonts w:asciiTheme="minorHAnsi" w:hAnsiTheme="minorHAnsi" w:cs="Calibri"/>
          <w:szCs w:val="22"/>
          <w:lang w:val="el-GR"/>
        </w:rPr>
        <w:t xml:space="preserve"> Βρυξελλών, ένα από τα μεγαλύτερα Ευρωπαϊκά χρηματιστήρια, </w:t>
      </w:r>
      <w:r w:rsidR="00BE4182">
        <w:rPr>
          <w:rFonts w:asciiTheme="minorHAnsi" w:hAnsiTheme="minorHAnsi" w:cs="Calibri"/>
          <w:szCs w:val="22"/>
          <w:lang w:val="el-GR"/>
        </w:rPr>
        <w:t xml:space="preserve">καθώς </w:t>
      </w:r>
      <w:r w:rsidRPr="00CC3917">
        <w:rPr>
          <w:rFonts w:asciiTheme="minorHAnsi" w:hAnsiTheme="minorHAnsi" w:cs="Calibri"/>
          <w:szCs w:val="22"/>
          <w:lang w:val="el-GR"/>
        </w:rPr>
        <w:t xml:space="preserve">και αίτηση για τη δευτερογενή εισαγωγή προς διαπραγμάτευση των μετοχών αυτών στο Χ.Α. και στο </w:t>
      </w:r>
      <w:proofErr w:type="spellStart"/>
      <w:r w:rsidRPr="00CC3917">
        <w:rPr>
          <w:rFonts w:asciiTheme="minorHAnsi" w:hAnsiTheme="minorHAnsi" w:cs="Calibri"/>
          <w:szCs w:val="22"/>
          <w:lang w:val="el-GR"/>
        </w:rPr>
        <w:t>Euronext</w:t>
      </w:r>
      <w:proofErr w:type="spellEnd"/>
      <w:r w:rsidRPr="00CC3917">
        <w:rPr>
          <w:rFonts w:asciiTheme="minorHAnsi" w:hAnsiTheme="minorHAnsi" w:cs="Calibri"/>
          <w:szCs w:val="22"/>
          <w:lang w:val="el-GR"/>
        </w:rPr>
        <w:t xml:space="preserve"> Παρισίων, σε κάθε περίπτωση υπό την αίρεση της λήψης των απαραίτητων εγκρίσεων. Κατά την εισαγωγή προς διαπραγμάτευση στο </w:t>
      </w:r>
      <w:proofErr w:type="spellStart"/>
      <w:r w:rsidRPr="00CC3917">
        <w:rPr>
          <w:rFonts w:asciiTheme="minorHAnsi" w:hAnsiTheme="minorHAnsi" w:cs="Calibri"/>
          <w:szCs w:val="22"/>
          <w:lang w:val="el-GR"/>
        </w:rPr>
        <w:t>Euronext</w:t>
      </w:r>
      <w:proofErr w:type="spellEnd"/>
      <w:r w:rsidRPr="00CC3917">
        <w:rPr>
          <w:rFonts w:asciiTheme="minorHAnsi" w:hAnsiTheme="minorHAnsi" w:cs="Calibri"/>
          <w:szCs w:val="22"/>
          <w:lang w:val="el-GR"/>
        </w:rPr>
        <w:t xml:space="preserve"> Βρυξελλών, οι συναλλαγές επί των μετοχών της TITAN </w:t>
      </w:r>
      <w:proofErr w:type="spellStart"/>
      <w:r w:rsidRPr="00CC3917">
        <w:rPr>
          <w:rFonts w:asciiTheme="minorHAnsi" w:hAnsiTheme="minorHAnsi" w:cs="Calibri"/>
          <w:szCs w:val="22"/>
          <w:lang w:val="el-GR"/>
        </w:rPr>
        <w:t>Cement</w:t>
      </w:r>
      <w:proofErr w:type="spellEnd"/>
      <w:r w:rsidRPr="00CC3917">
        <w:rPr>
          <w:rFonts w:asciiTheme="minorHAnsi" w:hAnsiTheme="minorHAnsi" w:cs="Calibri"/>
          <w:szCs w:val="22"/>
          <w:lang w:val="el-GR"/>
        </w:rPr>
        <w:t xml:space="preserve"> </w:t>
      </w:r>
      <w:proofErr w:type="spellStart"/>
      <w:r w:rsidRPr="00CC3917">
        <w:rPr>
          <w:rFonts w:asciiTheme="minorHAnsi" w:hAnsiTheme="minorHAnsi" w:cs="Calibri"/>
          <w:szCs w:val="22"/>
          <w:lang w:val="el-GR"/>
        </w:rPr>
        <w:t>International</w:t>
      </w:r>
      <w:proofErr w:type="spellEnd"/>
      <w:r w:rsidRPr="00CC3917">
        <w:rPr>
          <w:rFonts w:asciiTheme="minorHAnsi" w:hAnsiTheme="minorHAnsi" w:cs="Calibri"/>
          <w:szCs w:val="22"/>
          <w:lang w:val="el-GR"/>
        </w:rPr>
        <w:t xml:space="preserve"> που θα διενεργούνται στο </w:t>
      </w:r>
      <w:proofErr w:type="spellStart"/>
      <w:r w:rsidRPr="00CC3917">
        <w:rPr>
          <w:rFonts w:asciiTheme="minorHAnsi" w:hAnsiTheme="minorHAnsi" w:cs="Calibri"/>
          <w:szCs w:val="22"/>
          <w:lang w:val="el-GR"/>
        </w:rPr>
        <w:t>Euronext</w:t>
      </w:r>
      <w:proofErr w:type="spellEnd"/>
      <w:r w:rsidRPr="00CC3917">
        <w:rPr>
          <w:rFonts w:asciiTheme="minorHAnsi" w:hAnsiTheme="minorHAnsi" w:cs="Calibri"/>
          <w:szCs w:val="22"/>
          <w:lang w:val="el-GR"/>
        </w:rPr>
        <w:t xml:space="preserve"> Βρυξελλών θα εκκαθαρίζονται και διακανονίζονται μέσω του </w:t>
      </w:r>
      <w:proofErr w:type="spellStart"/>
      <w:r w:rsidRPr="00CC3917">
        <w:rPr>
          <w:rFonts w:asciiTheme="minorHAnsi" w:hAnsiTheme="minorHAnsi" w:cs="Calibri"/>
          <w:szCs w:val="22"/>
          <w:lang w:val="el-GR"/>
        </w:rPr>
        <w:t>Euroclear</w:t>
      </w:r>
      <w:proofErr w:type="spellEnd"/>
      <w:r w:rsidRPr="00CC3917">
        <w:rPr>
          <w:rFonts w:asciiTheme="minorHAnsi" w:hAnsiTheme="minorHAnsi" w:cs="Calibri"/>
          <w:szCs w:val="22"/>
          <w:lang w:val="el-GR"/>
        </w:rPr>
        <w:t xml:space="preserve"> Βελγίου.</w:t>
      </w:r>
    </w:p>
    <w:p w:rsidR="00FA1B82" w:rsidRDefault="00CC3917" w:rsidP="00CC3917">
      <w:pPr>
        <w:pStyle w:val="a9"/>
        <w:spacing w:after="120" w:line="240" w:lineRule="auto"/>
        <w:ind w:left="0"/>
        <w:rPr>
          <w:rFonts w:asciiTheme="minorHAnsi" w:hAnsiTheme="minorHAnsi" w:cs="Calibri"/>
          <w:szCs w:val="22"/>
          <w:lang w:val="el-GR"/>
        </w:rPr>
      </w:pPr>
      <w:r w:rsidRPr="00CC3917">
        <w:rPr>
          <w:rFonts w:asciiTheme="minorHAnsi" w:hAnsiTheme="minorHAnsi" w:cs="Calibri"/>
          <w:szCs w:val="22"/>
          <w:lang w:val="el-GR"/>
        </w:rPr>
        <w:t>3.</w:t>
      </w:r>
      <w:r w:rsidRPr="00CC3917">
        <w:rPr>
          <w:rFonts w:asciiTheme="minorHAnsi" w:hAnsiTheme="minorHAnsi" w:cs="Calibri"/>
          <w:szCs w:val="22"/>
          <w:lang w:val="el-GR"/>
        </w:rPr>
        <w:tab/>
        <w:t xml:space="preserve">Οι σημερινοί μέτοχοι </w:t>
      </w:r>
      <w:r w:rsidR="00A3649D">
        <w:rPr>
          <w:rFonts w:asciiTheme="minorHAnsi" w:hAnsiTheme="minorHAnsi" w:cs="Calibri"/>
          <w:szCs w:val="22"/>
          <w:lang w:val="el-GR"/>
        </w:rPr>
        <w:t xml:space="preserve">της ΤΙΤΑΝ, </w:t>
      </w:r>
      <w:r w:rsidR="00A3649D" w:rsidRPr="00CC3917">
        <w:rPr>
          <w:rFonts w:asciiTheme="minorHAnsi" w:hAnsiTheme="minorHAnsi" w:cs="Calibri"/>
          <w:szCs w:val="22"/>
          <w:lang w:val="el-GR"/>
        </w:rPr>
        <w:t xml:space="preserve">Ανδρέας Κανελλόπουλος, Λεωνίδας Κανελλόπουλος, </w:t>
      </w:r>
      <w:proofErr w:type="spellStart"/>
      <w:r w:rsidR="00A3649D" w:rsidRPr="00CC3917">
        <w:rPr>
          <w:rFonts w:asciiTheme="minorHAnsi" w:hAnsiTheme="minorHAnsi" w:cs="Calibri"/>
          <w:szCs w:val="22"/>
          <w:lang w:val="el-GR"/>
        </w:rPr>
        <w:t>Νέλλος</w:t>
      </w:r>
      <w:proofErr w:type="spellEnd"/>
      <w:r w:rsidR="00A3649D" w:rsidRPr="00CC3917">
        <w:rPr>
          <w:rFonts w:asciiTheme="minorHAnsi" w:hAnsiTheme="minorHAnsi" w:cs="Calibri"/>
          <w:szCs w:val="22"/>
          <w:lang w:val="el-GR"/>
        </w:rPr>
        <w:t xml:space="preserve">-Παναγιώτης Κανελλόπουλος, Τάκης-Παναγιώτης Κανελλόπουλος, Παύλος Κανελλόπουλος, Δημήτρης </w:t>
      </w:r>
      <w:proofErr w:type="spellStart"/>
      <w:r w:rsidR="00A3649D" w:rsidRPr="00CC3917">
        <w:rPr>
          <w:rFonts w:asciiTheme="minorHAnsi" w:hAnsiTheme="minorHAnsi" w:cs="Calibri"/>
          <w:szCs w:val="22"/>
          <w:lang w:val="el-GR"/>
        </w:rPr>
        <w:t>Παπαλεξόπουλος</w:t>
      </w:r>
      <w:proofErr w:type="spellEnd"/>
      <w:r w:rsidR="00A3649D" w:rsidRPr="00CC3917">
        <w:rPr>
          <w:rFonts w:asciiTheme="minorHAnsi" w:hAnsiTheme="minorHAnsi" w:cs="Calibri"/>
          <w:szCs w:val="22"/>
          <w:lang w:val="el-GR"/>
        </w:rPr>
        <w:t xml:space="preserve">, Αλεξάνδρα </w:t>
      </w:r>
      <w:proofErr w:type="spellStart"/>
      <w:r w:rsidR="00A3649D" w:rsidRPr="00CC3917">
        <w:rPr>
          <w:rFonts w:asciiTheme="minorHAnsi" w:hAnsiTheme="minorHAnsi" w:cs="Calibri"/>
          <w:szCs w:val="22"/>
          <w:lang w:val="el-GR"/>
        </w:rPr>
        <w:t>Παπαλεξοπούλου</w:t>
      </w:r>
      <w:proofErr w:type="spellEnd"/>
      <w:r w:rsidR="00A3649D" w:rsidRPr="00CC3917">
        <w:rPr>
          <w:rFonts w:asciiTheme="minorHAnsi" w:hAnsiTheme="minorHAnsi" w:cs="Calibri"/>
          <w:szCs w:val="22"/>
          <w:lang w:val="el-GR"/>
        </w:rPr>
        <w:t xml:space="preserve"> και Ελένη </w:t>
      </w:r>
      <w:proofErr w:type="spellStart"/>
      <w:r w:rsidR="00A3649D" w:rsidRPr="00CC3917">
        <w:rPr>
          <w:rFonts w:asciiTheme="minorHAnsi" w:hAnsiTheme="minorHAnsi" w:cs="Calibri"/>
          <w:szCs w:val="22"/>
          <w:lang w:val="el-GR"/>
        </w:rPr>
        <w:t>Παπαλεξοπούλου</w:t>
      </w:r>
      <w:proofErr w:type="spellEnd"/>
      <w:r w:rsidR="00A3649D">
        <w:rPr>
          <w:rFonts w:asciiTheme="minorHAnsi" w:hAnsiTheme="minorHAnsi" w:cs="Calibri"/>
          <w:szCs w:val="22"/>
          <w:lang w:val="el-GR"/>
        </w:rPr>
        <w:t xml:space="preserve"> </w:t>
      </w:r>
      <w:r w:rsidR="00A3649D" w:rsidRPr="00CC3917">
        <w:rPr>
          <w:rFonts w:asciiTheme="minorHAnsi" w:hAnsiTheme="minorHAnsi" w:cs="Calibri"/>
          <w:szCs w:val="22"/>
          <w:lang w:val="el-GR"/>
        </w:rPr>
        <w:t xml:space="preserve">(από κοινού οι </w:t>
      </w:r>
      <w:r w:rsidR="00A3649D" w:rsidRPr="00CC3917">
        <w:rPr>
          <w:rFonts w:asciiTheme="minorHAnsi" w:hAnsiTheme="minorHAnsi"/>
          <w:szCs w:val="22"/>
          <w:lang w:val="el-GR"/>
        </w:rPr>
        <w:t>«</w:t>
      </w:r>
      <w:r w:rsidR="00A3649D" w:rsidRPr="00CC3917">
        <w:rPr>
          <w:rFonts w:asciiTheme="minorHAnsi" w:hAnsiTheme="minorHAnsi" w:cs="Calibri"/>
          <w:b/>
          <w:szCs w:val="22"/>
          <w:lang w:val="el-GR"/>
        </w:rPr>
        <w:t>Ιδρυτές</w:t>
      </w:r>
      <w:r w:rsidR="00A3649D" w:rsidRPr="00CC3917">
        <w:rPr>
          <w:rFonts w:asciiTheme="minorHAnsi" w:hAnsiTheme="minorHAnsi"/>
          <w:szCs w:val="22"/>
          <w:lang w:val="el-GR"/>
        </w:rPr>
        <w:t>»</w:t>
      </w:r>
      <w:r w:rsidR="00A3649D" w:rsidRPr="00CC3917">
        <w:rPr>
          <w:rFonts w:asciiTheme="minorHAnsi" w:hAnsiTheme="minorHAnsi" w:cs="Calibri"/>
          <w:szCs w:val="22"/>
          <w:lang w:val="el-GR"/>
        </w:rPr>
        <w:t>)</w:t>
      </w:r>
      <w:r w:rsidR="00A3649D">
        <w:rPr>
          <w:rFonts w:asciiTheme="minorHAnsi" w:hAnsiTheme="minorHAnsi" w:cs="Calibri"/>
          <w:szCs w:val="22"/>
          <w:lang w:val="el-GR"/>
        </w:rPr>
        <w:t xml:space="preserve"> ίδρυσαν και κατέχουν μέχρι σήμερα συνολικά το 100% του μετοχικού κεφαλαίου της </w:t>
      </w:r>
      <w:r w:rsidRPr="00CC3917">
        <w:rPr>
          <w:rFonts w:asciiTheme="minorHAnsi" w:hAnsiTheme="minorHAnsi" w:cs="Calibri"/>
          <w:szCs w:val="22"/>
          <w:lang w:val="el-GR"/>
        </w:rPr>
        <w:t xml:space="preserve">TITAN </w:t>
      </w:r>
      <w:proofErr w:type="spellStart"/>
      <w:r w:rsidRPr="00CC3917">
        <w:rPr>
          <w:rFonts w:asciiTheme="minorHAnsi" w:hAnsiTheme="minorHAnsi" w:cs="Calibri"/>
          <w:szCs w:val="22"/>
          <w:lang w:val="el-GR"/>
        </w:rPr>
        <w:t>Cement</w:t>
      </w:r>
      <w:proofErr w:type="spellEnd"/>
      <w:r w:rsidRPr="00CC3917">
        <w:rPr>
          <w:rFonts w:asciiTheme="minorHAnsi" w:hAnsiTheme="minorHAnsi" w:cs="Calibri"/>
          <w:szCs w:val="22"/>
          <w:lang w:val="el-GR"/>
        </w:rPr>
        <w:t xml:space="preserve"> </w:t>
      </w:r>
      <w:proofErr w:type="spellStart"/>
      <w:r w:rsidRPr="00CC3917">
        <w:rPr>
          <w:rFonts w:asciiTheme="minorHAnsi" w:hAnsiTheme="minorHAnsi" w:cs="Calibri"/>
          <w:szCs w:val="22"/>
          <w:lang w:val="el-GR"/>
        </w:rPr>
        <w:t>International</w:t>
      </w:r>
      <w:proofErr w:type="spellEnd"/>
      <w:r w:rsidR="00A308B7">
        <w:rPr>
          <w:rFonts w:asciiTheme="minorHAnsi" w:hAnsiTheme="minorHAnsi" w:cs="Calibri"/>
          <w:szCs w:val="22"/>
          <w:lang w:val="el-GR"/>
        </w:rPr>
        <w:t>.</w:t>
      </w:r>
      <w:r w:rsidRPr="00CC3917">
        <w:rPr>
          <w:rFonts w:asciiTheme="minorHAnsi" w:hAnsiTheme="minorHAnsi" w:cs="Calibri"/>
          <w:szCs w:val="22"/>
          <w:lang w:val="el-GR"/>
        </w:rPr>
        <w:t xml:space="preserve"> Οι Ιδρυτές κατέχουν συνολικά (i) 19.600.577 Μετοχές ΤΙΤΑΝ που αντιστοιχούν σε ποσοστό περίπου 23,16% του συνολικού καταβεβλημένου μετοχικού κεφαλαίου της ΤΙΤΑΝ (οι </w:t>
      </w:r>
      <w:r w:rsidRPr="00CC3917">
        <w:rPr>
          <w:rFonts w:asciiTheme="minorHAnsi" w:hAnsiTheme="minorHAnsi"/>
          <w:szCs w:val="22"/>
          <w:lang w:val="el-GR"/>
        </w:rPr>
        <w:t>«</w:t>
      </w:r>
      <w:r w:rsidRPr="00CC3917">
        <w:rPr>
          <w:rFonts w:asciiTheme="minorHAnsi" w:hAnsiTheme="minorHAnsi" w:cs="Calibri"/>
          <w:b/>
          <w:szCs w:val="22"/>
          <w:lang w:val="el-GR"/>
        </w:rPr>
        <w:t>Μετοχές Ιδρυτών</w:t>
      </w:r>
      <w:r w:rsidRPr="00CC3917">
        <w:rPr>
          <w:rFonts w:asciiTheme="minorHAnsi" w:hAnsiTheme="minorHAnsi"/>
          <w:szCs w:val="22"/>
          <w:lang w:val="el-GR"/>
        </w:rPr>
        <w:t>»</w:t>
      </w:r>
      <w:r w:rsidRPr="00CC3917">
        <w:rPr>
          <w:rFonts w:asciiTheme="minorHAnsi" w:hAnsiTheme="minorHAnsi" w:cs="Calibri"/>
          <w:szCs w:val="22"/>
          <w:lang w:val="el-GR"/>
        </w:rPr>
        <w:t>) και (ii) 14.330.705 δικαιώματα ψήφου που αντιστοιχούν σε ποσοστό περίπου 18,60% του συνόλου των δικαιωμάτων ψήφου της ΤΙΤΑΝ.</w:t>
      </w:r>
      <w:r w:rsidR="00867DB9">
        <w:rPr>
          <w:rFonts w:asciiTheme="minorHAnsi" w:hAnsiTheme="minorHAnsi" w:cs="Calibri"/>
          <w:szCs w:val="22"/>
          <w:lang w:val="el-GR"/>
        </w:rPr>
        <w:t xml:space="preserve"> </w:t>
      </w:r>
    </w:p>
    <w:p w:rsidR="00D01ABC" w:rsidRDefault="00867DB9" w:rsidP="00FA1B82">
      <w:pPr>
        <w:pStyle w:val="a9"/>
        <w:spacing w:after="120" w:line="240" w:lineRule="auto"/>
        <w:ind w:left="0"/>
        <w:rPr>
          <w:rFonts w:asciiTheme="minorHAnsi" w:hAnsiTheme="minorHAnsi" w:cs="Calibri"/>
          <w:szCs w:val="22"/>
          <w:lang w:val="el-GR"/>
        </w:rPr>
      </w:pPr>
      <w:r>
        <w:rPr>
          <w:rFonts w:asciiTheme="minorHAnsi" w:hAnsiTheme="minorHAnsi" w:cs="Calibri"/>
          <w:szCs w:val="22"/>
          <w:lang w:val="el-GR"/>
        </w:rPr>
        <w:t xml:space="preserve">Δυνάμει της από 18 Οκτωβρίου 2018 συμφωνίας τους, οι </w:t>
      </w:r>
      <w:r w:rsidRPr="00CC3917">
        <w:rPr>
          <w:rFonts w:asciiTheme="minorHAnsi" w:hAnsiTheme="minorHAnsi" w:cs="Calibri"/>
          <w:szCs w:val="22"/>
          <w:lang w:val="el-GR"/>
        </w:rPr>
        <w:t xml:space="preserve">Ιδρυτές </w:t>
      </w:r>
      <w:r>
        <w:rPr>
          <w:rFonts w:asciiTheme="minorHAnsi" w:hAnsiTheme="minorHAnsi" w:cs="Calibri"/>
          <w:szCs w:val="22"/>
          <w:lang w:val="el-GR"/>
        </w:rPr>
        <w:t>κατέστησαν</w:t>
      </w:r>
      <w:r w:rsidRPr="00CC3917">
        <w:rPr>
          <w:rFonts w:asciiTheme="minorHAnsi" w:hAnsiTheme="minorHAnsi" w:cs="Calibri"/>
          <w:szCs w:val="22"/>
          <w:lang w:val="el-GR"/>
        </w:rPr>
        <w:t xml:space="preserve"> "πρόσωπα που ενεργούν συντονισμένα" (όπως ορίζεται στο άρθρο 2, περίπτωση (ε) του Νόμου) </w:t>
      </w:r>
      <w:r>
        <w:rPr>
          <w:rFonts w:asciiTheme="minorHAnsi" w:hAnsiTheme="minorHAnsi" w:cs="Calibri"/>
          <w:szCs w:val="22"/>
          <w:lang w:val="el-GR"/>
        </w:rPr>
        <w:t xml:space="preserve">τόσο μεταξύ τους </w:t>
      </w:r>
      <w:r>
        <w:rPr>
          <w:rFonts w:asciiTheme="minorHAnsi" w:hAnsiTheme="minorHAnsi" w:cs="Calibri"/>
          <w:szCs w:val="22"/>
          <w:lang w:val="el-GR"/>
        </w:rPr>
        <w:lastRenderedPageBreak/>
        <w:t xml:space="preserve">όσο και </w:t>
      </w:r>
      <w:r w:rsidRPr="00CC3917">
        <w:rPr>
          <w:rFonts w:asciiTheme="minorHAnsi" w:hAnsiTheme="minorHAnsi" w:cs="Calibri"/>
          <w:szCs w:val="22"/>
          <w:lang w:val="el-GR"/>
        </w:rPr>
        <w:t xml:space="preserve">με την TITAN </w:t>
      </w:r>
      <w:proofErr w:type="spellStart"/>
      <w:r w:rsidRPr="00CC3917">
        <w:rPr>
          <w:rFonts w:asciiTheme="minorHAnsi" w:hAnsiTheme="minorHAnsi" w:cs="Calibri"/>
          <w:szCs w:val="22"/>
          <w:lang w:val="el-GR"/>
        </w:rPr>
        <w:t>Cement</w:t>
      </w:r>
      <w:proofErr w:type="spellEnd"/>
      <w:r w:rsidRPr="00CC3917">
        <w:rPr>
          <w:rFonts w:asciiTheme="minorHAnsi" w:hAnsiTheme="minorHAnsi" w:cs="Calibri"/>
          <w:szCs w:val="22"/>
          <w:lang w:val="el-GR"/>
        </w:rPr>
        <w:t xml:space="preserve"> </w:t>
      </w:r>
      <w:proofErr w:type="spellStart"/>
      <w:r w:rsidRPr="00CC3917">
        <w:rPr>
          <w:rFonts w:asciiTheme="minorHAnsi" w:hAnsiTheme="minorHAnsi" w:cs="Calibri"/>
          <w:szCs w:val="22"/>
          <w:lang w:val="el-GR"/>
        </w:rPr>
        <w:t>International</w:t>
      </w:r>
      <w:proofErr w:type="spellEnd"/>
      <w:r>
        <w:rPr>
          <w:rFonts w:asciiTheme="minorHAnsi" w:hAnsiTheme="minorHAnsi" w:cs="Calibri"/>
          <w:szCs w:val="22"/>
          <w:lang w:val="el-GR"/>
        </w:rPr>
        <w:t xml:space="preserve"> για τους σκοπούς της Δημόσιας Πρότασης Ανταλλαγής.</w:t>
      </w:r>
      <w:r w:rsidR="00FA1B82" w:rsidRPr="00CC3917">
        <w:rPr>
          <w:rFonts w:asciiTheme="minorHAnsi" w:hAnsiTheme="minorHAnsi" w:cs="Calibri"/>
          <w:szCs w:val="22"/>
          <w:lang w:val="el-GR"/>
        </w:rPr>
        <w:t xml:space="preserve"> </w:t>
      </w:r>
      <w:r w:rsidR="00FA1B82">
        <w:rPr>
          <w:rFonts w:asciiTheme="minorHAnsi" w:hAnsiTheme="minorHAnsi" w:cs="Calibri"/>
          <w:szCs w:val="22"/>
          <w:lang w:val="el-GR"/>
        </w:rPr>
        <w:t xml:space="preserve">Συνεπώς, κατά </w:t>
      </w:r>
      <w:r w:rsidR="00FA1B82" w:rsidRPr="00CC3917">
        <w:rPr>
          <w:rFonts w:asciiTheme="minorHAnsi" w:hAnsiTheme="minorHAnsi" w:cs="Calibri"/>
          <w:szCs w:val="22"/>
          <w:lang w:val="el-GR"/>
        </w:rPr>
        <w:t xml:space="preserve">την Ημερομηνία της Δημόσιας Πρότασης Ανταλλαγής, η TITAN </w:t>
      </w:r>
      <w:proofErr w:type="spellStart"/>
      <w:r w:rsidR="00FA1B82" w:rsidRPr="00CC3917">
        <w:rPr>
          <w:rFonts w:asciiTheme="minorHAnsi" w:hAnsiTheme="minorHAnsi" w:cs="Calibri"/>
          <w:szCs w:val="22"/>
          <w:lang w:val="el-GR"/>
        </w:rPr>
        <w:t>Cement</w:t>
      </w:r>
      <w:proofErr w:type="spellEnd"/>
      <w:r w:rsidR="00FA1B82" w:rsidRPr="00CC3917">
        <w:rPr>
          <w:rFonts w:asciiTheme="minorHAnsi" w:hAnsiTheme="minorHAnsi" w:cs="Calibri"/>
          <w:szCs w:val="22"/>
          <w:lang w:val="el-GR"/>
        </w:rPr>
        <w:t xml:space="preserve"> </w:t>
      </w:r>
      <w:proofErr w:type="spellStart"/>
      <w:r w:rsidR="00FA1B82" w:rsidRPr="00CC3917">
        <w:rPr>
          <w:rFonts w:asciiTheme="minorHAnsi" w:hAnsiTheme="minorHAnsi" w:cs="Calibri"/>
          <w:szCs w:val="22"/>
          <w:lang w:val="el-GR"/>
        </w:rPr>
        <w:t>International</w:t>
      </w:r>
      <w:proofErr w:type="spellEnd"/>
      <w:r w:rsidR="00FA1B82" w:rsidRPr="00CC3917">
        <w:rPr>
          <w:rFonts w:asciiTheme="minorHAnsi" w:hAnsiTheme="minorHAnsi" w:cs="Calibri"/>
          <w:szCs w:val="22"/>
          <w:lang w:val="el-GR"/>
        </w:rPr>
        <w:t xml:space="preserve">  </w:t>
      </w:r>
      <w:r w:rsidR="00FA1B82">
        <w:rPr>
          <w:rFonts w:asciiTheme="minorHAnsi" w:hAnsiTheme="minorHAnsi" w:cs="Calibri"/>
          <w:szCs w:val="22"/>
          <w:lang w:val="el-GR"/>
        </w:rPr>
        <w:t>κατέχει έμμεσα</w:t>
      </w:r>
      <w:r w:rsidR="00FA1B82" w:rsidRPr="00CC3917">
        <w:rPr>
          <w:rFonts w:asciiTheme="minorHAnsi" w:hAnsiTheme="minorHAnsi" w:cs="Calibri"/>
          <w:szCs w:val="22"/>
          <w:lang w:val="el-GR"/>
        </w:rPr>
        <w:t xml:space="preserve"> </w:t>
      </w:r>
      <w:r w:rsidR="00B93C22">
        <w:rPr>
          <w:rFonts w:asciiTheme="minorHAnsi" w:hAnsiTheme="minorHAnsi" w:cs="Calibri"/>
          <w:szCs w:val="22"/>
          <w:lang w:val="el-GR"/>
        </w:rPr>
        <w:t xml:space="preserve">ποσοστό περίπου </w:t>
      </w:r>
      <w:r w:rsidR="00B93C22" w:rsidRPr="00CC3917">
        <w:rPr>
          <w:rFonts w:asciiTheme="minorHAnsi" w:hAnsiTheme="minorHAnsi" w:cs="Calibri"/>
          <w:szCs w:val="22"/>
          <w:lang w:val="el-GR"/>
        </w:rPr>
        <w:t>18,60% του συνόλου των δικαιωμάτων ψήφου της ΤΙΤΑΝ</w:t>
      </w:r>
      <w:r w:rsidR="00FA1B82">
        <w:rPr>
          <w:rFonts w:asciiTheme="minorHAnsi" w:hAnsiTheme="minorHAnsi" w:cs="Calibri"/>
          <w:szCs w:val="22"/>
          <w:lang w:val="el-GR"/>
        </w:rPr>
        <w:t>.</w:t>
      </w:r>
      <w:r w:rsidR="00FA1B82" w:rsidRPr="00CC3917">
        <w:rPr>
          <w:rFonts w:asciiTheme="minorHAnsi" w:hAnsiTheme="minorHAnsi" w:cs="Calibri"/>
          <w:szCs w:val="22"/>
          <w:lang w:val="el-GR"/>
        </w:rPr>
        <w:t xml:space="preserve"> </w:t>
      </w:r>
    </w:p>
    <w:p w:rsidR="00FA1B82" w:rsidRPr="00CC3917" w:rsidRDefault="00FA1B82" w:rsidP="00FA1B82">
      <w:pPr>
        <w:pStyle w:val="a9"/>
        <w:spacing w:after="120" w:line="240" w:lineRule="auto"/>
        <w:ind w:left="0"/>
        <w:rPr>
          <w:rFonts w:asciiTheme="minorHAnsi" w:hAnsiTheme="minorHAnsi" w:cs="Calibri"/>
          <w:szCs w:val="22"/>
          <w:lang w:val="el-GR"/>
        </w:rPr>
      </w:pPr>
      <w:r w:rsidRPr="00CC3917">
        <w:rPr>
          <w:rFonts w:asciiTheme="minorHAnsi" w:hAnsiTheme="minorHAnsi" w:cs="Calibri"/>
          <w:szCs w:val="22"/>
          <w:lang w:val="el-GR"/>
        </w:rPr>
        <w:t>Οι Ιδρυτές έχουν δηλώσει ότι θα προσφέρουν τις Μετοχές Ιδρυτών στη Δημόσια Πρόταση Ανταλλαγής για Μετοχές του Ανταλλάγματος, με τους ίδιους όρους και προϋποθέσεις όπως και οι λοι</w:t>
      </w:r>
      <w:r>
        <w:rPr>
          <w:rFonts w:asciiTheme="minorHAnsi" w:hAnsiTheme="minorHAnsi" w:cs="Calibri"/>
          <w:szCs w:val="22"/>
          <w:lang w:val="el-GR"/>
        </w:rPr>
        <w:t>ποί κάτοχοι Μετοχών ΤΙΤΑΝ, ώστε</w:t>
      </w:r>
      <w:r w:rsidRPr="00CC3917">
        <w:rPr>
          <w:rFonts w:asciiTheme="minorHAnsi" w:hAnsiTheme="minorHAnsi" w:cs="Calibri"/>
          <w:szCs w:val="22"/>
          <w:lang w:val="el-GR"/>
        </w:rPr>
        <w:t xml:space="preserve"> όλες οι Μετοχές ΤΙΤΑΝ να κατέχονται άμεσα από την TITAN </w:t>
      </w:r>
      <w:proofErr w:type="spellStart"/>
      <w:r w:rsidRPr="00CC3917">
        <w:rPr>
          <w:rFonts w:asciiTheme="minorHAnsi" w:hAnsiTheme="minorHAnsi" w:cs="Calibri"/>
          <w:szCs w:val="22"/>
          <w:lang w:val="el-GR"/>
        </w:rPr>
        <w:t>Cement</w:t>
      </w:r>
      <w:proofErr w:type="spellEnd"/>
      <w:r w:rsidRPr="00CC3917">
        <w:rPr>
          <w:rFonts w:asciiTheme="minorHAnsi" w:hAnsiTheme="minorHAnsi" w:cs="Calibri"/>
          <w:szCs w:val="22"/>
          <w:lang w:val="el-GR"/>
        </w:rPr>
        <w:t xml:space="preserve"> </w:t>
      </w:r>
      <w:proofErr w:type="spellStart"/>
      <w:r w:rsidRPr="00CC3917">
        <w:rPr>
          <w:rFonts w:asciiTheme="minorHAnsi" w:hAnsiTheme="minorHAnsi" w:cs="Calibri"/>
          <w:szCs w:val="22"/>
          <w:lang w:val="el-GR"/>
        </w:rPr>
        <w:t>International</w:t>
      </w:r>
      <w:proofErr w:type="spellEnd"/>
      <w:r w:rsidRPr="00CC3917">
        <w:rPr>
          <w:rFonts w:asciiTheme="minorHAnsi" w:hAnsiTheme="minorHAnsi" w:cs="Calibri"/>
          <w:szCs w:val="22"/>
          <w:lang w:val="el-GR"/>
        </w:rPr>
        <w:t>.</w:t>
      </w:r>
    </w:p>
    <w:p w:rsidR="00CC3917" w:rsidRPr="00CC3917" w:rsidRDefault="00CC3917" w:rsidP="00CC3917">
      <w:pPr>
        <w:pStyle w:val="a9"/>
        <w:spacing w:after="120" w:line="240" w:lineRule="auto"/>
        <w:ind w:left="0"/>
        <w:rPr>
          <w:rFonts w:asciiTheme="minorHAnsi" w:hAnsiTheme="minorHAnsi" w:cs="Calibri"/>
          <w:szCs w:val="22"/>
          <w:lang w:val="el-GR"/>
        </w:rPr>
      </w:pPr>
      <w:r w:rsidRPr="00CC3917">
        <w:rPr>
          <w:rFonts w:asciiTheme="minorHAnsi" w:hAnsiTheme="minorHAnsi" w:cs="Calibri"/>
          <w:szCs w:val="22"/>
          <w:lang w:val="el-GR"/>
        </w:rPr>
        <w:t>4.</w:t>
      </w:r>
      <w:r w:rsidRPr="00CC3917">
        <w:rPr>
          <w:rFonts w:asciiTheme="minorHAnsi" w:hAnsiTheme="minorHAnsi" w:cs="Calibri"/>
          <w:szCs w:val="22"/>
          <w:lang w:val="el-GR"/>
        </w:rPr>
        <w:tab/>
        <w:t xml:space="preserve">Η Ημερομηνία της Δημόσιας Πρότασης Ανταλλαγής είναι η ημερομηνία κατά τη οποία η TITAN </w:t>
      </w:r>
      <w:proofErr w:type="spellStart"/>
      <w:r w:rsidRPr="00CC3917">
        <w:rPr>
          <w:rFonts w:asciiTheme="minorHAnsi" w:hAnsiTheme="minorHAnsi" w:cs="Calibri"/>
          <w:szCs w:val="22"/>
          <w:lang w:val="el-GR"/>
        </w:rPr>
        <w:t>Cement</w:t>
      </w:r>
      <w:proofErr w:type="spellEnd"/>
      <w:r w:rsidRPr="00CC3917">
        <w:rPr>
          <w:rFonts w:asciiTheme="minorHAnsi" w:hAnsiTheme="minorHAnsi" w:cs="Calibri"/>
          <w:szCs w:val="22"/>
          <w:lang w:val="el-GR"/>
        </w:rPr>
        <w:t xml:space="preserve"> </w:t>
      </w:r>
      <w:proofErr w:type="spellStart"/>
      <w:r w:rsidRPr="00CC3917">
        <w:rPr>
          <w:rFonts w:asciiTheme="minorHAnsi" w:hAnsiTheme="minorHAnsi" w:cs="Calibri"/>
          <w:szCs w:val="22"/>
          <w:lang w:val="el-GR"/>
        </w:rPr>
        <w:t>International</w:t>
      </w:r>
      <w:proofErr w:type="spellEnd"/>
      <w:r w:rsidRPr="00CC3917">
        <w:rPr>
          <w:rFonts w:asciiTheme="minorHAnsi" w:hAnsiTheme="minorHAnsi" w:cs="Calibri"/>
          <w:szCs w:val="22"/>
          <w:lang w:val="el-GR"/>
        </w:rPr>
        <w:t xml:space="preserve"> εκκίνησε τη διαδικασία της Δημόσιας Πρότασης Ανταλλαγής, ενημερώνοντας την ΕΚ και το διοικητικό συμβούλιου της ΤΙΤΑΝ για τη Δημόσια Πρόταση Ανταλλαγής και στους οποίους υπέβαλε σχέδιο του Πληροφοριακού Δελτίου, σύμφωνα με το άρθρο 10 παράγραφος 1 του Νόμου. </w:t>
      </w:r>
    </w:p>
    <w:p w:rsidR="00CC3917" w:rsidRPr="00CC3917" w:rsidRDefault="00CC3917" w:rsidP="00CC3917">
      <w:pPr>
        <w:pStyle w:val="a9"/>
        <w:spacing w:after="120" w:line="240" w:lineRule="auto"/>
        <w:ind w:left="0"/>
        <w:rPr>
          <w:rFonts w:asciiTheme="minorHAnsi" w:hAnsiTheme="minorHAnsi"/>
          <w:b/>
          <w:szCs w:val="22"/>
          <w:lang w:val="el-GR"/>
        </w:rPr>
      </w:pPr>
      <w:r w:rsidRPr="00CC3917">
        <w:rPr>
          <w:rFonts w:asciiTheme="minorHAnsi" w:hAnsiTheme="minorHAnsi"/>
          <w:b/>
          <w:szCs w:val="22"/>
          <w:lang w:val="el-GR"/>
        </w:rPr>
        <w:t xml:space="preserve">Αντάλλαγμα και Δομή της </w:t>
      </w:r>
      <w:r w:rsidRPr="00CC3917">
        <w:rPr>
          <w:rFonts w:asciiTheme="minorHAnsi" w:hAnsiTheme="minorHAnsi"/>
          <w:b/>
          <w:bCs/>
          <w:szCs w:val="22"/>
          <w:lang w:val="el-GR"/>
        </w:rPr>
        <w:t>Δημόσιας Πρότασης Ανταλλαγής</w:t>
      </w:r>
      <w:r w:rsidRPr="00CC3917">
        <w:rPr>
          <w:rFonts w:asciiTheme="minorHAnsi" w:hAnsiTheme="minorHAnsi"/>
          <w:b/>
          <w:szCs w:val="22"/>
          <w:lang w:val="el-GR"/>
        </w:rPr>
        <w:t xml:space="preserve"> </w:t>
      </w:r>
    </w:p>
    <w:p w:rsidR="00CC3917" w:rsidRPr="00CC3917" w:rsidRDefault="00D01ABC" w:rsidP="00CC3917">
      <w:pPr>
        <w:pStyle w:val="a9"/>
        <w:spacing w:after="120" w:line="240" w:lineRule="auto"/>
        <w:ind w:left="0"/>
        <w:rPr>
          <w:rFonts w:asciiTheme="minorHAnsi" w:hAnsiTheme="minorHAnsi"/>
          <w:szCs w:val="22"/>
          <w:lang w:val="el-GR"/>
        </w:rPr>
      </w:pPr>
      <w:r>
        <w:rPr>
          <w:rFonts w:asciiTheme="minorHAnsi" w:hAnsiTheme="minorHAnsi"/>
          <w:szCs w:val="22"/>
          <w:lang w:val="el-GR"/>
        </w:rPr>
        <w:t>5</w:t>
      </w:r>
      <w:r w:rsidR="00CC3917" w:rsidRPr="00D01ABC">
        <w:rPr>
          <w:rFonts w:asciiTheme="minorHAnsi" w:hAnsiTheme="minorHAnsi"/>
          <w:b/>
          <w:szCs w:val="22"/>
          <w:lang w:val="el-GR"/>
        </w:rPr>
        <w:t>.</w:t>
      </w:r>
      <w:r w:rsidR="00CC3917" w:rsidRPr="00D01ABC">
        <w:rPr>
          <w:rFonts w:asciiTheme="minorHAnsi" w:hAnsiTheme="minorHAnsi"/>
          <w:b/>
          <w:szCs w:val="22"/>
          <w:lang w:val="el-GR"/>
        </w:rPr>
        <w:tab/>
      </w:r>
      <w:r w:rsidR="00CC3917" w:rsidRPr="00D01ABC">
        <w:rPr>
          <w:rFonts w:asciiTheme="minorHAnsi" w:hAnsiTheme="minorHAnsi" w:cs="Calibri"/>
          <w:szCs w:val="22"/>
          <w:lang w:val="el-GR"/>
        </w:rPr>
        <w:t xml:space="preserve">Σύμφωνα με το πρώτο εδάφιο της παραγράφου 1 του άρθρου 9 του Νόμου, η TITAN </w:t>
      </w:r>
      <w:proofErr w:type="spellStart"/>
      <w:r w:rsidR="00CC3917" w:rsidRPr="00D01ABC">
        <w:rPr>
          <w:rFonts w:asciiTheme="minorHAnsi" w:hAnsiTheme="minorHAnsi" w:cs="Calibri"/>
          <w:szCs w:val="22"/>
          <w:lang w:val="el-GR"/>
        </w:rPr>
        <w:t>Cement</w:t>
      </w:r>
      <w:proofErr w:type="spellEnd"/>
      <w:r w:rsidR="00CC3917" w:rsidRPr="00D01ABC">
        <w:rPr>
          <w:rFonts w:asciiTheme="minorHAnsi" w:hAnsiTheme="minorHAnsi" w:cs="Calibri"/>
          <w:szCs w:val="22"/>
          <w:lang w:val="el-GR"/>
        </w:rPr>
        <w:t xml:space="preserve"> </w:t>
      </w:r>
      <w:proofErr w:type="spellStart"/>
      <w:r w:rsidR="00CC3917" w:rsidRPr="00CC3917">
        <w:rPr>
          <w:rFonts w:asciiTheme="minorHAnsi" w:hAnsiTheme="minorHAnsi" w:cs="Calibri"/>
          <w:szCs w:val="22"/>
          <w:lang w:val="el-GR"/>
        </w:rPr>
        <w:t>International</w:t>
      </w:r>
      <w:proofErr w:type="spellEnd"/>
      <w:r w:rsidR="00CC3917" w:rsidRPr="00CC3917">
        <w:rPr>
          <w:rFonts w:asciiTheme="minorHAnsi" w:hAnsiTheme="minorHAnsi" w:cs="Calibri"/>
          <w:szCs w:val="22"/>
          <w:lang w:val="el-GR"/>
        </w:rPr>
        <w:t xml:space="preserve"> προσφέρει (</w:t>
      </w:r>
      <w:r w:rsidR="00CC3917" w:rsidRPr="00CC3917">
        <w:rPr>
          <w:rFonts w:asciiTheme="minorHAnsi" w:hAnsiTheme="minorHAnsi" w:cs="Calibri"/>
          <w:szCs w:val="22"/>
        </w:rPr>
        <w:t>i</w:t>
      </w:r>
      <w:r w:rsidR="00CC3917" w:rsidRPr="00CC3917">
        <w:rPr>
          <w:rFonts w:asciiTheme="minorHAnsi" w:hAnsiTheme="minorHAnsi" w:cs="Calibri"/>
          <w:szCs w:val="22"/>
          <w:lang w:val="el-GR"/>
        </w:rPr>
        <w:t>) μία Μετοχή του Ανταλλάγματος για κάθε μία Κοινή Μετοχή, και (</w:t>
      </w:r>
      <w:r w:rsidR="00CC3917" w:rsidRPr="00CC3917">
        <w:rPr>
          <w:rFonts w:asciiTheme="minorHAnsi" w:hAnsiTheme="minorHAnsi" w:cs="Calibri"/>
          <w:szCs w:val="22"/>
        </w:rPr>
        <w:t>ii</w:t>
      </w:r>
      <w:r w:rsidR="00CC3917" w:rsidRPr="00CC3917">
        <w:rPr>
          <w:rFonts w:asciiTheme="minorHAnsi" w:hAnsiTheme="minorHAnsi" w:cs="Calibri"/>
          <w:szCs w:val="22"/>
          <w:lang w:val="el-GR"/>
        </w:rPr>
        <w:t>) μία Μετοχή του Ανταλλάγματος για κάθε μία Προνομιούχο Μετοχή, η οποία, σε κάθε περίπτωση, προσφέρεται νόμιμα και έγκυρα (οι </w:t>
      </w:r>
      <w:r w:rsidR="00CC3917" w:rsidRPr="00CC3917">
        <w:rPr>
          <w:rFonts w:asciiTheme="minorHAnsi" w:hAnsiTheme="minorHAnsi"/>
          <w:szCs w:val="22"/>
          <w:lang w:val="el-GR"/>
        </w:rPr>
        <w:t>«</w:t>
      </w:r>
      <w:r w:rsidR="00CC3917" w:rsidRPr="00CC3917">
        <w:rPr>
          <w:rFonts w:asciiTheme="minorHAnsi" w:hAnsiTheme="minorHAnsi" w:cs="Calibri"/>
          <w:b/>
          <w:szCs w:val="22"/>
          <w:lang w:val="el-GR"/>
        </w:rPr>
        <w:t>Προσφερόμενες Μετοχές</w:t>
      </w:r>
      <w:r w:rsidR="00CC3917" w:rsidRPr="00CC3917">
        <w:rPr>
          <w:rFonts w:asciiTheme="minorHAnsi" w:hAnsiTheme="minorHAnsi"/>
          <w:szCs w:val="22"/>
          <w:lang w:val="el-GR"/>
        </w:rPr>
        <w:t>»</w:t>
      </w:r>
      <w:r w:rsidR="00CC3917" w:rsidRPr="00CC3917">
        <w:rPr>
          <w:rFonts w:asciiTheme="minorHAnsi" w:hAnsiTheme="minorHAnsi" w:cs="Calibri"/>
          <w:szCs w:val="22"/>
          <w:lang w:val="el-GR"/>
        </w:rPr>
        <w:t>) εντός της Περιόδου Αποδοχής.</w:t>
      </w:r>
    </w:p>
    <w:p w:rsidR="00CC3917" w:rsidRPr="00CC3917" w:rsidRDefault="00CC3917" w:rsidP="00CC3917">
      <w:pPr>
        <w:pStyle w:val="a9"/>
        <w:spacing w:after="120" w:line="240" w:lineRule="auto"/>
        <w:ind w:left="0"/>
        <w:rPr>
          <w:rFonts w:asciiTheme="minorHAnsi" w:hAnsiTheme="minorHAnsi"/>
          <w:szCs w:val="22"/>
          <w:lang w:val="el-GR"/>
        </w:rPr>
      </w:pPr>
      <w:r w:rsidRPr="00CC3917">
        <w:rPr>
          <w:rFonts w:asciiTheme="minorHAnsi" w:hAnsiTheme="minorHAnsi" w:cs="Calibri"/>
          <w:szCs w:val="22"/>
          <w:lang w:val="el-GR"/>
        </w:rPr>
        <w:t xml:space="preserve">Συγκεκριμένα, κάτοχοι Μετοχών ΤΙΤΑΝ που αποδέχονται νόμιμα και έγκυρα τη Δημόσια Πρόταση Ανταλλαγής (οι </w:t>
      </w:r>
      <w:r w:rsidRPr="00CC3917">
        <w:rPr>
          <w:rFonts w:asciiTheme="minorHAnsi" w:hAnsiTheme="minorHAnsi"/>
          <w:szCs w:val="22"/>
          <w:lang w:val="el-GR"/>
        </w:rPr>
        <w:t>«</w:t>
      </w:r>
      <w:r w:rsidRPr="00CC3917">
        <w:rPr>
          <w:rFonts w:asciiTheme="minorHAnsi" w:hAnsiTheme="minorHAnsi" w:cs="Calibri"/>
          <w:b/>
          <w:szCs w:val="22"/>
          <w:lang w:val="el-GR"/>
        </w:rPr>
        <w:t>Αποδεχόμενοι Μέτοχοι</w:t>
      </w:r>
      <w:r w:rsidRPr="00CC3917">
        <w:rPr>
          <w:rFonts w:asciiTheme="minorHAnsi" w:hAnsiTheme="minorHAnsi"/>
          <w:szCs w:val="22"/>
          <w:lang w:val="el-GR"/>
        </w:rPr>
        <w:t>»</w:t>
      </w:r>
      <w:r w:rsidRPr="00CC3917">
        <w:rPr>
          <w:rFonts w:asciiTheme="minorHAnsi" w:hAnsiTheme="minorHAnsi" w:cs="Calibri"/>
          <w:szCs w:val="22"/>
          <w:lang w:val="el-GR"/>
        </w:rPr>
        <w:t>) θα δικαιούνται να επιλέξουν να λάβουν, για κάθε μία Προσφερόμενη Μετοχή, (</w:t>
      </w:r>
      <w:r w:rsidRPr="00CC3917">
        <w:rPr>
          <w:rFonts w:asciiTheme="minorHAnsi" w:hAnsiTheme="minorHAnsi" w:cs="Calibri"/>
          <w:szCs w:val="22"/>
        </w:rPr>
        <w:t>i</w:t>
      </w:r>
      <w:r w:rsidRPr="00CC3917">
        <w:rPr>
          <w:rFonts w:asciiTheme="minorHAnsi" w:hAnsiTheme="minorHAnsi" w:cs="Calibri"/>
          <w:szCs w:val="22"/>
          <w:lang w:val="el-GR"/>
        </w:rPr>
        <w:t xml:space="preserve">) μία Μετοχή του Ανταλλάγματος τηρούμενη σε λογιστική μορφή μέσω του </w:t>
      </w:r>
      <w:proofErr w:type="spellStart"/>
      <w:r w:rsidRPr="00CC3917">
        <w:rPr>
          <w:rFonts w:asciiTheme="minorHAnsi" w:hAnsiTheme="minorHAnsi" w:cs="Calibri"/>
          <w:szCs w:val="22"/>
        </w:rPr>
        <w:t>Euroclear</w:t>
      </w:r>
      <w:proofErr w:type="spellEnd"/>
      <w:r w:rsidRPr="00CC3917">
        <w:rPr>
          <w:rFonts w:asciiTheme="minorHAnsi" w:hAnsiTheme="minorHAnsi" w:cs="Calibri"/>
          <w:szCs w:val="22"/>
          <w:lang w:val="el-GR"/>
        </w:rPr>
        <w:t xml:space="preserve"> Βελγίου ή (</w:t>
      </w:r>
      <w:r w:rsidRPr="00CC3917">
        <w:rPr>
          <w:rFonts w:asciiTheme="minorHAnsi" w:hAnsiTheme="minorHAnsi" w:cs="Calibri"/>
          <w:szCs w:val="22"/>
        </w:rPr>
        <w:t>ii</w:t>
      </w:r>
      <w:r w:rsidRPr="00CC3917">
        <w:rPr>
          <w:rFonts w:asciiTheme="minorHAnsi" w:hAnsiTheme="minorHAnsi" w:cs="Calibri"/>
          <w:szCs w:val="22"/>
          <w:lang w:val="el-GR"/>
        </w:rPr>
        <w:t>) μία Μετοχή του Ανταλλάγματος τηρούμενη σε λογιστική μορφή στο Σύστημα Άυλων Τίτλων (</w:t>
      </w:r>
      <w:r w:rsidRPr="00CC3917">
        <w:rPr>
          <w:rFonts w:asciiTheme="minorHAnsi" w:hAnsiTheme="minorHAnsi"/>
          <w:szCs w:val="22"/>
          <w:lang w:val="el-GR"/>
        </w:rPr>
        <w:t>«</w:t>
      </w:r>
      <w:r w:rsidRPr="00CC3917">
        <w:rPr>
          <w:rFonts w:asciiTheme="minorHAnsi" w:hAnsiTheme="minorHAnsi" w:cs="Calibri"/>
          <w:b/>
          <w:szCs w:val="22"/>
          <w:lang w:val="el-GR"/>
        </w:rPr>
        <w:t>Σ.Α.Τ.</w:t>
      </w:r>
      <w:r w:rsidRPr="00CC3917">
        <w:rPr>
          <w:rFonts w:asciiTheme="minorHAnsi" w:hAnsiTheme="minorHAnsi"/>
          <w:szCs w:val="22"/>
          <w:lang w:val="el-GR"/>
        </w:rPr>
        <w:t>»</w:t>
      </w:r>
      <w:r w:rsidRPr="00CC3917">
        <w:rPr>
          <w:rFonts w:asciiTheme="minorHAnsi" w:hAnsiTheme="minorHAnsi" w:cs="Calibri"/>
          <w:szCs w:val="22"/>
          <w:lang w:val="el-GR"/>
        </w:rPr>
        <w:t>) μέσω της εταιρείας «Ελληνικό Κεντρικό Αποθετήριο Τίτλων Ανώνυμη Εταιρεία» (</w:t>
      </w:r>
      <w:r w:rsidRPr="00CC3917">
        <w:rPr>
          <w:rFonts w:asciiTheme="minorHAnsi" w:hAnsiTheme="minorHAnsi"/>
          <w:szCs w:val="22"/>
          <w:lang w:val="el-GR"/>
        </w:rPr>
        <w:t>«</w:t>
      </w:r>
      <w:r w:rsidRPr="00CC3917">
        <w:rPr>
          <w:rFonts w:asciiTheme="minorHAnsi" w:hAnsiTheme="minorHAnsi" w:cs="Calibri"/>
          <w:b/>
          <w:szCs w:val="22"/>
          <w:lang w:val="el-GR"/>
        </w:rPr>
        <w:t>ΕΛ.Κ.Α.Τ.</w:t>
      </w:r>
      <w:r w:rsidRPr="00CC3917">
        <w:rPr>
          <w:rFonts w:asciiTheme="minorHAnsi" w:hAnsiTheme="minorHAnsi"/>
          <w:szCs w:val="22"/>
          <w:lang w:val="el-GR"/>
        </w:rPr>
        <w:t>»</w:t>
      </w:r>
      <w:r w:rsidRPr="00CC3917">
        <w:rPr>
          <w:rFonts w:asciiTheme="minorHAnsi" w:hAnsiTheme="minorHAnsi" w:cs="Calibri"/>
          <w:szCs w:val="22"/>
          <w:lang w:val="el-GR"/>
        </w:rPr>
        <w:t xml:space="preserve">). </w:t>
      </w:r>
    </w:p>
    <w:p w:rsidR="00CC3917" w:rsidRPr="00CC3917" w:rsidRDefault="00D01ABC" w:rsidP="00CC3917">
      <w:pPr>
        <w:pStyle w:val="a9"/>
        <w:tabs>
          <w:tab w:val="left" w:pos="720"/>
        </w:tabs>
        <w:spacing w:after="120" w:line="240" w:lineRule="auto"/>
        <w:ind w:left="0"/>
        <w:rPr>
          <w:rFonts w:asciiTheme="minorHAnsi" w:hAnsiTheme="minorHAnsi"/>
          <w:szCs w:val="22"/>
          <w:lang w:val="el-GR"/>
        </w:rPr>
      </w:pPr>
      <w:r>
        <w:rPr>
          <w:rFonts w:asciiTheme="minorHAnsi" w:hAnsiTheme="minorHAnsi"/>
          <w:szCs w:val="22"/>
          <w:lang w:val="el-GR"/>
        </w:rPr>
        <w:t>6</w:t>
      </w:r>
      <w:r w:rsidR="00CC3917" w:rsidRPr="00CC3917">
        <w:rPr>
          <w:rFonts w:asciiTheme="minorHAnsi" w:hAnsiTheme="minorHAnsi"/>
          <w:szCs w:val="22"/>
          <w:lang w:val="el-GR"/>
        </w:rPr>
        <w:t>.</w:t>
      </w:r>
      <w:r w:rsidR="00CC3917" w:rsidRPr="00CC3917">
        <w:rPr>
          <w:rFonts w:asciiTheme="minorHAnsi" w:hAnsiTheme="minorHAnsi"/>
          <w:szCs w:val="22"/>
          <w:lang w:val="el-GR"/>
        </w:rPr>
        <w:tab/>
        <w:t xml:space="preserve">Η </w:t>
      </w:r>
      <w:r w:rsidR="00CC3917" w:rsidRPr="00CC3917">
        <w:rPr>
          <w:rFonts w:asciiTheme="minorHAnsi" w:hAnsiTheme="minorHAnsi"/>
          <w:szCs w:val="22"/>
        </w:rPr>
        <w:t>Titan</w:t>
      </w:r>
      <w:r w:rsidR="00CC3917" w:rsidRPr="00CC3917">
        <w:rPr>
          <w:rFonts w:asciiTheme="minorHAnsi" w:hAnsiTheme="minorHAnsi"/>
          <w:szCs w:val="22"/>
          <w:lang w:val="el-GR"/>
        </w:rPr>
        <w:t xml:space="preserve"> </w:t>
      </w:r>
      <w:r w:rsidR="00CC3917" w:rsidRPr="00CC3917">
        <w:rPr>
          <w:rFonts w:asciiTheme="minorHAnsi" w:hAnsiTheme="minorHAnsi"/>
          <w:szCs w:val="22"/>
        </w:rPr>
        <w:t>Cement</w:t>
      </w:r>
      <w:r w:rsidR="00CC3917" w:rsidRPr="00CC3917">
        <w:rPr>
          <w:rFonts w:asciiTheme="minorHAnsi" w:hAnsiTheme="minorHAnsi"/>
          <w:szCs w:val="22"/>
          <w:lang w:val="el-GR"/>
        </w:rPr>
        <w:t xml:space="preserve"> </w:t>
      </w:r>
      <w:r w:rsidR="00CC3917" w:rsidRPr="00CC3917">
        <w:rPr>
          <w:rFonts w:asciiTheme="minorHAnsi" w:hAnsiTheme="minorHAnsi"/>
          <w:szCs w:val="22"/>
        </w:rPr>
        <w:t>International</w:t>
      </w:r>
      <w:r w:rsidR="00CC3917" w:rsidRPr="00CC3917">
        <w:rPr>
          <w:rFonts w:asciiTheme="minorHAnsi" w:hAnsiTheme="minorHAnsi"/>
          <w:bCs/>
          <w:szCs w:val="22"/>
          <w:lang w:val="el-GR"/>
        </w:rPr>
        <w:t xml:space="preserve"> </w:t>
      </w:r>
      <w:r w:rsidR="00CC3917" w:rsidRPr="00CC3917">
        <w:rPr>
          <w:rFonts w:asciiTheme="minorHAnsi" w:hAnsiTheme="minorHAnsi" w:cs="Calibri"/>
          <w:szCs w:val="22"/>
          <w:lang w:val="el-GR"/>
        </w:rPr>
        <w:t>θα αναλάβει την καταβολή των δικαιωμάτων υπέρ της ΕΛ.Κ.Α.Τ.,</w:t>
      </w:r>
      <w:r w:rsidR="00CC3917" w:rsidRPr="00CC3917" w:rsidDel="00894F92">
        <w:rPr>
          <w:rFonts w:asciiTheme="minorHAnsi" w:hAnsiTheme="minorHAnsi" w:cs="Calibri"/>
          <w:szCs w:val="22"/>
          <w:lang w:val="el-GR"/>
        </w:rPr>
        <w:t xml:space="preserve"> </w:t>
      </w:r>
      <w:r w:rsidR="00CC3917" w:rsidRPr="00CC3917">
        <w:rPr>
          <w:rFonts w:asciiTheme="minorHAnsi" w:hAnsiTheme="minorHAnsi" w:cs="Calibri"/>
          <w:szCs w:val="22"/>
          <w:lang w:val="el-GR"/>
        </w:rPr>
        <w:t xml:space="preserve">τα οποία επιβάλλονται για την καταχώρηση της </w:t>
      </w:r>
      <w:proofErr w:type="spellStart"/>
      <w:r w:rsidR="00CC3917" w:rsidRPr="00CC3917">
        <w:rPr>
          <w:rFonts w:asciiTheme="minorHAnsi" w:hAnsiTheme="minorHAnsi" w:cs="Calibri"/>
          <w:szCs w:val="22"/>
          <w:lang w:val="el-GR"/>
        </w:rPr>
        <w:t>εξωχρηματιστηριακής</w:t>
      </w:r>
      <w:proofErr w:type="spellEnd"/>
      <w:r w:rsidR="00CC3917" w:rsidRPr="00CC3917">
        <w:rPr>
          <w:rFonts w:asciiTheme="minorHAnsi" w:hAnsiTheme="minorHAnsi" w:cs="Calibri"/>
          <w:szCs w:val="22"/>
          <w:lang w:val="el-GR"/>
        </w:rPr>
        <w:t xml:space="preserve"> μεταβίβασης των Προσφερόμενων Μετοχών στην </w:t>
      </w:r>
      <w:r w:rsidR="00CC3917" w:rsidRPr="00CC3917">
        <w:rPr>
          <w:rFonts w:asciiTheme="minorHAnsi" w:hAnsiTheme="minorHAnsi"/>
          <w:szCs w:val="22"/>
        </w:rPr>
        <w:t>Titan</w:t>
      </w:r>
      <w:r w:rsidR="00CC3917" w:rsidRPr="00CC3917">
        <w:rPr>
          <w:rFonts w:asciiTheme="minorHAnsi" w:hAnsiTheme="minorHAnsi"/>
          <w:szCs w:val="22"/>
          <w:lang w:val="el-GR"/>
        </w:rPr>
        <w:t xml:space="preserve"> </w:t>
      </w:r>
      <w:r w:rsidR="00CC3917" w:rsidRPr="00CC3917">
        <w:rPr>
          <w:rFonts w:asciiTheme="minorHAnsi" w:hAnsiTheme="minorHAnsi"/>
          <w:szCs w:val="22"/>
        </w:rPr>
        <w:t>Cement</w:t>
      </w:r>
      <w:r w:rsidR="00CC3917" w:rsidRPr="00CC3917">
        <w:rPr>
          <w:rFonts w:asciiTheme="minorHAnsi" w:hAnsiTheme="minorHAnsi"/>
          <w:szCs w:val="22"/>
          <w:lang w:val="el-GR"/>
        </w:rPr>
        <w:t xml:space="preserve"> </w:t>
      </w:r>
      <w:r w:rsidR="00CC3917" w:rsidRPr="00CC3917">
        <w:rPr>
          <w:rFonts w:asciiTheme="minorHAnsi" w:hAnsiTheme="minorHAnsi"/>
          <w:szCs w:val="22"/>
        </w:rPr>
        <w:t>International</w:t>
      </w:r>
      <w:r w:rsidR="00CC3917" w:rsidRPr="00CC3917">
        <w:rPr>
          <w:rFonts w:asciiTheme="minorHAnsi" w:hAnsiTheme="minorHAnsi" w:cs="Calibri"/>
          <w:szCs w:val="22"/>
          <w:lang w:val="el-GR"/>
        </w:rPr>
        <w:t xml:space="preserve"> σύμφωνα με το Άρθρο 7 της Κωδικοποιημένης Απόφασης υπ' </w:t>
      </w:r>
      <w:proofErr w:type="spellStart"/>
      <w:r w:rsidR="00CC3917" w:rsidRPr="00CC3917">
        <w:rPr>
          <w:rFonts w:asciiTheme="minorHAnsi" w:hAnsiTheme="minorHAnsi" w:cs="Calibri"/>
          <w:szCs w:val="22"/>
          <w:lang w:val="el-GR"/>
        </w:rPr>
        <w:t>αριθμ</w:t>
      </w:r>
      <w:proofErr w:type="spellEnd"/>
      <w:r w:rsidR="00CC3917" w:rsidRPr="00CC3917">
        <w:rPr>
          <w:rFonts w:asciiTheme="minorHAnsi" w:hAnsiTheme="minorHAnsi" w:cs="Calibri"/>
          <w:szCs w:val="22"/>
          <w:lang w:val="el-GR"/>
        </w:rPr>
        <w:t>. 1 (συνεδρίαση 223/28.1.2014) του Διοικητικού Συμβουλίου της ΕΛ.Κ.Α.Τ., όπως ισχύει, τα οποία άλλως θα επιβάρυναν τους Αποδεχόμενους Μετόχους. Αυτά τα δικαιώματα ανέρχονται σήμερα σε ποσοστό 0,08% επί της αξίας των Προσφερόμενων Μετοχών και υπολογίζονται σύμφωνα με την ως άνω διάταξη.</w:t>
      </w:r>
      <w:r w:rsidR="00CC3917" w:rsidRPr="00CC3917">
        <w:rPr>
          <w:rFonts w:asciiTheme="minorHAnsi" w:hAnsiTheme="minorHAnsi"/>
          <w:szCs w:val="22"/>
          <w:lang w:val="el-GR"/>
        </w:rPr>
        <w:t xml:space="preserve"> </w:t>
      </w:r>
    </w:p>
    <w:p w:rsidR="00CC3917" w:rsidRPr="00CC3917" w:rsidRDefault="00D01ABC" w:rsidP="00CC3917">
      <w:pPr>
        <w:pStyle w:val="a9"/>
        <w:tabs>
          <w:tab w:val="left" w:pos="720"/>
        </w:tabs>
        <w:spacing w:after="120" w:line="240" w:lineRule="auto"/>
        <w:ind w:left="0"/>
        <w:rPr>
          <w:rFonts w:asciiTheme="minorHAnsi" w:hAnsiTheme="minorHAnsi"/>
          <w:szCs w:val="22"/>
          <w:lang w:val="el-GR"/>
        </w:rPr>
      </w:pPr>
      <w:r>
        <w:rPr>
          <w:rFonts w:asciiTheme="minorHAnsi" w:hAnsiTheme="minorHAnsi" w:cs="Calibri"/>
          <w:szCs w:val="22"/>
          <w:lang w:val="el-GR"/>
        </w:rPr>
        <w:t>Η</w:t>
      </w:r>
      <w:r w:rsidR="00CC3917" w:rsidRPr="00CC3917">
        <w:rPr>
          <w:rFonts w:asciiTheme="minorHAnsi" w:hAnsiTheme="minorHAnsi" w:cs="Calibri"/>
          <w:szCs w:val="22"/>
          <w:lang w:val="el-GR"/>
        </w:rPr>
        <w:t xml:space="preserve"> μεταβίβαση των Προσφερόμενων Μετοχών στην </w:t>
      </w:r>
      <w:r w:rsidR="00CC3917" w:rsidRPr="00CC3917">
        <w:rPr>
          <w:rFonts w:asciiTheme="minorHAnsi" w:hAnsiTheme="minorHAnsi"/>
          <w:szCs w:val="22"/>
        </w:rPr>
        <w:t>Titan</w:t>
      </w:r>
      <w:r w:rsidR="00CC3917" w:rsidRPr="00CC3917">
        <w:rPr>
          <w:rFonts w:asciiTheme="minorHAnsi" w:hAnsiTheme="minorHAnsi"/>
          <w:szCs w:val="22"/>
          <w:lang w:val="el-GR"/>
        </w:rPr>
        <w:t xml:space="preserve"> </w:t>
      </w:r>
      <w:r w:rsidR="00CC3917" w:rsidRPr="00CC3917">
        <w:rPr>
          <w:rFonts w:asciiTheme="minorHAnsi" w:hAnsiTheme="minorHAnsi"/>
          <w:szCs w:val="22"/>
        </w:rPr>
        <w:t>Cement</w:t>
      </w:r>
      <w:r w:rsidR="00CC3917" w:rsidRPr="00CC3917">
        <w:rPr>
          <w:rFonts w:asciiTheme="minorHAnsi" w:hAnsiTheme="minorHAnsi"/>
          <w:szCs w:val="22"/>
          <w:lang w:val="el-GR"/>
        </w:rPr>
        <w:t xml:space="preserve"> </w:t>
      </w:r>
      <w:r w:rsidR="00CC3917" w:rsidRPr="00CC3917">
        <w:rPr>
          <w:rFonts w:asciiTheme="minorHAnsi" w:hAnsiTheme="minorHAnsi"/>
          <w:szCs w:val="22"/>
        </w:rPr>
        <w:t>International</w:t>
      </w:r>
      <w:r w:rsidR="00CC3917" w:rsidRPr="00CC3917">
        <w:rPr>
          <w:rFonts w:asciiTheme="minorHAnsi" w:hAnsiTheme="minorHAnsi" w:cs="Calibri"/>
          <w:szCs w:val="22"/>
          <w:lang w:val="el-GR"/>
        </w:rPr>
        <w:t xml:space="preserve"> με αντάλλαγμα Μετοχές του Ανταλλάγματος δεν υπόκειται στον προβλεπόμενο στο άρθρο 9, παράγραφος 2 του Ν. 2579/1998 φόρο υπέρ του Ελληνικού Δημοσίου, ο οποίος ανέρχεται σήμερα σε ποσοστό 0,20% και επιβάλλεται στις πωλήσεις μετοχών εισηγμένων στο Χ.Α., καθώς η εν λόγω μεταβίβαση δε συνιστά πώληση σύμφωνα με την ανωτέρω διάταξη. Συνεπώς, Αποδεχόμενοι Μέτοχοι οι οποίοι θα λάβουν Μετοχές του Ανταλλάγματος (ανεξάρτητα από το εάν τηρούνται μέσω του </w:t>
      </w:r>
      <w:proofErr w:type="spellStart"/>
      <w:r w:rsidR="00CC3917" w:rsidRPr="00CC3917">
        <w:rPr>
          <w:rFonts w:asciiTheme="minorHAnsi" w:hAnsiTheme="minorHAnsi" w:cs="Calibri"/>
          <w:szCs w:val="22"/>
        </w:rPr>
        <w:t>Euroclear</w:t>
      </w:r>
      <w:proofErr w:type="spellEnd"/>
      <w:r w:rsidR="00CC3917" w:rsidRPr="00CC3917">
        <w:rPr>
          <w:rFonts w:asciiTheme="minorHAnsi" w:hAnsiTheme="minorHAnsi" w:cs="Calibri"/>
          <w:szCs w:val="22"/>
          <w:lang w:val="el-GR"/>
        </w:rPr>
        <w:t xml:space="preserve"> Βελγίου ή της ΕΛ.Κ.Α.Τ.) δεν θα υποχρεούνται να καταβάλουν αυτόν το φόρο.</w:t>
      </w:r>
    </w:p>
    <w:p w:rsidR="00CC3917" w:rsidRPr="00CC3917" w:rsidRDefault="00CC3917" w:rsidP="00CC3917">
      <w:pPr>
        <w:pStyle w:val="KATERINA4"/>
        <w:tabs>
          <w:tab w:val="left" w:pos="720"/>
        </w:tabs>
        <w:spacing w:after="120"/>
        <w:ind w:firstLine="0"/>
        <w:outlineLvl w:val="2"/>
        <w:rPr>
          <w:rFonts w:asciiTheme="minorHAnsi" w:hAnsiTheme="minorHAnsi"/>
          <w:b/>
          <w:sz w:val="22"/>
          <w:szCs w:val="22"/>
        </w:rPr>
      </w:pPr>
      <w:r w:rsidRPr="00CC3917">
        <w:rPr>
          <w:rFonts w:asciiTheme="minorHAnsi" w:hAnsiTheme="minorHAnsi" w:cs="Calibri"/>
          <w:b/>
          <w:bCs/>
          <w:iCs/>
          <w:sz w:val="22"/>
          <w:szCs w:val="22"/>
        </w:rPr>
        <w:t xml:space="preserve">Δικαίωμα Εξαγοράς - Δικαίωμα Εξόδου - Διαγραφή </w:t>
      </w:r>
      <w:r w:rsidR="00D01ABC">
        <w:rPr>
          <w:rFonts w:asciiTheme="minorHAnsi" w:hAnsiTheme="minorHAnsi" w:cs="Calibri"/>
          <w:b/>
          <w:bCs/>
          <w:iCs/>
          <w:sz w:val="22"/>
          <w:szCs w:val="22"/>
        </w:rPr>
        <w:t>των Μετοχών</w:t>
      </w:r>
      <w:r w:rsidRPr="00CC3917">
        <w:rPr>
          <w:rFonts w:asciiTheme="minorHAnsi" w:hAnsiTheme="minorHAnsi" w:cs="Calibri"/>
          <w:b/>
          <w:bCs/>
          <w:iCs/>
          <w:sz w:val="22"/>
          <w:szCs w:val="22"/>
        </w:rPr>
        <w:t xml:space="preserve"> ΤΙΤΑΝ</w:t>
      </w:r>
    </w:p>
    <w:p w:rsidR="00CC3917" w:rsidRPr="00CC3917" w:rsidRDefault="00D01ABC" w:rsidP="00CC3917">
      <w:pPr>
        <w:pStyle w:val="KATERINA4"/>
        <w:tabs>
          <w:tab w:val="left" w:pos="720"/>
        </w:tabs>
        <w:spacing w:after="120"/>
        <w:ind w:firstLine="0"/>
        <w:rPr>
          <w:rFonts w:asciiTheme="minorHAnsi" w:hAnsiTheme="minorHAnsi" w:cs="Calibri"/>
          <w:sz w:val="22"/>
          <w:szCs w:val="22"/>
        </w:rPr>
      </w:pPr>
      <w:r>
        <w:rPr>
          <w:rFonts w:asciiTheme="minorHAnsi" w:hAnsiTheme="minorHAnsi"/>
          <w:sz w:val="22"/>
          <w:szCs w:val="22"/>
        </w:rPr>
        <w:t>7</w:t>
      </w:r>
      <w:r w:rsidR="00CC3917" w:rsidRPr="00CC3917">
        <w:rPr>
          <w:rFonts w:asciiTheme="minorHAnsi" w:hAnsiTheme="minorHAnsi"/>
          <w:sz w:val="22"/>
          <w:szCs w:val="22"/>
        </w:rPr>
        <w:t>.</w:t>
      </w:r>
      <w:r w:rsidR="00CC3917" w:rsidRPr="00CC3917">
        <w:rPr>
          <w:rFonts w:asciiTheme="minorHAnsi" w:hAnsiTheme="minorHAnsi"/>
          <w:sz w:val="22"/>
          <w:szCs w:val="22"/>
        </w:rPr>
        <w:tab/>
      </w:r>
      <w:r w:rsidR="00CC3917" w:rsidRPr="00CC3917">
        <w:rPr>
          <w:rFonts w:asciiTheme="minorHAnsi" w:hAnsiTheme="minorHAnsi" w:cs="Calibri"/>
          <w:sz w:val="22"/>
          <w:szCs w:val="22"/>
        </w:rPr>
        <w:t xml:space="preserve">Εάν, κατά τη λήξη της Περιόδου Αποδοχής, θα έχουν προσφερθεί νόμιμα και έγκυρα στην TITAN </w:t>
      </w:r>
      <w:proofErr w:type="spellStart"/>
      <w:r w:rsidR="00CC3917" w:rsidRPr="00CC3917">
        <w:rPr>
          <w:rFonts w:asciiTheme="minorHAnsi" w:hAnsiTheme="minorHAnsi" w:cs="Calibri"/>
          <w:sz w:val="22"/>
          <w:szCs w:val="22"/>
        </w:rPr>
        <w:t>Cement</w:t>
      </w:r>
      <w:proofErr w:type="spellEnd"/>
      <w:r w:rsidR="00CC3917" w:rsidRPr="00CC3917">
        <w:rPr>
          <w:rFonts w:asciiTheme="minorHAnsi" w:hAnsiTheme="minorHAnsi" w:cs="Calibri"/>
          <w:sz w:val="22"/>
          <w:szCs w:val="22"/>
        </w:rPr>
        <w:t xml:space="preserve"> </w:t>
      </w:r>
      <w:proofErr w:type="spellStart"/>
      <w:r w:rsidR="00CC3917" w:rsidRPr="00CC3917">
        <w:rPr>
          <w:rFonts w:asciiTheme="minorHAnsi" w:hAnsiTheme="minorHAnsi" w:cs="Calibri"/>
          <w:sz w:val="22"/>
          <w:szCs w:val="22"/>
        </w:rPr>
        <w:t>International</w:t>
      </w:r>
      <w:proofErr w:type="spellEnd"/>
      <w:r w:rsidR="00CC3917" w:rsidRPr="00CC3917">
        <w:rPr>
          <w:rFonts w:asciiTheme="minorHAnsi" w:hAnsiTheme="minorHAnsi" w:cs="Calibri"/>
          <w:sz w:val="22"/>
          <w:szCs w:val="22"/>
        </w:rPr>
        <w:t xml:space="preserve"> τουλάχιστον (i) 69.357.212 Κοινές Μετοχές που θα αντιστοιχούν σε ποσοστό 90% του κοινού μετοχικού κεφαλαίου και των δικαιωμάτων ψήφου της ΤΙΤΑΝ, και (ii) 6.812.064 Προνομιούχες Μετοχές που θα αντιστοιχούν σε ποσοστό 90% του προνομιούχου μετοχικού κεφαλαίου της ΤΙΤΑΝ (από κοινού, ο </w:t>
      </w:r>
      <w:r w:rsidR="00CC3917" w:rsidRPr="00CC3917">
        <w:rPr>
          <w:rFonts w:asciiTheme="minorHAnsi" w:hAnsiTheme="minorHAnsi"/>
          <w:sz w:val="22"/>
          <w:szCs w:val="22"/>
        </w:rPr>
        <w:t>«</w:t>
      </w:r>
      <w:r w:rsidR="00CC3917" w:rsidRPr="00CC3917">
        <w:rPr>
          <w:rFonts w:asciiTheme="minorHAnsi" w:hAnsiTheme="minorHAnsi" w:cs="Calibri"/>
          <w:b/>
          <w:sz w:val="22"/>
          <w:szCs w:val="22"/>
        </w:rPr>
        <w:t>Ελάχιστος Αριθμός Μετοχών</w:t>
      </w:r>
      <w:r w:rsidR="00CC3917" w:rsidRPr="00CC3917">
        <w:rPr>
          <w:rFonts w:asciiTheme="minorHAnsi" w:hAnsiTheme="minorHAnsi"/>
          <w:sz w:val="22"/>
          <w:szCs w:val="22"/>
        </w:rPr>
        <w:t>»</w:t>
      </w:r>
      <w:r w:rsidR="00CC3917" w:rsidRPr="00CC3917">
        <w:rPr>
          <w:rFonts w:asciiTheme="minorHAnsi" w:hAnsiTheme="minorHAnsi" w:cs="Calibri"/>
          <w:sz w:val="22"/>
          <w:szCs w:val="22"/>
        </w:rPr>
        <w:t>),</w:t>
      </w:r>
    </w:p>
    <w:p w:rsidR="00CC3917" w:rsidRPr="00CC3917" w:rsidRDefault="00CC3917" w:rsidP="00CC3917">
      <w:pPr>
        <w:pStyle w:val="KATERINA4"/>
        <w:tabs>
          <w:tab w:val="left" w:pos="720"/>
        </w:tabs>
        <w:spacing w:after="120"/>
        <w:ind w:firstLine="0"/>
        <w:rPr>
          <w:rFonts w:asciiTheme="minorHAnsi" w:hAnsiTheme="minorHAnsi" w:cs="Calibri"/>
          <w:sz w:val="22"/>
          <w:szCs w:val="22"/>
        </w:rPr>
      </w:pPr>
      <w:r w:rsidRPr="00CC3917">
        <w:rPr>
          <w:rFonts w:asciiTheme="minorHAnsi" w:hAnsiTheme="minorHAnsi" w:cs="Calibri"/>
          <w:sz w:val="22"/>
          <w:szCs w:val="22"/>
        </w:rPr>
        <w:t>(α)</w:t>
      </w:r>
      <w:r w:rsidRPr="00CC3917">
        <w:rPr>
          <w:rFonts w:asciiTheme="minorHAnsi" w:hAnsiTheme="minorHAnsi" w:cs="Calibri"/>
          <w:sz w:val="22"/>
          <w:szCs w:val="22"/>
        </w:rPr>
        <w:tab/>
        <w:t xml:space="preserve">η TITAN </w:t>
      </w:r>
      <w:proofErr w:type="spellStart"/>
      <w:r w:rsidRPr="00CC3917">
        <w:rPr>
          <w:rFonts w:asciiTheme="minorHAnsi" w:hAnsiTheme="minorHAnsi" w:cs="Calibri"/>
          <w:sz w:val="22"/>
          <w:szCs w:val="22"/>
        </w:rPr>
        <w:t>Cement</w:t>
      </w:r>
      <w:proofErr w:type="spellEnd"/>
      <w:r w:rsidRPr="00CC3917">
        <w:rPr>
          <w:rFonts w:asciiTheme="minorHAnsi" w:hAnsiTheme="minorHAnsi" w:cs="Calibri"/>
          <w:sz w:val="22"/>
          <w:szCs w:val="22"/>
        </w:rPr>
        <w:t xml:space="preserve"> </w:t>
      </w:r>
      <w:proofErr w:type="spellStart"/>
      <w:r w:rsidRPr="00CC3917">
        <w:rPr>
          <w:rFonts w:asciiTheme="minorHAnsi" w:hAnsiTheme="minorHAnsi" w:cs="Calibri"/>
          <w:sz w:val="22"/>
          <w:szCs w:val="22"/>
        </w:rPr>
        <w:t>International</w:t>
      </w:r>
      <w:proofErr w:type="spellEnd"/>
      <w:r w:rsidRPr="00CC3917">
        <w:rPr>
          <w:rFonts w:asciiTheme="minorHAnsi" w:hAnsiTheme="minorHAnsi" w:cs="Calibri"/>
          <w:sz w:val="22"/>
          <w:szCs w:val="22"/>
        </w:rPr>
        <w:t xml:space="preserve"> θα δικαιούται να απαιτήσει από:</w:t>
      </w:r>
    </w:p>
    <w:p w:rsidR="00CC3917" w:rsidRPr="00CC3917" w:rsidRDefault="00CC3917" w:rsidP="00CC3917">
      <w:pPr>
        <w:pStyle w:val="KATERINA4"/>
        <w:tabs>
          <w:tab w:val="left" w:pos="720"/>
        </w:tabs>
        <w:spacing w:after="120"/>
        <w:ind w:left="1440" w:hanging="1440"/>
        <w:rPr>
          <w:rFonts w:asciiTheme="minorHAnsi" w:hAnsiTheme="minorHAnsi" w:cs="Calibri"/>
          <w:sz w:val="22"/>
          <w:szCs w:val="22"/>
        </w:rPr>
      </w:pPr>
      <w:r w:rsidRPr="00CC3917">
        <w:rPr>
          <w:rFonts w:asciiTheme="minorHAnsi" w:hAnsiTheme="minorHAnsi" w:cs="Calibri"/>
          <w:sz w:val="22"/>
          <w:szCs w:val="22"/>
        </w:rPr>
        <w:lastRenderedPageBreak/>
        <w:tab/>
        <w:t>(i)</w:t>
      </w:r>
      <w:r w:rsidRPr="00CC3917">
        <w:rPr>
          <w:rFonts w:asciiTheme="minorHAnsi" w:hAnsiTheme="minorHAnsi" w:cs="Calibri"/>
          <w:sz w:val="22"/>
          <w:szCs w:val="22"/>
        </w:rPr>
        <w:tab/>
        <w:t xml:space="preserve">όλους τους εναπομείναντες κατόχους Κοινών Μετοχών τη μεταβίβαση όλων των Κοινών Μετοχών τους με αντάλλαγμα, κατ’ επιλογήν του οικείου μετόχου, είτε μία Μετοχή του Ανταλλάγματος για κάθε μία Κοινή Μετοχή, είτε ποσό σε μετρητά για κάθε μία Κοινή Μετοχή, </w:t>
      </w:r>
      <w:r w:rsidR="00D01ABC">
        <w:rPr>
          <w:rFonts w:asciiTheme="minorHAnsi" w:hAnsiTheme="minorHAnsi" w:cs="Calibri"/>
          <w:sz w:val="22"/>
          <w:szCs w:val="22"/>
        </w:rPr>
        <w:t xml:space="preserve">ίσο </w:t>
      </w:r>
      <w:r w:rsidR="00D01ABC">
        <w:rPr>
          <w:rFonts w:ascii="Calibri" w:hAnsi="Calibri"/>
          <w:color w:val="000000"/>
          <w:sz w:val="22"/>
          <w:szCs w:val="22"/>
        </w:rPr>
        <w:t>με €20,83</w:t>
      </w:r>
      <w:r w:rsidR="00D01ABC" w:rsidRPr="00D01ABC">
        <w:rPr>
          <w:rFonts w:ascii="Calibri" w:hAnsi="Calibri"/>
          <w:color w:val="000000"/>
          <w:sz w:val="22"/>
          <w:szCs w:val="22"/>
        </w:rPr>
        <w:t xml:space="preserve"> </w:t>
      </w:r>
      <w:r w:rsidR="00D01ABC">
        <w:rPr>
          <w:rFonts w:ascii="Calibri" w:hAnsi="Calibri"/>
          <w:color w:val="000000"/>
          <w:sz w:val="22"/>
          <w:szCs w:val="22"/>
        </w:rPr>
        <w:t>που ισούται με τη μέση χρηματιστηριακή</w:t>
      </w:r>
      <w:r w:rsidR="00D01ABC" w:rsidRPr="00D01ABC">
        <w:rPr>
          <w:rFonts w:ascii="Calibri" w:hAnsi="Calibri"/>
          <w:color w:val="000000"/>
          <w:sz w:val="22"/>
          <w:szCs w:val="22"/>
        </w:rPr>
        <w:t xml:space="preserve"> τιμή ("</w:t>
      </w:r>
      <w:r w:rsidR="00D01ABC" w:rsidRPr="00D01ABC">
        <w:rPr>
          <w:rFonts w:ascii="Calibri" w:hAnsi="Calibri"/>
          <w:b/>
          <w:bCs/>
          <w:color w:val="000000"/>
          <w:sz w:val="22"/>
          <w:szCs w:val="22"/>
        </w:rPr>
        <w:t>ΜΧΤΜ</w:t>
      </w:r>
      <w:r w:rsidR="00D01ABC" w:rsidRPr="00D01ABC">
        <w:rPr>
          <w:rFonts w:ascii="Calibri" w:hAnsi="Calibri"/>
          <w:color w:val="000000"/>
          <w:sz w:val="22"/>
          <w:szCs w:val="22"/>
        </w:rPr>
        <w:t xml:space="preserve">") της </w:t>
      </w:r>
      <w:r w:rsidR="00D01ABC">
        <w:rPr>
          <w:rFonts w:ascii="Calibri" w:hAnsi="Calibri"/>
          <w:color w:val="000000"/>
          <w:sz w:val="22"/>
          <w:szCs w:val="22"/>
        </w:rPr>
        <w:t>Κ</w:t>
      </w:r>
      <w:r w:rsidR="00D01ABC" w:rsidRPr="00D01ABC">
        <w:rPr>
          <w:rFonts w:ascii="Calibri" w:hAnsi="Calibri"/>
          <w:color w:val="000000"/>
          <w:sz w:val="22"/>
          <w:szCs w:val="22"/>
        </w:rPr>
        <w:t xml:space="preserve">οινής </w:t>
      </w:r>
      <w:r w:rsidR="00D01ABC">
        <w:rPr>
          <w:rFonts w:ascii="Calibri" w:hAnsi="Calibri"/>
          <w:color w:val="000000"/>
          <w:sz w:val="22"/>
          <w:szCs w:val="22"/>
        </w:rPr>
        <w:t>Μ</w:t>
      </w:r>
      <w:r w:rsidR="00D01ABC" w:rsidRPr="00D01ABC">
        <w:rPr>
          <w:rFonts w:ascii="Calibri" w:hAnsi="Calibri"/>
          <w:color w:val="000000"/>
          <w:sz w:val="22"/>
          <w:szCs w:val="22"/>
        </w:rPr>
        <w:t xml:space="preserve">ετοχής κατά τους έξι μήνες που προηγούνται της </w:t>
      </w:r>
      <w:r w:rsidR="00D01ABC">
        <w:rPr>
          <w:rFonts w:ascii="Calibri" w:hAnsi="Calibri"/>
          <w:color w:val="000000"/>
          <w:sz w:val="22"/>
          <w:szCs w:val="22"/>
        </w:rPr>
        <w:t>Η</w:t>
      </w:r>
      <w:r w:rsidR="00D01ABC" w:rsidRPr="00D01ABC">
        <w:rPr>
          <w:rFonts w:ascii="Calibri" w:hAnsi="Calibri"/>
          <w:color w:val="000000"/>
          <w:sz w:val="22"/>
          <w:szCs w:val="22"/>
        </w:rPr>
        <w:t>μερομηνίας της Δημόσιας Πρότασης</w:t>
      </w:r>
      <w:r w:rsidR="00D01ABC" w:rsidRPr="00CC3917">
        <w:rPr>
          <w:rFonts w:asciiTheme="minorHAnsi" w:hAnsiTheme="minorHAnsi" w:cs="Calibri"/>
          <w:sz w:val="22"/>
          <w:szCs w:val="22"/>
        </w:rPr>
        <w:t xml:space="preserve"> </w:t>
      </w:r>
      <w:r w:rsidR="00D01ABC">
        <w:rPr>
          <w:rFonts w:asciiTheme="minorHAnsi" w:hAnsiTheme="minorHAnsi" w:cs="Calibri"/>
          <w:sz w:val="22"/>
          <w:szCs w:val="22"/>
        </w:rPr>
        <w:t>Ανταλλαγής</w:t>
      </w:r>
      <w:r w:rsidRPr="00CC3917">
        <w:rPr>
          <w:rFonts w:asciiTheme="minorHAnsi" w:hAnsiTheme="minorHAnsi" w:cs="Calibri"/>
          <w:sz w:val="22"/>
          <w:szCs w:val="22"/>
        </w:rPr>
        <w:t xml:space="preserve"> (το </w:t>
      </w:r>
      <w:r w:rsidRPr="00CC3917">
        <w:rPr>
          <w:rFonts w:asciiTheme="minorHAnsi" w:hAnsiTheme="minorHAnsi"/>
          <w:sz w:val="22"/>
          <w:szCs w:val="22"/>
        </w:rPr>
        <w:t>«</w:t>
      </w:r>
      <w:r w:rsidRPr="00CC3917">
        <w:rPr>
          <w:rFonts w:asciiTheme="minorHAnsi" w:hAnsiTheme="minorHAnsi" w:cs="Calibri"/>
          <w:b/>
          <w:sz w:val="22"/>
          <w:szCs w:val="22"/>
        </w:rPr>
        <w:t>Αντάλλαγμα σε Μετρητά Κοινής Μετοχής</w:t>
      </w:r>
      <w:r w:rsidRPr="00CC3917">
        <w:rPr>
          <w:rFonts w:asciiTheme="minorHAnsi" w:hAnsiTheme="minorHAnsi"/>
          <w:sz w:val="22"/>
          <w:szCs w:val="22"/>
        </w:rPr>
        <w:t>»</w:t>
      </w:r>
      <w:r w:rsidRPr="00CC3917">
        <w:rPr>
          <w:rFonts w:asciiTheme="minorHAnsi" w:hAnsiTheme="minorHAnsi" w:cs="Calibri"/>
          <w:sz w:val="22"/>
          <w:szCs w:val="22"/>
        </w:rPr>
        <w:t>), και</w:t>
      </w:r>
    </w:p>
    <w:p w:rsidR="00D01ABC" w:rsidRPr="00D01ABC" w:rsidRDefault="00CC3917" w:rsidP="00CC3917">
      <w:pPr>
        <w:pStyle w:val="KATERINA4"/>
        <w:tabs>
          <w:tab w:val="left" w:pos="720"/>
        </w:tabs>
        <w:spacing w:after="120"/>
        <w:ind w:left="1440" w:hanging="1440"/>
        <w:rPr>
          <w:rFonts w:asciiTheme="minorHAnsi" w:hAnsiTheme="minorHAnsi" w:cs="Calibri"/>
          <w:sz w:val="22"/>
          <w:szCs w:val="22"/>
        </w:rPr>
      </w:pPr>
      <w:r w:rsidRPr="00CC3917">
        <w:rPr>
          <w:rFonts w:asciiTheme="minorHAnsi" w:hAnsiTheme="minorHAnsi"/>
          <w:bCs/>
          <w:sz w:val="22"/>
          <w:szCs w:val="22"/>
        </w:rPr>
        <w:tab/>
        <w:t>(ii)</w:t>
      </w:r>
      <w:r w:rsidRPr="00CC3917">
        <w:rPr>
          <w:rFonts w:asciiTheme="minorHAnsi" w:hAnsiTheme="minorHAnsi"/>
          <w:bCs/>
          <w:sz w:val="22"/>
          <w:szCs w:val="22"/>
        </w:rPr>
        <w:tab/>
      </w:r>
      <w:r w:rsidRPr="00CC3917">
        <w:rPr>
          <w:rFonts w:asciiTheme="minorHAnsi" w:hAnsiTheme="minorHAnsi" w:cs="Calibri"/>
          <w:sz w:val="22"/>
          <w:szCs w:val="22"/>
        </w:rPr>
        <w:t xml:space="preserve">όλους τους εναπομείναντες κατόχους Προνομιούχων Μετοχών τη μεταβίβαση όλων των Προνομιούχων Μετοχών τους με αντάλλαγμα, κατ’ επιλογήν του οικείου μετόχου, </w:t>
      </w:r>
      <w:r w:rsidRPr="00CC3917">
        <w:rPr>
          <w:rFonts w:asciiTheme="minorHAnsi" w:hAnsiTheme="minorHAnsi" w:cs="Calibri"/>
          <w:sz w:val="22"/>
          <w:szCs w:val="22"/>
          <w:u w:val="single"/>
        </w:rPr>
        <w:t>είτε</w:t>
      </w:r>
      <w:r w:rsidRPr="00CC3917">
        <w:rPr>
          <w:rFonts w:asciiTheme="minorHAnsi" w:hAnsiTheme="minorHAnsi" w:cs="Calibri"/>
          <w:sz w:val="22"/>
          <w:szCs w:val="22"/>
        </w:rPr>
        <w:t xml:space="preserve"> μία Μετοχή του Ανταλλάγματος για κάθε μία Προνομιούχο Μετοχή, </w:t>
      </w:r>
      <w:r w:rsidRPr="00CC3917">
        <w:rPr>
          <w:rFonts w:asciiTheme="minorHAnsi" w:hAnsiTheme="minorHAnsi" w:cs="Calibri"/>
          <w:sz w:val="22"/>
          <w:szCs w:val="22"/>
          <w:u w:val="single"/>
        </w:rPr>
        <w:t>είτε</w:t>
      </w:r>
      <w:r w:rsidRPr="00CC3917">
        <w:rPr>
          <w:rFonts w:asciiTheme="minorHAnsi" w:hAnsiTheme="minorHAnsi" w:cs="Calibri"/>
          <w:sz w:val="22"/>
          <w:szCs w:val="22"/>
        </w:rPr>
        <w:t xml:space="preserve"> ποσό σε μετρητά για κάθε μία Προνομιούχο Μετοχή, </w:t>
      </w:r>
      <w:r w:rsidR="00D01ABC">
        <w:rPr>
          <w:rFonts w:asciiTheme="minorHAnsi" w:hAnsiTheme="minorHAnsi" w:cs="Calibri"/>
          <w:sz w:val="22"/>
          <w:szCs w:val="22"/>
        </w:rPr>
        <w:t xml:space="preserve">ίσο </w:t>
      </w:r>
      <w:r w:rsidR="00D01ABC">
        <w:rPr>
          <w:rFonts w:ascii="Calibri" w:hAnsi="Calibri"/>
          <w:color w:val="000000"/>
          <w:sz w:val="22"/>
          <w:szCs w:val="22"/>
        </w:rPr>
        <w:t>με €16,62</w:t>
      </w:r>
      <w:r w:rsidR="00D01ABC" w:rsidRPr="00D01ABC">
        <w:rPr>
          <w:rFonts w:ascii="Calibri" w:hAnsi="Calibri"/>
          <w:color w:val="000000"/>
          <w:sz w:val="22"/>
          <w:szCs w:val="22"/>
        </w:rPr>
        <w:t xml:space="preserve"> </w:t>
      </w:r>
      <w:r w:rsidR="00D01ABC">
        <w:rPr>
          <w:rFonts w:ascii="Calibri" w:hAnsi="Calibri"/>
          <w:color w:val="000000"/>
          <w:sz w:val="22"/>
          <w:szCs w:val="22"/>
        </w:rPr>
        <w:t>που ισούται με τη ΜΧΤΜ</w:t>
      </w:r>
      <w:r w:rsidR="00D01ABC" w:rsidRPr="00D01ABC">
        <w:rPr>
          <w:rFonts w:ascii="Calibri" w:hAnsi="Calibri"/>
          <w:color w:val="000000"/>
          <w:sz w:val="22"/>
          <w:szCs w:val="22"/>
        </w:rPr>
        <w:t xml:space="preserve"> της </w:t>
      </w:r>
      <w:r w:rsidR="00D01ABC">
        <w:rPr>
          <w:rFonts w:ascii="Calibri" w:hAnsi="Calibri"/>
          <w:color w:val="000000"/>
          <w:sz w:val="22"/>
          <w:szCs w:val="22"/>
        </w:rPr>
        <w:t>Προνομιούχου</w:t>
      </w:r>
      <w:r w:rsidR="00D01ABC" w:rsidRPr="00D01ABC">
        <w:rPr>
          <w:rFonts w:ascii="Calibri" w:hAnsi="Calibri"/>
          <w:color w:val="000000"/>
          <w:sz w:val="22"/>
          <w:szCs w:val="22"/>
        </w:rPr>
        <w:t xml:space="preserve"> </w:t>
      </w:r>
      <w:r w:rsidR="00D01ABC">
        <w:rPr>
          <w:rFonts w:ascii="Calibri" w:hAnsi="Calibri"/>
          <w:color w:val="000000"/>
          <w:sz w:val="22"/>
          <w:szCs w:val="22"/>
        </w:rPr>
        <w:t>Μ</w:t>
      </w:r>
      <w:r w:rsidR="00D01ABC" w:rsidRPr="00D01ABC">
        <w:rPr>
          <w:rFonts w:ascii="Calibri" w:hAnsi="Calibri"/>
          <w:color w:val="000000"/>
          <w:sz w:val="22"/>
          <w:szCs w:val="22"/>
        </w:rPr>
        <w:t xml:space="preserve">ετοχής κατά τους έξι μήνες που προηγούνται της </w:t>
      </w:r>
      <w:r w:rsidR="00D01ABC">
        <w:rPr>
          <w:rFonts w:ascii="Calibri" w:hAnsi="Calibri"/>
          <w:color w:val="000000"/>
          <w:sz w:val="22"/>
          <w:szCs w:val="22"/>
        </w:rPr>
        <w:t>Η</w:t>
      </w:r>
      <w:r w:rsidR="00D01ABC" w:rsidRPr="00D01ABC">
        <w:rPr>
          <w:rFonts w:ascii="Calibri" w:hAnsi="Calibri"/>
          <w:color w:val="000000"/>
          <w:sz w:val="22"/>
          <w:szCs w:val="22"/>
        </w:rPr>
        <w:t>μερομηνίας της Δημόσιας Πρότασης</w:t>
      </w:r>
      <w:r w:rsidR="00D01ABC" w:rsidRPr="00CC3917">
        <w:rPr>
          <w:rFonts w:asciiTheme="minorHAnsi" w:hAnsiTheme="minorHAnsi" w:cs="Calibri"/>
          <w:sz w:val="22"/>
          <w:szCs w:val="22"/>
        </w:rPr>
        <w:t xml:space="preserve"> </w:t>
      </w:r>
      <w:r w:rsidR="00D01ABC">
        <w:rPr>
          <w:rFonts w:asciiTheme="minorHAnsi" w:hAnsiTheme="minorHAnsi" w:cs="Calibri"/>
          <w:sz w:val="22"/>
          <w:szCs w:val="22"/>
        </w:rPr>
        <w:t>Ανταλλαγής</w:t>
      </w:r>
      <w:r w:rsidRPr="00CC3917">
        <w:rPr>
          <w:rFonts w:asciiTheme="minorHAnsi" w:hAnsiTheme="minorHAnsi" w:cs="Calibri"/>
          <w:sz w:val="22"/>
          <w:szCs w:val="22"/>
        </w:rPr>
        <w:t xml:space="preserve"> (το </w:t>
      </w:r>
      <w:r w:rsidRPr="00CC3917">
        <w:rPr>
          <w:rFonts w:asciiTheme="minorHAnsi" w:hAnsiTheme="minorHAnsi"/>
          <w:sz w:val="22"/>
          <w:szCs w:val="22"/>
        </w:rPr>
        <w:t>«</w:t>
      </w:r>
      <w:r w:rsidRPr="00CC3917">
        <w:rPr>
          <w:rFonts w:asciiTheme="minorHAnsi" w:hAnsiTheme="minorHAnsi" w:cs="Calibri"/>
          <w:b/>
          <w:sz w:val="22"/>
          <w:szCs w:val="22"/>
        </w:rPr>
        <w:t>Αντάλλαγμα σε Μετρητά Προνομιούχου</w:t>
      </w:r>
      <w:r w:rsidRPr="00CC3917">
        <w:rPr>
          <w:rFonts w:asciiTheme="minorHAnsi" w:hAnsiTheme="minorHAnsi" w:cs="Calibri"/>
          <w:sz w:val="22"/>
          <w:szCs w:val="22"/>
        </w:rPr>
        <w:t xml:space="preserve"> </w:t>
      </w:r>
      <w:r w:rsidRPr="00CC3917">
        <w:rPr>
          <w:rFonts w:asciiTheme="minorHAnsi" w:hAnsiTheme="minorHAnsi" w:cs="Calibri"/>
          <w:b/>
          <w:sz w:val="22"/>
          <w:szCs w:val="22"/>
        </w:rPr>
        <w:t>Μετοχής</w:t>
      </w:r>
      <w:r w:rsidRPr="00CC3917">
        <w:rPr>
          <w:rFonts w:asciiTheme="minorHAnsi" w:hAnsiTheme="minorHAnsi"/>
          <w:sz w:val="22"/>
          <w:szCs w:val="22"/>
        </w:rPr>
        <w:t>»</w:t>
      </w:r>
      <w:r w:rsidRPr="00CC3917">
        <w:rPr>
          <w:rFonts w:asciiTheme="minorHAnsi" w:hAnsiTheme="minorHAnsi" w:cs="Calibri"/>
          <w:sz w:val="22"/>
          <w:szCs w:val="22"/>
        </w:rPr>
        <w:t>),</w:t>
      </w:r>
    </w:p>
    <w:p w:rsidR="00CC3917" w:rsidRPr="00CC3917" w:rsidRDefault="00CC3917" w:rsidP="00A308B7">
      <w:pPr>
        <w:pStyle w:val="KATERINA4"/>
        <w:tabs>
          <w:tab w:val="left" w:pos="720"/>
        </w:tabs>
        <w:spacing w:after="120"/>
        <w:ind w:left="709" w:firstLine="0"/>
        <w:rPr>
          <w:rFonts w:asciiTheme="minorHAnsi" w:hAnsiTheme="minorHAnsi" w:cs="Calibri"/>
          <w:sz w:val="22"/>
          <w:szCs w:val="22"/>
        </w:rPr>
      </w:pPr>
      <w:r w:rsidRPr="00CC3917">
        <w:rPr>
          <w:rFonts w:asciiTheme="minorHAnsi" w:hAnsiTheme="minorHAnsi" w:cs="Calibri"/>
          <w:sz w:val="22"/>
          <w:szCs w:val="22"/>
        </w:rPr>
        <w:t xml:space="preserve">σε κάθε περίπτωση σύμφωνα με το άρθρο 27 του Νόμου και την απόφαση 1/644/2013 της ΕΚ (το </w:t>
      </w:r>
      <w:r w:rsidRPr="00CC3917">
        <w:rPr>
          <w:rFonts w:asciiTheme="minorHAnsi" w:hAnsiTheme="minorHAnsi"/>
          <w:sz w:val="22"/>
          <w:szCs w:val="22"/>
        </w:rPr>
        <w:t>«</w:t>
      </w:r>
      <w:r w:rsidRPr="00CC3917">
        <w:rPr>
          <w:rFonts w:asciiTheme="minorHAnsi" w:hAnsiTheme="minorHAnsi" w:cs="Calibri"/>
          <w:b/>
          <w:sz w:val="22"/>
          <w:szCs w:val="22"/>
        </w:rPr>
        <w:t>Δικαίωμα Εξαγοράς</w:t>
      </w:r>
      <w:r w:rsidRPr="00CC3917">
        <w:rPr>
          <w:rFonts w:asciiTheme="minorHAnsi" w:hAnsiTheme="minorHAnsi"/>
          <w:sz w:val="22"/>
          <w:szCs w:val="22"/>
        </w:rPr>
        <w:t>»</w:t>
      </w:r>
      <w:r w:rsidRPr="00CC3917">
        <w:rPr>
          <w:rFonts w:asciiTheme="minorHAnsi" w:hAnsiTheme="minorHAnsi" w:cs="Calibri"/>
          <w:sz w:val="22"/>
          <w:szCs w:val="22"/>
        </w:rPr>
        <w:t>)</w:t>
      </w:r>
      <w:r w:rsidR="00D01ABC">
        <w:rPr>
          <w:rFonts w:asciiTheme="minorHAnsi" w:hAnsiTheme="minorHAnsi" w:cs="Calibri"/>
          <w:sz w:val="22"/>
          <w:szCs w:val="22"/>
        </w:rPr>
        <w:t>, και</w:t>
      </w:r>
    </w:p>
    <w:p w:rsidR="00CC3917" w:rsidRPr="00CC3917" w:rsidRDefault="00CC3917" w:rsidP="00CC3917">
      <w:pPr>
        <w:pStyle w:val="KATERINA4"/>
        <w:tabs>
          <w:tab w:val="left" w:pos="709"/>
        </w:tabs>
        <w:spacing w:after="120"/>
        <w:ind w:left="709" w:hanging="709"/>
        <w:rPr>
          <w:rFonts w:asciiTheme="minorHAnsi" w:hAnsiTheme="minorHAnsi" w:cs="Calibri"/>
          <w:sz w:val="22"/>
          <w:szCs w:val="22"/>
        </w:rPr>
      </w:pPr>
      <w:r w:rsidRPr="00CC3917">
        <w:rPr>
          <w:rFonts w:asciiTheme="minorHAnsi" w:hAnsiTheme="minorHAnsi" w:cs="Calibri"/>
          <w:sz w:val="22"/>
          <w:szCs w:val="22"/>
        </w:rPr>
        <w:t>(β)</w:t>
      </w:r>
      <w:r w:rsidRPr="00CC3917">
        <w:rPr>
          <w:rFonts w:asciiTheme="minorHAnsi" w:hAnsiTheme="minorHAnsi" w:cs="Calibri"/>
          <w:sz w:val="22"/>
          <w:szCs w:val="22"/>
        </w:rPr>
        <w:tab/>
        <w:t xml:space="preserve">η TITAN </w:t>
      </w:r>
      <w:proofErr w:type="spellStart"/>
      <w:r w:rsidRPr="00CC3917">
        <w:rPr>
          <w:rFonts w:asciiTheme="minorHAnsi" w:hAnsiTheme="minorHAnsi" w:cs="Calibri"/>
          <w:sz w:val="22"/>
          <w:szCs w:val="22"/>
        </w:rPr>
        <w:t>Cement</w:t>
      </w:r>
      <w:proofErr w:type="spellEnd"/>
      <w:r w:rsidRPr="00CC3917">
        <w:rPr>
          <w:rFonts w:asciiTheme="minorHAnsi" w:hAnsiTheme="minorHAnsi" w:cs="Calibri"/>
          <w:sz w:val="22"/>
          <w:szCs w:val="22"/>
        </w:rPr>
        <w:t xml:space="preserve"> </w:t>
      </w:r>
      <w:proofErr w:type="spellStart"/>
      <w:r w:rsidRPr="00CC3917">
        <w:rPr>
          <w:rFonts w:asciiTheme="minorHAnsi" w:hAnsiTheme="minorHAnsi" w:cs="Calibri"/>
          <w:sz w:val="22"/>
          <w:szCs w:val="22"/>
        </w:rPr>
        <w:t>International</w:t>
      </w:r>
      <w:proofErr w:type="spellEnd"/>
      <w:r w:rsidRPr="00CC3917">
        <w:rPr>
          <w:rFonts w:asciiTheme="minorHAnsi" w:hAnsiTheme="minorHAnsi" w:cs="Calibri"/>
          <w:sz w:val="22"/>
          <w:szCs w:val="22"/>
        </w:rPr>
        <w:t xml:space="preserve"> θα υποχρεούται να αποκτήσει όλες τις Μετοχές ΤΙΤΑΝ που θα της προσφερθούν εντός περιόδου τριών μηνών από τη δημοσίευση των αποτελεσμάτων της Δημόσιας Πρότασης Ανταλλαγής:</w:t>
      </w:r>
    </w:p>
    <w:p w:rsidR="00CC3917" w:rsidRPr="00CC3917" w:rsidRDefault="00CC3917" w:rsidP="00CC3917">
      <w:pPr>
        <w:pStyle w:val="KATERINA4"/>
        <w:tabs>
          <w:tab w:val="left" w:pos="709"/>
        </w:tabs>
        <w:spacing w:after="120"/>
        <w:ind w:left="1440" w:hanging="1440"/>
        <w:rPr>
          <w:rFonts w:asciiTheme="minorHAnsi" w:hAnsiTheme="minorHAnsi" w:cs="Calibri"/>
          <w:sz w:val="22"/>
          <w:szCs w:val="22"/>
        </w:rPr>
      </w:pPr>
      <w:r w:rsidRPr="00CC3917">
        <w:rPr>
          <w:rFonts w:asciiTheme="minorHAnsi" w:hAnsiTheme="minorHAnsi" w:cs="Calibri"/>
          <w:sz w:val="22"/>
          <w:szCs w:val="22"/>
        </w:rPr>
        <w:tab/>
        <w:t>(i)</w:t>
      </w:r>
      <w:r w:rsidRPr="00CC3917">
        <w:rPr>
          <w:rFonts w:asciiTheme="minorHAnsi" w:hAnsiTheme="minorHAnsi" w:cs="Calibri"/>
          <w:sz w:val="22"/>
          <w:szCs w:val="22"/>
        </w:rPr>
        <w:tab/>
      </w:r>
      <w:r w:rsidRPr="00EE5AD2">
        <w:rPr>
          <w:rFonts w:asciiTheme="minorHAnsi" w:hAnsiTheme="minorHAnsi" w:cs="Calibri"/>
          <w:sz w:val="22"/>
          <w:szCs w:val="22"/>
          <w:u w:val="single"/>
        </w:rPr>
        <w:t>είτε</w:t>
      </w:r>
      <w:r w:rsidRPr="00D01ABC">
        <w:rPr>
          <w:rFonts w:asciiTheme="minorHAnsi" w:hAnsiTheme="minorHAnsi" w:cs="Calibri"/>
          <w:sz w:val="22"/>
          <w:szCs w:val="22"/>
        </w:rPr>
        <w:t xml:space="preserve"> </w:t>
      </w:r>
      <w:r w:rsidRPr="00CC3917">
        <w:rPr>
          <w:rFonts w:asciiTheme="minorHAnsi" w:hAnsiTheme="minorHAnsi" w:cs="Calibri"/>
          <w:sz w:val="22"/>
          <w:szCs w:val="22"/>
        </w:rPr>
        <w:t xml:space="preserve">χρηματιστηριακά έναντι καταβολής (x) του Ανταλλάγματος σε Μετρητά Κοινής Μετοχής αναφορικά με τις Κοινές Μετοχές, ή (y) του Ανταλλάγματος σε Μετρητά Προνομιούχου Μετοχής αναφορικά με τις Προνομιούχες Μετοχές, </w:t>
      </w:r>
    </w:p>
    <w:p w:rsidR="00CC3917" w:rsidRPr="00CC3917" w:rsidRDefault="00CC3917" w:rsidP="00CC3917">
      <w:pPr>
        <w:pStyle w:val="KATERINA4"/>
        <w:tabs>
          <w:tab w:val="left" w:pos="709"/>
        </w:tabs>
        <w:spacing w:after="120"/>
        <w:ind w:left="1440" w:hanging="1440"/>
        <w:rPr>
          <w:rFonts w:asciiTheme="minorHAnsi" w:hAnsiTheme="minorHAnsi" w:cs="Calibri"/>
          <w:sz w:val="22"/>
          <w:szCs w:val="22"/>
        </w:rPr>
      </w:pPr>
      <w:r w:rsidRPr="00CC3917">
        <w:rPr>
          <w:rFonts w:asciiTheme="minorHAnsi" w:hAnsiTheme="minorHAnsi"/>
          <w:sz w:val="22"/>
          <w:szCs w:val="22"/>
        </w:rPr>
        <w:tab/>
        <w:t>(ii)</w:t>
      </w:r>
      <w:r w:rsidRPr="00CC3917">
        <w:rPr>
          <w:rFonts w:asciiTheme="minorHAnsi" w:hAnsiTheme="minorHAnsi"/>
          <w:sz w:val="22"/>
          <w:szCs w:val="22"/>
        </w:rPr>
        <w:tab/>
      </w:r>
      <w:r w:rsidR="00EE5AD2" w:rsidRPr="00CC3917">
        <w:rPr>
          <w:rFonts w:asciiTheme="minorHAnsi" w:hAnsiTheme="minorHAnsi" w:cs="Calibri"/>
          <w:sz w:val="22"/>
          <w:szCs w:val="22"/>
          <w:u w:val="single"/>
        </w:rPr>
        <w:t>είτε</w:t>
      </w:r>
      <w:r w:rsidR="00EE5AD2">
        <w:rPr>
          <w:rFonts w:asciiTheme="minorHAnsi" w:hAnsiTheme="minorHAnsi" w:cs="Calibri"/>
          <w:sz w:val="22"/>
          <w:szCs w:val="22"/>
        </w:rPr>
        <w:t xml:space="preserve"> </w:t>
      </w:r>
      <w:r w:rsidRPr="00CC3917">
        <w:rPr>
          <w:rFonts w:asciiTheme="minorHAnsi" w:hAnsiTheme="minorHAnsi" w:cs="Calibri"/>
          <w:sz w:val="22"/>
          <w:szCs w:val="22"/>
        </w:rPr>
        <w:t xml:space="preserve">σε οποιαδήποτε από αυτές τις περιπτώσεις, διά της παράδοσης Μετοχών του Ανταλλάγματος βάσει της Σχέσης Ανταλλαγής, </w:t>
      </w:r>
    </w:p>
    <w:p w:rsidR="00CC3917" w:rsidRPr="00CC3917" w:rsidRDefault="00CC3917" w:rsidP="00CC3917">
      <w:pPr>
        <w:pStyle w:val="KATERINA4"/>
        <w:tabs>
          <w:tab w:val="left" w:pos="709"/>
        </w:tabs>
        <w:spacing w:after="120"/>
        <w:ind w:left="709" w:firstLine="0"/>
        <w:rPr>
          <w:rFonts w:asciiTheme="minorHAnsi" w:hAnsiTheme="minorHAnsi" w:cs="Calibri"/>
          <w:sz w:val="22"/>
          <w:szCs w:val="22"/>
        </w:rPr>
      </w:pPr>
      <w:r w:rsidRPr="00CC3917">
        <w:rPr>
          <w:rFonts w:asciiTheme="minorHAnsi" w:hAnsiTheme="minorHAnsi" w:cs="Calibri"/>
          <w:sz w:val="22"/>
          <w:szCs w:val="22"/>
        </w:rPr>
        <w:t xml:space="preserve">σε κάθε περίπτωση κατ’ επιλογή των οικείων μετόχων της ΤΙΤΑΝ, σύμφωνα με το άρθρο 28 του Νόμου και την απόφαση 1/409/2006 της ΕΚ (το </w:t>
      </w:r>
      <w:r w:rsidRPr="00CC3917">
        <w:rPr>
          <w:rFonts w:asciiTheme="minorHAnsi" w:hAnsiTheme="minorHAnsi"/>
          <w:sz w:val="22"/>
          <w:szCs w:val="22"/>
        </w:rPr>
        <w:t>«</w:t>
      </w:r>
      <w:r w:rsidRPr="00CC3917">
        <w:rPr>
          <w:rFonts w:asciiTheme="minorHAnsi" w:hAnsiTheme="minorHAnsi" w:cs="Calibri"/>
          <w:b/>
          <w:sz w:val="22"/>
          <w:szCs w:val="22"/>
        </w:rPr>
        <w:t>Δικαίωμα Εξόδου</w:t>
      </w:r>
      <w:r w:rsidRPr="00CC3917">
        <w:rPr>
          <w:rFonts w:asciiTheme="minorHAnsi" w:hAnsiTheme="minorHAnsi"/>
          <w:sz w:val="22"/>
          <w:szCs w:val="22"/>
        </w:rPr>
        <w:t>»</w:t>
      </w:r>
      <w:r w:rsidRPr="00CC3917">
        <w:rPr>
          <w:rFonts w:asciiTheme="minorHAnsi" w:hAnsiTheme="minorHAnsi" w:cs="Calibri"/>
          <w:sz w:val="22"/>
          <w:szCs w:val="22"/>
        </w:rPr>
        <w:t>).</w:t>
      </w:r>
    </w:p>
    <w:p w:rsidR="001C098A" w:rsidRDefault="001C098A" w:rsidP="00CC3917">
      <w:pPr>
        <w:pStyle w:val="a9"/>
        <w:tabs>
          <w:tab w:val="left" w:pos="720"/>
          <w:tab w:val="left" w:pos="1340"/>
        </w:tabs>
        <w:spacing w:after="120" w:line="240" w:lineRule="auto"/>
        <w:ind w:left="0"/>
        <w:rPr>
          <w:rFonts w:asciiTheme="minorHAnsi" w:hAnsiTheme="minorHAnsi"/>
          <w:szCs w:val="22"/>
          <w:lang w:val="el-GR"/>
        </w:rPr>
      </w:pPr>
      <w:r>
        <w:rPr>
          <w:rFonts w:asciiTheme="minorHAnsi" w:hAnsiTheme="minorHAnsi"/>
          <w:szCs w:val="22"/>
          <w:lang w:val="el-GR"/>
        </w:rPr>
        <w:t xml:space="preserve">Σημειώνεται ότι ούτε η </w:t>
      </w:r>
      <w:r w:rsidRPr="00CC3917">
        <w:rPr>
          <w:rFonts w:asciiTheme="minorHAnsi" w:hAnsiTheme="minorHAnsi"/>
          <w:szCs w:val="22"/>
        </w:rPr>
        <w:t>TITAN</w:t>
      </w:r>
      <w:r w:rsidRPr="00CC3917">
        <w:rPr>
          <w:rFonts w:asciiTheme="minorHAnsi" w:hAnsiTheme="minorHAnsi"/>
          <w:szCs w:val="22"/>
          <w:lang w:val="el-GR"/>
        </w:rPr>
        <w:t xml:space="preserve"> </w:t>
      </w:r>
      <w:r w:rsidRPr="00CC3917">
        <w:rPr>
          <w:rFonts w:asciiTheme="minorHAnsi" w:hAnsiTheme="minorHAnsi"/>
          <w:szCs w:val="22"/>
        </w:rPr>
        <w:t>Cement</w:t>
      </w:r>
      <w:r w:rsidRPr="00CC3917">
        <w:rPr>
          <w:rFonts w:asciiTheme="minorHAnsi" w:hAnsiTheme="minorHAnsi"/>
          <w:szCs w:val="22"/>
          <w:lang w:val="el-GR"/>
        </w:rPr>
        <w:t xml:space="preserve"> </w:t>
      </w:r>
      <w:r w:rsidRPr="00CC3917">
        <w:rPr>
          <w:rFonts w:asciiTheme="minorHAnsi" w:hAnsiTheme="minorHAnsi"/>
          <w:szCs w:val="22"/>
        </w:rPr>
        <w:t>International</w:t>
      </w:r>
      <w:r>
        <w:rPr>
          <w:rFonts w:asciiTheme="minorHAnsi" w:hAnsiTheme="minorHAnsi"/>
          <w:szCs w:val="22"/>
          <w:lang w:val="el-GR"/>
        </w:rPr>
        <w:t xml:space="preserve"> ούτε οι Ιδρυτές έχουν αγοράσει Μετοχές ΤΙΤΑΝ </w:t>
      </w:r>
      <w:r w:rsidRPr="001C098A">
        <w:rPr>
          <w:rFonts w:ascii="Calibri" w:hAnsi="Calibri"/>
          <w:color w:val="000000"/>
          <w:szCs w:val="22"/>
          <w:lang w:val="el-GR"/>
        </w:rPr>
        <w:t xml:space="preserve">κατά τους </w:t>
      </w:r>
      <w:r>
        <w:rPr>
          <w:rFonts w:ascii="Calibri" w:hAnsi="Calibri"/>
          <w:color w:val="000000"/>
          <w:szCs w:val="22"/>
          <w:lang w:val="el-GR"/>
        </w:rPr>
        <w:t>δώδεκα</w:t>
      </w:r>
      <w:r w:rsidRPr="001C098A">
        <w:rPr>
          <w:rFonts w:ascii="Calibri" w:hAnsi="Calibri"/>
          <w:color w:val="000000"/>
          <w:szCs w:val="22"/>
          <w:lang w:val="el-GR"/>
        </w:rPr>
        <w:t xml:space="preserve"> μήνες που προηγούνται της Ημερομηνίας της Δημόσιας Πρότασης</w:t>
      </w:r>
      <w:r w:rsidRPr="001C098A">
        <w:rPr>
          <w:rFonts w:asciiTheme="minorHAnsi" w:hAnsiTheme="minorHAnsi" w:cs="Calibri"/>
          <w:szCs w:val="22"/>
          <w:lang w:val="el-GR"/>
        </w:rPr>
        <w:t xml:space="preserve"> Ανταλλαγής</w:t>
      </w:r>
      <w:r>
        <w:rPr>
          <w:rFonts w:asciiTheme="minorHAnsi" w:hAnsiTheme="minorHAnsi" w:cs="Calibri"/>
          <w:szCs w:val="22"/>
          <w:lang w:val="el-GR"/>
        </w:rPr>
        <w:t>.</w:t>
      </w:r>
      <w:r>
        <w:rPr>
          <w:rFonts w:asciiTheme="minorHAnsi" w:hAnsiTheme="minorHAnsi"/>
          <w:szCs w:val="22"/>
          <w:lang w:val="el-GR"/>
        </w:rPr>
        <w:t xml:space="preserve"> </w:t>
      </w:r>
    </w:p>
    <w:p w:rsidR="00CC3917" w:rsidRPr="00CC3917" w:rsidRDefault="00EE5AD2" w:rsidP="00CC3917">
      <w:pPr>
        <w:pStyle w:val="a9"/>
        <w:tabs>
          <w:tab w:val="left" w:pos="720"/>
          <w:tab w:val="left" w:pos="1340"/>
        </w:tabs>
        <w:spacing w:after="120" w:line="240" w:lineRule="auto"/>
        <w:ind w:left="0"/>
        <w:rPr>
          <w:rFonts w:asciiTheme="minorHAnsi" w:hAnsiTheme="minorHAnsi"/>
          <w:szCs w:val="22"/>
          <w:lang w:val="el-GR"/>
        </w:rPr>
      </w:pPr>
      <w:r>
        <w:rPr>
          <w:rFonts w:asciiTheme="minorHAnsi" w:hAnsiTheme="minorHAnsi"/>
          <w:szCs w:val="22"/>
          <w:lang w:val="el-GR"/>
        </w:rPr>
        <w:t>8</w:t>
      </w:r>
      <w:r w:rsidR="00CC3917" w:rsidRPr="00CC3917">
        <w:rPr>
          <w:rFonts w:asciiTheme="minorHAnsi" w:hAnsiTheme="minorHAnsi"/>
          <w:szCs w:val="22"/>
          <w:lang w:val="el-GR"/>
        </w:rPr>
        <w:t>.</w:t>
      </w:r>
      <w:r w:rsidR="00CC3917" w:rsidRPr="00CC3917">
        <w:rPr>
          <w:rFonts w:asciiTheme="minorHAnsi" w:hAnsiTheme="minorHAnsi"/>
          <w:szCs w:val="22"/>
          <w:lang w:val="el-GR"/>
        </w:rPr>
        <w:tab/>
      </w:r>
      <w:r w:rsidR="00CC3917" w:rsidRPr="00CC3917">
        <w:rPr>
          <w:rFonts w:asciiTheme="minorHAnsi" w:hAnsiTheme="minorHAnsi" w:cs="Calibri"/>
          <w:szCs w:val="22"/>
          <w:lang w:val="el-GR"/>
        </w:rPr>
        <w:t>Επιπροσθέτως, κατόπιν της ολοκλήρωσης της Δημόσιας Πρότασης Ανταλλαγής ή</w:t>
      </w:r>
      <w:r>
        <w:rPr>
          <w:rFonts w:asciiTheme="minorHAnsi" w:hAnsiTheme="minorHAnsi" w:cs="Calibri"/>
          <w:szCs w:val="22"/>
          <w:lang w:val="el-GR"/>
        </w:rPr>
        <w:t>/και</w:t>
      </w:r>
      <w:r w:rsidR="00CC3917" w:rsidRPr="00CC3917">
        <w:rPr>
          <w:rFonts w:asciiTheme="minorHAnsi" w:hAnsiTheme="minorHAnsi" w:cs="Calibri"/>
          <w:szCs w:val="22"/>
          <w:lang w:val="el-GR"/>
        </w:rPr>
        <w:t xml:space="preserve"> της άσκησης του Δικαιώματος Εξαγοράς ή του Δικαιώματος Εξόδου,</w:t>
      </w:r>
      <w:r w:rsidRPr="00CC3917" w:rsidDel="00EE5AD2">
        <w:rPr>
          <w:rFonts w:asciiTheme="minorHAnsi" w:hAnsiTheme="minorHAnsi" w:cs="Calibri"/>
          <w:szCs w:val="22"/>
          <w:lang w:val="el-GR"/>
        </w:rPr>
        <w:t xml:space="preserve"> </w:t>
      </w:r>
      <w:r w:rsidR="00CC3917" w:rsidRPr="00CC3917">
        <w:rPr>
          <w:rFonts w:asciiTheme="minorHAnsi" w:hAnsiTheme="minorHAnsi" w:cs="Calibri"/>
          <w:szCs w:val="22"/>
          <w:lang w:val="el-GR"/>
        </w:rPr>
        <w:t xml:space="preserve">, η </w:t>
      </w:r>
      <w:r w:rsidR="00CC3917" w:rsidRPr="00CC3917">
        <w:rPr>
          <w:rFonts w:asciiTheme="minorHAnsi" w:hAnsiTheme="minorHAnsi"/>
          <w:szCs w:val="22"/>
        </w:rPr>
        <w:t>TITAN</w:t>
      </w:r>
      <w:r w:rsidR="00CC3917" w:rsidRPr="00CC3917">
        <w:rPr>
          <w:rFonts w:asciiTheme="minorHAnsi" w:hAnsiTheme="minorHAnsi"/>
          <w:szCs w:val="22"/>
          <w:lang w:val="el-GR"/>
        </w:rPr>
        <w:t xml:space="preserve"> </w:t>
      </w:r>
      <w:r w:rsidR="00CC3917" w:rsidRPr="00CC3917">
        <w:rPr>
          <w:rFonts w:asciiTheme="minorHAnsi" w:hAnsiTheme="minorHAnsi"/>
          <w:szCs w:val="22"/>
        </w:rPr>
        <w:t>Cement</w:t>
      </w:r>
      <w:r w:rsidR="00CC3917" w:rsidRPr="00CC3917">
        <w:rPr>
          <w:rFonts w:asciiTheme="minorHAnsi" w:hAnsiTheme="minorHAnsi"/>
          <w:szCs w:val="22"/>
          <w:lang w:val="el-GR"/>
        </w:rPr>
        <w:t xml:space="preserve"> </w:t>
      </w:r>
      <w:r w:rsidR="00CC3917" w:rsidRPr="00CC3917">
        <w:rPr>
          <w:rFonts w:asciiTheme="minorHAnsi" w:hAnsiTheme="minorHAnsi"/>
          <w:szCs w:val="22"/>
        </w:rPr>
        <w:t>International</w:t>
      </w:r>
      <w:r w:rsidR="00CC3917" w:rsidRPr="00CC3917">
        <w:rPr>
          <w:rFonts w:asciiTheme="minorHAnsi" w:hAnsiTheme="minorHAnsi"/>
          <w:bCs/>
          <w:szCs w:val="22"/>
          <w:lang w:val="el-GR"/>
        </w:rPr>
        <w:t xml:space="preserve"> </w:t>
      </w:r>
      <w:r w:rsidR="00CC3917" w:rsidRPr="00CC3917">
        <w:rPr>
          <w:rFonts w:asciiTheme="minorHAnsi" w:hAnsiTheme="minorHAnsi" w:cs="Calibri"/>
          <w:szCs w:val="22"/>
          <w:lang w:val="el-GR"/>
        </w:rPr>
        <w:t>θα προβεί στη σύγκληση Γενικής Συνέλευσης των κοινών μετόχων και των προνομιούχων μετόχων της ΤΙΤΑΝ με θέμα τη λήψη απόφασης για τη διαγραφή κάθε κατηγορίας Μετοχών ΤΙΤΑΝ από το Χ.Α., σύμφωνα με το άρθρο 17, παράγραφος 5 του Ν. 3371/2005,</w:t>
      </w:r>
      <w:r w:rsidR="00CC3917" w:rsidRPr="00CC3917" w:rsidDel="00971CF5">
        <w:rPr>
          <w:rFonts w:asciiTheme="minorHAnsi" w:hAnsiTheme="minorHAnsi" w:cs="Calibri"/>
          <w:szCs w:val="22"/>
          <w:lang w:val="el-GR"/>
        </w:rPr>
        <w:t xml:space="preserve"> </w:t>
      </w:r>
      <w:r w:rsidR="00CC3917" w:rsidRPr="00CC3917">
        <w:rPr>
          <w:rFonts w:asciiTheme="minorHAnsi" w:hAnsiTheme="minorHAnsi" w:cs="Calibri"/>
          <w:szCs w:val="22"/>
          <w:lang w:val="el-GR"/>
        </w:rPr>
        <w:t xml:space="preserve">στις οποίες (Γενικές Συνελεύσεις) η </w:t>
      </w:r>
      <w:r w:rsidR="00CC3917" w:rsidRPr="00CC3917">
        <w:rPr>
          <w:rFonts w:asciiTheme="minorHAnsi" w:hAnsiTheme="minorHAnsi"/>
          <w:szCs w:val="22"/>
        </w:rPr>
        <w:t>TITAN</w:t>
      </w:r>
      <w:r w:rsidR="00CC3917" w:rsidRPr="00CC3917">
        <w:rPr>
          <w:rFonts w:asciiTheme="minorHAnsi" w:hAnsiTheme="minorHAnsi"/>
          <w:szCs w:val="22"/>
          <w:lang w:val="el-GR"/>
        </w:rPr>
        <w:t xml:space="preserve"> </w:t>
      </w:r>
      <w:r w:rsidR="00CC3917" w:rsidRPr="00CC3917">
        <w:rPr>
          <w:rFonts w:asciiTheme="minorHAnsi" w:hAnsiTheme="minorHAnsi"/>
          <w:szCs w:val="22"/>
        </w:rPr>
        <w:t>Cement</w:t>
      </w:r>
      <w:r w:rsidR="00CC3917" w:rsidRPr="00CC3917">
        <w:rPr>
          <w:rFonts w:asciiTheme="minorHAnsi" w:hAnsiTheme="minorHAnsi"/>
          <w:szCs w:val="22"/>
          <w:lang w:val="el-GR"/>
        </w:rPr>
        <w:t xml:space="preserve"> </w:t>
      </w:r>
      <w:r w:rsidR="00CC3917" w:rsidRPr="00CC3917">
        <w:rPr>
          <w:rFonts w:asciiTheme="minorHAnsi" w:hAnsiTheme="minorHAnsi"/>
          <w:szCs w:val="22"/>
        </w:rPr>
        <w:t>International</w:t>
      </w:r>
      <w:r w:rsidR="00CC3917" w:rsidRPr="00CC3917">
        <w:rPr>
          <w:rFonts w:asciiTheme="minorHAnsi" w:hAnsiTheme="minorHAnsi"/>
          <w:bCs/>
          <w:szCs w:val="22"/>
          <w:lang w:val="el-GR"/>
        </w:rPr>
        <w:t xml:space="preserve"> </w:t>
      </w:r>
      <w:r w:rsidR="00CC3917" w:rsidRPr="00CC3917">
        <w:rPr>
          <w:rFonts w:asciiTheme="minorHAnsi" w:hAnsiTheme="minorHAnsi" w:cs="Calibri"/>
          <w:szCs w:val="22"/>
          <w:lang w:val="el-GR"/>
        </w:rPr>
        <w:t>θα ψηφίσει υπέρ αυτής της απόφασης</w:t>
      </w:r>
      <w:r w:rsidR="00CC3917" w:rsidRPr="00CC3917">
        <w:rPr>
          <w:rFonts w:asciiTheme="minorHAnsi" w:hAnsiTheme="minorHAnsi"/>
          <w:szCs w:val="22"/>
          <w:lang w:val="el-GR"/>
        </w:rPr>
        <w:t>.</w:t>
      </w:r>
    </w:p>
    <w:p w:rsidR="00CC3917" w:rsidRPr="00CC3917" w:rsidRDefault="00CC3917" w:rsidP="00CC3917">
      <w:pPr>
        <w:pStyle w:val="a9"/>
        <w:spacing w:after="120" w:line="240" w:lineRule="auto"/>
        <w:ind w:left="0"/>
        <w:rPr>
          <w:rFonts w:asciiTheme="minorHAnsi" w:hAnsiTheme="minorHAnsi"/>
          <w:szCs w:val="22"/>
          <w:lang w:val="el-GR"/>
        </w:rPr>
      </w:pPr>
      <w:r w:rsidRPr="00CC3917">
        <w:rPr>
          <w:rFonts w:asciiTheme="minorHAnsi" w:hAnsiTheme="minorHAnsi"/>
          <w:b/>
          <w:szCs w:val="22"/>
          <w:lang w:val="el-GR"/>
        </w:rPr>
        <w:t>Προϋποθέσεις της Δημόσιας Πρότασης Ανταλλαγής</w:t>
      </w:r>
    </w:p>
    <w:p w:rsidR="00CC3917" w:rsidRPr="00CC3917" w:rsidRDefault="00EE5AD2" w:rsidP="00CC3917">
      <w:pPr>
        <w:pStyle w:val="a9"/>
        <w:spacing w:after="120" w:line="240" w:lineRule="auto"/>
        <w:ind w:left="0"/>
        <w:rPr>
          <w:rFonts w:asciiTheme="minorHAnsi" w:hAnsiTheme="minorHAnsi"/>
          <w:b/>
          <w:szCs w:val="22"/>
          <w:lang w:val="el-GR"/>
        </w:rPr>
      </w:pPr>
      <w:r>
        <w:rPr>
          <w:rFonts w:asciiTheme="minorHAnsi" w:hAnsiTheme="minorHAnsi"/>
          <w:szCs w:val="22"/>
          <w:lang w:val="el-GR"/>
        </w:rPr>
        <w:t>9</w:t>
      </w:r>
      <w:r w:rsidR="00CC3917" w:rsidRPr="00CC3917">
        <w:rPr>
          <w:rFonts w:asciiTheme="minorHAnsi" w:hAnsiTheme="minorHAnsi"/>
          <w:szCs w:val="22"/>
          <w:lang w:val="el-GR"/>
        </w:rPr>
        <w:t>.</w:t>
      </w:r>
      <w:r w:rsidR="00CC3917" w:rsidRPr="00CC3917">
        <w:rPr>
          <w:rFonts w:asciiTheme="minorHAnsi" w:hAnsiTheme="minorHAnsi"/>
          <w:szCs w:val="22"/>
          <w:lang w:val="el-GR"/>
        </w:rPr>
        <w:tab/>
        <w:t xml:space="preserve">Η θέση σε ισχύ της Δημόσιας Πρότασης Ανταλλαγής τελεί υπό τις ακόλουθες αιρέσεις: </w:t>
      </w:r>
    </w:p>
    <w:p w:rsidR="00CC3917" w:rsidRPr="00CC3917" w:rsidRDefault="00CC3917" w:rsidP="00CC3917">
      <w:pPr>
        <w:pStyle w:val="a9"/>
        <w:spacing w:after="120" w:line="240" w:lineRule="auto"/>
        <w:ind w:left="720" w:hanging="720"/>
        <w:rPr>
          <w:rFonts w:asciiTheme="minorHAnsi" w:hAnsiTheme="minorHAnsi"/>
          <w:szCs w:val="22"/>
          <w:lang w:val="el-GR"/>
        </w:rPr>
      </w:pPr>
      <w:r w:rsidRPr="00CC3917">
        <w:rPr>
          <w:rFonts w:asciiTheme="minorHAnsi" w:hAnsiTheme="minorHAnsi"/>
          <w:szCs w:val="22"/>
          <w:lang w:val="el-GR"/>
        </w:rPr>
        <w:t>(α)</w:t>
      </w:r>
      <w:r w:rsidRPr="00CC3917">
        <w:rPr>
          <w:rFonts w:asciiTheme="minorHAnsi" w:hAnsiTheme="minorHAnsi"/>
          <w:szCs w:val="22"/>
          <w:lang w:val="el-GR"/>
        </w:rPr>
        <w:tab/>
        <w:t xml:space="preserve">την έγκριση του Ενημερωτικού Δελτίου από την </w:t>
      </w:r>
      <w:r w:rsidRPr="00CC3917">
        <w:rPr>
          <w:rFonts w:asciiTheme="minorHAnsi" w:hAnsiTheme="minorHAnsi"/>
          <w:szCs w:val="22"/>
        </w:rPr>
        <w:t>FSMA</w:t>
      </w:r>
      <w:r w:rsidRPr="00CC3917">
        <w:rPr>
          <w:rFonts w:asciiTheme="minorHAnsi" w:hAnsiTheme="minorHAnsi"/>
          <w:szCs w:val="22"/>
          <w:lang w:val="el-GR"/>
        </w:rPr>
        <w:t xml:space="preserve"> και τη διαβίβαση του εγκεκριμένου Ενημερωτικού Δελτίου σύμφωνα με τις διατάξεις περί "ενιαίου διαβατηρίου" (</w:t>
      </w:r>
      <w:proofErr w:type="spellStart"/>
      <w:r w:rsidRPr="00CC3917">
        <w:rPr>
          <w:rFonts w:asciiTheme="minorHAnsi" w:hAnsiTheme="minorHAnsi"/>
          <w:i/>
          <w:szCs w:val="22"/>
          <w:lang w:val="en-US"/>
        </w:rPr>
        <w:t>passporting</w:t>
      </w:r>
      <w:proofErr w:type="spellEnd"/>
      <w:r w:rsidRPr="00CC3917">
        <w:rPr>
          <w:rFonts w:asciiTheme="minorHAnsi" w:hAnsiTheme="minorHAnsi"/>
          <w:szCs w:val="22"/>
          <w:lang w:val="el-GR"/>
        </w:rPr>
        <w:t xml:space="preserve">) στην </w:t>
      </w:r>
      <w:r w:rsidR="00EE5AD2">
        <w:rPr>
          <w:rFonts w:asciiTheme="minorHAnsi" w:hAnsiTheme="minorHAnsi"/>
          <w:szCs w:val="22"/>
          <w:lang w:val="el-GR"/>
        </w:rPr>
        <w:t>ΕΚ</w:t>
      </w:r>
      <w:r w:rsidRPr="00CC3917">
        <w:rPr>
          <w:rFonts w:asciiTheme="minorHAnsi" w:hAnsiTheme="minorHAnsi"/>
          <w:szCs w:val="22"/>
          <w:lang w:val="el-GR"/>
        </w:rPr>
        <w:t xml:space="preserve">, και </w:t>
      </w:r>
    </w:p>
    <w:p w:rsidR="00CC3917" w:rsidRPr="00CC3917" w:rsidRDefault="00CC3917" w:rsidP="00CC3917">
      <w:pPr>
        <w:pStyle w:val="a9"/>
        <w:spacing w:after="120" w:line="240" w:lineRule="auto"/>
        <w:ind w:left="720" w:hanging="720"/>
        <w:rPr>
          <w:rFonts w:asciiTheme="minorHAnsi" w:hAnsiTheme="minorHAnsi"/>
          <w:b/>
          <w:szCs w:val="22"/>
          <w:lang w:val="el-GR"/>
        </w:rPr>
      </w:pPr>
      <w:r w:rsidRPr="00CC3917">
        <w:rPr>
          <w:rFonts w:asciiTheme="minorHAnsi" w:hAnsiTheme="minorHAnsi"/>
          <w:szCs w:val="22"/>
          <w:lang w:val="el-GR"/>
        </w:rPr>
        <w:t>(β)</w:t>
      </w:r>
      <w:r w:rsidRPr="00CC3917">
        <w:rPr>
          <w:rFonts w:asciiTheme="minorHAnsi" w:hAnsiTheme="minorHAnsi"/>
          <w:szCs w:val="22"/>
          <w:lang w:val="el-GR"/>
        </w:rPr>
        <w:tab/>
        <w:t>την έγκριση του Πληροφοριακού Δελτίου από την ΕΚ.</w:t>
      </w:r>
    </w:p>
    <w:p w:rsidR="00CC3917" w:rsidRPr="00CC3917" w:rsidRDefault="00EE5AD2" w:rsidP="00CC3917">
      <w:pPr>
        <w:tabs>
          <w:tab w:val="left" w:pos="720"/>
        </w:tabs>
        <w:spacing w:after="120"/>
        <w:jc w:val="both"/>
        <w:rPr>
          <w:rFonts w:asciiTheme="minorHAnsi" w:hAnsiTheme="minorHAnsi"/>
          <w:sz w:val="22"/>
          <w:szCs w:val="22"/>
          <w:lang w:val="el-GR"/>
        </w:rPr>
      </w:pPr>
      <w:r w:rsidRPr="00CC3917">
        <w:rPr>
          <w:rFonts w:asciiTheme="minorHAnsi" w:hAnsiTheme="minorHAnsi"/>
          <w:sz w:val="22"/>
          <w:szCs w:val="22"/>
          <w:lang w:val="el-GR"/>
        </w:rPr>
        <w:t>1</w:t>
      </w:r>
      <w:r>
        <w:rPr>
          <w:rFonts w:asciiTheme="minorHAnsi" w:hAnsiTheme="minorHAnsi"/>
          <w:sz w:val="22"/>
          <w:szCs w:val="22"/>
          <w:lang w:val="el-GR"/>
        </w:rPr>
        <w:t>0</w:t>
      </w:r>
      <w:r w:rsidR="00CC3917" w:rsidRPr="00CC3917">
        <w:rPr>
          <w:rFonts w:asciiTheme="minorHAnsi" w:hAnsiTheme="minorHAnsi"/>
          <w:sz w:val="22"/>
          <w:szCs w:val="22"/>
          <w:lang w:val="el-GR"/>
        </w:rPr>
        <w:t>.</w:t>
      </w:r>
      <w:r w:rsidR="00CC3917" w:rsidRPr="00CC3917">
        <w:rPr>
          <w:rFonts w:asciiTheme="minorHAnsi" w:hAnsiTheme="minorHAnsi"/>
          <w:sz w:val="22"/>
          <w:szCs w:val="22"/>
          <w:lang w:val="el-GR"/>
        </w:rPr>
        <w:tab/>
        <w:t xml:space="preserve">Η ολοκλήρωση της Δημόσιας Πρότασης Ανταλλαγής τελεί υπό την Αίρεση. </w:t>
      </w:r>
    </w:p>
    <w:p w:rsidR="00CC3917" w:rsidRPr="00CC3917" w:rsidRDefault="00CC3917" w:rsidP="00CC3917">
      <w:pPr>
        <w:pStyle w:val="a9"/>
        <w:tabs>
          <w:tab w:val="left" w:pos="709"/>
        </w:tabs>
        <w:spacing w:after="120" w:line="240" w:lineRule="auto"/>
        <w:ind w:left="0"/>
        <w:rPr>
          <w:rFonts w:asciiTheme="minorHAnsi" w:hAnsiTheme="minorHAnsi"/>
          <w:szCs w:val="22"/>
          <w:lang w:val="el-GR"/>
        </w:rPr>
      </w:pPr>
      <w:r w:rsidRPr="00CC3917">
        <w:rPr>
          <w:rFonts w:asciiTheme="minorHAnsi" w:hAnsiTheme="minorHAnsi"/>
          <w:bCs/>
          <w:szCs w:val="22"/>
          <w:lang w:val="el-GR"/>
        </w:rPr>
        <w:t xml:space="preserve">Επιπροσθέτως, η </w:t>
      </w:r>
      <w:r w:rsidRPr="00CC3917">
        <w:rPr>
          <w:rFonts w:asciiTheme="minorHAnsi" w:hAnsiTheme="minorHAnsi" w:cs="Calibri"/>
          <w:szCs w:val="22"/>
          <w:lang w:val="el-GR"/>
        </w:rPr>
        <w:t>διατήρηση της ισχύος</w:t>
      </w:r>
      <w:r w:rsidRPr="00CC3917">
        <w:rPr>
          <w:rFonts w:asciiTheme="minorHAnsi" w:hAnsiTheme="minorHAnsi"/>
          <w:bCs/>
          <w:szCs w:val="22"/>
          <w:lang w:val="el-GR"/>
        </w:rPr>
        <w:t xml:space="preserve"> της Δημόσιας Πρότασης Ανταλλαγής προϋποθέτει</w:t>
      </w:r>
      <w:r w:rsidRPr="00CC3917">
        <w:rPr>
          <w:rFonts w:asciiTheme="minorHAnsi" w:hAnsiTheme="minorHAnsi"/>
          <w:szCs w:val="22"/>
          <w:lang w:val="el-GR"/>
        </w:rPr>
        <w:t xml:space="preserve"> ότι κατά τη λήξη της Περιόδου Αποδοχής, θα έχει προσφερθεί νόμιμα και έγκυρα στην </w:t>
      </w:r>
      <w:r w:rsidRPr="00CC3917">
        <w:rPr>
          <w:rFonts w:asciiTheme="minorHAnsi" w:hAnsiTheme="minorHAnsi"/>
          <w:szCs w:val="22"/>
        </w:rPr>
        <w:t>TITAN</w:t>
      </w:r>
      <w:r w:rsidRPr="00CC3917">
        <w:rPr>
          <w:rFonts w:asciiTheme="minorHAnsi" w:hAnsiTheme="minorHAnsi"/>
          <w:szCs w:val="22"/>
          <w:lang w:val="el-GR"/>
        </w:rPr>
        <w:t xml:space="preserve"> </w:t>
      </w:r>
      <w:r w:rsidRPr="00CC3917">
        <w:rPr>
          <w:rFonts w:asciiTheme="minorHAnsi" w:hAnsiTheme="minorHAnsi"/>
          <w:szCs w:val="22"/>
        </w:rPr>
        <w:t>Cement</w:t>
      </w:r>
      <w:r w:rsidRPr="00CC3917">
        <w:rPr>
          <w:rFonts w:asciiTheme="minorHAnsi" w:hAnsiTheme="minorHAnsi"/>
          <w:szCs w:val="22"/>
          <w:lang w:val="el-GR"/>
        </w:rPr>
        <w:t xml:space="preserve"> </w:t>
      </w:r>
      <w:r w:rsidRPr="00CC3917">
        <w:rPr>
          <w:rFonts w:asciiTheme="minorHAnsi" w:hAnsiTheme="minorHAnsi"/>
          <w:szCs w:val="22"/>
        </w:rPr>
        <w:lastRenderedPageBreak/>
        <w:t>International</w:t>
      </w:r>
      <w:r w:rsidRPr="00CC3917">
        <w:rPr>
          <w:rFonts w:asciiTheme="minorHAnsi" w:hAnsiTheme="minorHAnsi"/>
          <w:szCs w:val="22"/>
          <w:lang w:val="el-GR"/>
        </w:rPr>
        <w:t xml:space="preserve"> τουλάχιστον ο Ελάχιστος Αριθμός Μετοχών, ήτοι τουλάχιστον (</w:t>
      </w:r>
      <w:r w:rsidRPr="00CC3917">
        <w:rPr>
          <w:rFonts w:asciiTheme="minorHAnsi" w:hAnsiTheme="minorHAnsi"/>
          <w:szCs w:val="22"/>
        </w:rPr>
        <w:t>i</w:t>
      </w:r>
      <w:r w:rsidRPr="00CC3917">
        <w:rPr>
          <w:rFonts w:asciiTheme="minorHAnsi" w:hAnsiTheme="minorHAnsi"/>
          <w:szCs w:val="22"/>
          <w:lang w:val="el-GR"/>
        </w:rPr>
        <w:t xml:space="preserve">) 69.357.212 Κοινές Μετοχές, που αντιστοιχούν σε ποσοστό 90% του κοινού μετοχικού κεφαλαίου και των δικαιωμάτων ψήφου της </w:t>
      </w:r>
      <w:r w:rsidRPr="00CC3917">
        <w:rPr>
          <w:rFonts w:asciiTheme="minorHAnsi" w:hAnsiTheme="minorHAnsi"/>
          <w:szCs w:val="22"/>
        </w:rPr>
        <w:t>TITAN</w:t>
      </w:r>
      <w:r w:rsidRPr="00CC3917">
        <w:rPr>
          <w:rFonts w:asciiTheme="minorHAnsi" w:hAnsiTheme="minorHAnsi"/>
          <w:szCs w:val="22"/>
          <w:lang w:val="el-GR"/>
        </w:rPr>
        <w:t>, και (</w:t>
      </w:r>
      <w:r w:rsidRPr="00CC3917">
        <w:rPr>
          <w:rFonts w:asciiTheme="minorHAnsi" w:hAnsiTheme="minorHAnsi"/>
          <w:szCs w:val="22"/>
        </w:rPr>
        <w:t>ii</w:t>
      </w:r>
      <w:r w:rsidRPr="00CC3917">
        <w:rPr>
          <w:rFonts w:asciiTheme="minorHAnsi" w:hAnsiTheme="minorHAnsi"/>
          <w:szCs w:val="22"/>
          <w:lang w:val="el-GR"/>
        </w:rPr>
        <w:t xml:space="preserve">) 6.812.064 Προνομιούχες Μετοχές, που αντιστοιχούν σε ποσοστό 90% του προνομιούχου μετοχικού κεφαλαίου της </w:t>
      </w:r>
      <w:r w:rsidRPr="00CC3917">
        <w:rPr>
          <w:rFonts w:asciiTheme="minorHAnsi" w:hAnsiTheme="minorHAnsi"/>
          <w:szCs w:val="22"/>
        </w:rPr>
        <w:t>TITAN</w:t>
      </w:r>
      <w:r w:rsidRPr="00CC3917">
        <w:rPr>
          <w:rFonts w:asciiTheme="minorHAnsi" w:hAnsiTheme="minorHAnsi"/>
          <w:bCs/>
          <w:szCs w:val="22"/>
          <w:lang w:val="el-GR"/>
        </w:rPr>
        <w:t>.</w:t>
      </w:r>
    </w:p>
    <w:p w:rsidR="00CC3917" w:rsidRDefault="00CC3917" w:rsidP="00CC3917">
      <w:pPr>
        <w:pStyle w:val="a9"/>
        <w:tabs>
          <w:tab w:val="left" w:pos="709"/>
        </w:tabs>
        <w:spacing w:after="120" w:line="240" w:lineRule="auto"/>
        <w:ind w:left="0"/>
        <w:rPr>
          <w:rFonts w:asciiTheme="minorHAnsi" w:hAnsiTheme="minorHAnsi" w:cs="Calibri"/>
          <w:szCs w:val="22"/>
          <w:lang w:val="el-GR"/>
        </w:rPr>
      </w:pPr>
      <w:r w:rsidRPr="00CC3917">
        <w:rPr>
          <w:rFonts w:asciiTheme="minorHAnsi" w:hAnsiTheme="minorHAnsi" w:cs="Calibri"/>
          <w:szCs w:val="22"/>
          <w:lang w:val="el-GR"/>
        </w:rPr>
        <w:t xml:space="preserve">Εφόσον </w:t>
      </w:r>
      <w:r w:rsidRPr="00CC3917">
        <w:rPr>
          <w:rFonts w:asciiTheme="minorHAnsi" w:hAnsiTheme="minorHAnsi"/>
          <w:szCs w:val="22"/>
          <w:lang w:val="el-GR"/>
        </w:rPr>
        <w:t>(</w:t>
      </w:r>
      <w:r w:rsidRPr="00CC3917">
        <w:rPr>
          <w:rFonts w:asciiTheme="minorHAnsi" w:hAnsiTheme="minorHAnsi"/>
          <w:szCs w:val="22"/>
        </w:rPr>
        <w:t>i</w:t>
      </w:r>
      <w:r w:rsidRPr="00CC3917">
        <w:rPr>
          <w:rFonts w:asciiTheme="minorHAnsi" w:hAnsiTheme="minorHAnsi"/>
          <w:szCs w:val="22"/>
          <w:lang w:val="el-GR"/>
        </w:rPr>
        <w:t xml:space="preserve">) </w:t>
      </w:r>
      <w:r w:rsidRPr="00CC3917">
        <w:rPr>
          <w:rFonts w:asciiTheme="minorHAnsi" w:hAnsiTheme="minorHAnsi" w:cs="Calibri"/>
          <w:szCs w:val="22"/>
          <w:lang w:val="el-GR"/>
        </w:rPr>
        <w:t xml:space="preserve">η Αίρεση ή </w:t>
      </w:r>
      <w:r w:rsidRPr="00CC3917">
        <w:rPr>
          <w:rFonts w:asciiTheme="minorHAnsi" w:hAnsiTheme="minorHAnsi"/>
          <w:szCs w:val="22"/>
          <w:lang w:val="el-GR"/>
        </w:rPr>
        <w:t>(</w:t>
      </w:r>
      <w:r w:rsidRPr="00CC3917">
        <w:rPr>
          <w:rFonts w:asciiTheme="minorHAnsi" w:hAnsiTheme="minorHAnsi"/>
          <w:szCs w:val="22"/>
        </w:rPr>
        <w:t>ii</w:t>
      </w:r>
      <w:r w:rsidRPr="00CC3917">
        <w:rPr>
          <w:rFonts w:asciiTheme="minorHAnsi" w:hAnsiTheme="minorHAnsi"/>
          <w:szCs w:val="22"/>
          <w:lang w:val="el-GR"/>
        </w:rPr>
        <w:t xml:space="preserve">) </w:t>
      </w:r>
      <w:r w:rsidRPr="00CC3917">
        <w:rPr>
          <w:rFonts w:asciiTheme="minorHAnsi" w:hAnsiTheme="minorHAnsi" w:cs="Calibri"/>
          <w:szCs w:val="22"/>
          <w:lang w:val="el-GR"/>
        </w:rPr>
        <w:t>η προϋπόθεση του Ελάχιστου Αριθμού Μετοχών δεν πληρωθούν ή αρθούν κατά τη λήξη της Περιόδου Αποδοχής, η Δημόσια Πρόταση Ανταλλαγής θα καταστεί αυτοδικαίως ανενεργή, δηλαδή δεν θα παράγει έννομα αποτελέσματα, και οι Προσφερόμενες Μετοχές ΤΙΤΑΝ θα επιστραφούν στους κατόχους τους.</w:t>
      </w:r>
    </w:p>
    <w:p w:rsidR="0021491D" w:rsidRPr="0021491D" w:rsidRDefault="000478F9" w:rsidP="00CC3917">
      <w:pPr>
        <w:pStyle w:val="a9"/>
        <w:tabs>
          <w:tab w:val="left" w:pos="709"/>
        </w:tabs>
        <w:spacing w:after="120" w:line="240" w:lineRule="auto"/>
        <w:ind w:left="0"/>
        <w:rPr>
          <w:rFonts w:asciiTheme="minorHAnsi" w:hAnsiTheme="minorHAnsi"/>
          <w:szCs w:val="22"/>
          <w:lang w:val="el-GR"/>
        </w:rPr>
      </w:pPr>
      <w:r w:rsidRPr="000478F9">
        <w:rPr>
          <w:rFonts w:asciiTheme="minorHAnsi" w:hAnsiTheme="minorHAnsi" w:cs="Calibri"/>
          <w:szCs w:val="22"/>
          <w:lang w:val="el-GR"/>
        </w:rPr>
        <w:t>11</w:t>
      </w:r>
      <w:r w:rsidR="0021491D" w:rsidRPr="0021491D">
        <w:rPr>
          <w:rFonts w:asciiTheme="minorHAnsi" w:hAnsiTheme="minorHAnsi" w:cs="Calibri"/>
          <w:szCs w:val="22"/>
          <w:lang w:val="el-GR"/>
        </w:rPr>
        <w:t>.</w:t>
      </w:r>
      <w:r w:rsidR="0021491D" w:rsidRPr="0021491D">
        <w:rPr>
          <w:rFonts w:asciiTheme="minorHAnsi" w:hAnsiTheme="minorHAnsi" w:cs="Calibri"/>
          <w:szCs w:val="22"/>
          <w:lang w:val="el-GR"/>
        </w:rPr>
        <w:tab/>
      </w:r>
      <w:r w:rsidR="0021491D">
        <w:rPr>
          <w:rFonts w:asciiTheme="minorHAnsi" w:hAnsiTheme="minorHAnsi" w:cs="Calibri"/>
          <w:szCs w:val="22"/>
          <w:lang w:val="el-GR"/>
        </w:rPr>
        <w:t>Η</w:t>
      </w:r>
      <w:r w:rsidR="0021491D" w:rsidRPr="0021491D">
        <w:rPr>
          <w:rFonts w:asciiTheme="minorHAnsi" w:hAnsiTheme="minorHAnsi" w:cs="Calibri"/>
          <w:szCs w:val="22"/>
          <w:lang w:val="el-GR"/>
        </w:rPr>
        <w:t xml:space="preserve"> </w:t>
      </w:r>
      <w:r w:rsidR="0021491D" w:rsidRPr="00CC3917">
        <w:rPr>
          <w:rFonts w:asciiTheme="minorHAnsi" w:hAnsiTheme="minorHAnsi"/>
          <w:szCs w:val="22"/>
        </w:rPr>
        <w:t>TITAN</w:t>
      </w:r>
      <w:r w:rsidR="0021491D" w:rsidRPr="0021491D">
        <w:rPr>
          <w:rFonts w:asciiTheme="minorHAnsi" w:hAnsiTheme="minorHAnsi"/>
          <w:szCs w:val="22"/>
          <w:lang w:val="el-GR"/>
        </w:rPr>
        <w:t xml:space="preserve"> </w:t>
      </w:r>
      <w:r w:rsidR="0021491D" w:rsidRPr="00CC3917">
        <w:rPr>
          <w:rFonts w:asciiTheme="minorHAnsi" w:hAnsiTheme="minorHAnsi"/>
          <w:szCs w:val="22"/>
        </w:rPr>
        <w:t>Cement</w:t>
      </w:r>
      <w:r w:rsidR="0021491D" w:rsidRPr="0021491D">
        <w:rPr>
          <w:rFonts w:asciiTheme="minorHAnsi" w:hAnsiTheme="minorHAnsi"/>
          <w:szCs w:val="22"/>
          <w:lang w:val="el-GR"/>
        </w:rPr>
        <w:t xml:space="preserve"> </w:t>
      </w:r>
      <w:r w:rsidR="0021491D" w:rsidRPr="00CC3917">
        <w:rPr>
          <w:rFonts w:asciiTheme="minorHAnsi" w:hAnsiTheme="minorHAnsi"/>
          <w:szCs w:val="22"/>
        </w:rPr>
        <w:t>International</w:t>
      </w:r>
      <w:r w:rsidR="0021491D" w:rsidRPr="0021491D">
        <w:rPr>
          <w:rFonts w:asciiTheme="minorHAnsi" w:hAnsiTheme="minorHAnsi"/>
          <w:szCs w:val="22"/>
          <w:lang w:val="el-GR"/>
        </w:rPr>
        <w:t xml:space="preserve"> </w:t>
      </w:r>
      <w:r w:rsidR="0021491D">
        <w:rPr>
          <w:rFonts w:asciiTheme="minorHAnsi" w:hAnsiTheme="minorHAnsi"/>
          <w:szCs w:val="22"/>
          <w:lang w:val="el-GR"/>
        </w:rPr>
        <w:t>δεν</w:t>
      </w:r>
      <w:r w:rsidR="0021491D" w:rsidRPr="0021491D">
        <w:rPr>
          <w:rFonts w:asciiTheme="minorHAnsi" w:hAnsiTheme="minorHAnsi"/>
          <w:szCs w:val="22"/>
          <w:lang w:val="el-GR"/>
        </w:rPr>
        <w:t xml:space="preserve"> </w:t>
      </w:r>
      <w:r w:rsidR="0021491D">
        <w:rPr>
          <w:rFonts w:asciiTheme="minorHAnsi" w:hAnsiTheme="minorHAnsi"/>
          <w:szCs w:val="22"/>
          <w:lang w:val="el-GR"/>
        </w:rPr>
        <w:t>θα</w:t>
      </w:r>
      <w:r w:rsidR="0021491D" w:rsidRPr="0021491D">
        <w:rPr>
          <w:rFonts w:asciiTheme="minorHAnsi" w:hAnsiTheme="minorHAnsi"/>
          <w:szCs w:val="22"/>
          <w:lang w:val="el-GR"/>
        </w:rPr>
        <w:t xml:space="preserve"> </w:t>
      </w:r>
      <w:r w:rsidR="0021491D">
        <w:rPr>
          <w:rFonts w:asciiTheme="minorHAnsi" w:hAnsiTheme="minorHAnsi"/>
          <w:szCs w:val="22"/>
          <w:lang w:val="el-GR"/>
        </w:rPr>
        <w:t>προβεί σε αγορές Μετοχών ΤΙΤΑΝ μέχρι τη λήξη της Περιόδου Αποδοχής</w:t>
      </w:r>
      <w:r w:rsidRPr="000478F9">
        <w:rPr>
          <w:rFonts w:asciiTheme="minorHAnsi" w:hAnsiTheme="minorHAnsi"/>
          <w:szCs w:val="22"/>
          <w:lang w:val="el-GR"/>
        </w:rPr>
        <w:t>.</w:t>
      </w:r>
      <w:r w:rsidR="0021491D">
        <w:rPr>
          <w:rFonts w:asciiTheme="minorHAnsi" w:hAnsiTheme="minorHAnsi"/>
          <w:szCs w:val="22"/>
          <w:lang w:val="el-GR"/>
        </w:rPr>
        <w:t xml:space="preserve">  </w:t>
      </w:r>
    </w:p>
    <w:p w:rsidR="00CC3917" w:rsidRPr="00CC3917" w:rsidRDefault="00CC3917" w:rsidP="00CC3917">
      <w:pPr>
        <w:pStyle w:val="a9"/>
        <w:keepNext/>
        <w:keepLines/>
        <w:tabs>
          <w:tab w:val="left" w:pos="720"/>
        </w:tabs>
        <w:spacing w:after="120" w:line="240" w:lineRule="auto"/>
        <w:ind w:left="0"/>
        <w:rPr>
          <w:rFonts w:asciiTheme="minorHAnsi" w:hAnsiTheme="minorHAnsi"/>
          <w:b/>
          <w:szCs w:val="22"/>
          <w:lang w:val="el-GR"/>
        </w:rPr>
      </w:pPr>
      <w:r w:rsidRPr="00CC3917">
        <w:rPr>
          <w:rFonts w:asciiTheme="minorHAnsi" w:hAnsiTheme="minorHAnsi" w:cs="Calibri"/>
          <w:b/>
          <w:bCs/>
          <w:szCs w:val="22"/>
          <w:lang w:val="el-GR"/>
        </w:rPr>
        <w:t xml:space="preserve">Σύμβουλος/Σύμβουλος Εισαγωγής της TITAN </w:t>
      </w:r>
      <w:proofErr w:type="spellStart"/>
      <w:r w:rsidRPr="00CC3917">
        <w:rPr>
          <w:rFonts w:asciiTheme="minorHAnsi" w:hAnsiTheme="minorHAnsi" w:cs="Calibri"/>
          <w:b/>
          <w:bCs/>
          <w:szCs w:val="22"/>
          <w:lang w:val="el-GR"/>
        </w:rPr>
        <w:t>Cement</w:t>
      </w:r>
      <w:proofErr w:type="spellEnd"/>
      <w:r w:rsidRPr="00CC3917">
        <w:rPr>
          <w:rFonts w:asciiTheme="minorHAnsi" w:hAnsiTheme="minorHAnsi" w:cs="Calibri"/>
          <w:b/>
          <w:bCs/>
          <w:szCs w:val="22"/>
          <w:lang w:val="el-GR"/>
        </w:rPr>
        <w:t xml:space="preserve"> </w:t>
      </w:r>
      <w:proofErr w:type="spellStart"/>
      <w:r w:rsidRPr="00CC3917">
        <w:rPr>
          <w:rFonts w:asciiTheme="minorHAnsi" w:hAnsiTheme="minorHAnsi" w:cs="Calibri"/>
          <w:b/>
          <w:bCs/>
          <w:szCs w:val="22"/>
          <w:lang w:val="el-GR"/>
        </w:rPr>
        <w:t>International</w:t>
      </w:r>
      <w:proofErr w:type="spellEnd"/>
    </w:p>
    <w:p w:rsidR="00CC3917" w:rsidRPr="00CC3917" w:rsidRDefault="0021491D" w:rsidP="00CC3917">
      <w:pPr>
        <w:pStyle w:val="a9"/>
        <w:tabs>
          <w:tab w:val="left" w:pos="720"/>
        </w:tabs>
        <w:spacing w:after="120" w:line="240" w:lineRule="auto"/>
        <w:ind w:left="0"/>
        <w:rPr>
          <w:rFonts w:asciiTheme="minorHAnsi" w:hAnsiTheme="minorHAnsi"/>
          <w:szCs w:val="22"/>
          <w:lang w:val="el-GR"/>
        </w:rPr>
      </w:pPr>
      <w:r>
        <w:rPr>
          <w:rFonts w:asciiTheme="minorHAnsi" w:hAnsiTheme="minorHAnsi"/>
          <w:szCs w:val="22"/>
          <w:lang w:val="el-GR"/>
        </w:rPr>
        <w:t>1</w:t>
      </w:r>
      <w:r w:rsidR="000478F9" w:rsidRPr="000478F9">
        <w:rPr>
          <w:rFonts w:asciiTheme="minorHAnsi" w:hAnsiTheme="minorHAnsi"/>
          <w:szCs w:val="22"/>
          <w:lang w:val="el-GR"/>
        </w:rPr>
        <w:t>2</w:t>
      </w:r>
      <w:r w:rsidR="00CC3917" w:rsidRPr="00CC3917">
        <w:rPr>
          <w:rFonts w:asciiTheme="minorHAnsi" w:hAnsiTheme="minorHAnsi"/>
          <w:szCs w:val="22"/>
          <w:lang w:val="el-GR"/>
        </w:rPr>
        <w:t>.</w:t>
      </w:r>
      <w:r w:rsidR="00CC3917" w:rsidRPr="00CC3917">
        <w:rPr>
          <w:rFonts w:asciiTheme="minorHAnsi" w:hAnsiTheme="minorHAnsi"/>
          <w:szCs w:val="22"/>
          <w:lang w:val="el-GR"/>
        </w:rPr>
        <w:tab/>
        <w:t xml:space="preserve">Η </w:t>
      </w:r>
      <w:r w:rsidR="00CC3917" w:rsidRPr="00CC3917">
        <w:rPr>
          <w:rFonts w:asciiTheme="minorHAnsi" w:hAnsiTheme="minorHAnsi"/>
          <w:szCs w:val="22"/>
          <w:lang w:val="en-US"/>
        </w:rPr>
        <w:t>HSBC</w:t>
      </w:r>
      <w:r w:rsidR="00CC3917" w:rsidRPr="00CC3917">
        <w:rPr>
          <w:rFonts w:asciiTheme="minorHAnsi" w:hAnsiTheme="minorHAnsi"/>
          <w:szCs w:val="22"/>
          <w:lang w:val="el-GR"/>
        </w:rPr>
        <w:t xml:space="preserve"> </w:t>
      </w:r>
      <w:r w:rsidR="00CC3917" w:rsidRPr="00CC3917">
        <w:rPr>
          <w:rFonts w:asciiTheme="minorHAnsi" w:hAnsiTheme="minorHAnsi"/>
          <w:szCs w:val="22"/>
          <w:lang w:val="en-US"/>
        </w:rPr>
        <w:t>France</w:t>
      </w:r>
      <w:r w:rsidR="00CC3917" w:rsidRPr="00CC3917">
        <w:rPr>
          <w:rFonts w:asciiTheme="minorHAnsi" w:hAnsiTheme="minorHAnsi"/>
          <w:szCs w:val="22"/>
          <w:lang w:val="el-GR"/>
        </w:rPr>
        <w:t xml:space="preserve">, </w:t>
      </w:r>
      <w:r w:rsidR="00CC3917" w:rsidRPr="00CC3917">
        <w:rPr>
          <w:rFonts w:asciiTheme="minorHAnsi" w:hAnsiTheme="minorHAnsi" w:cs="Calibri"/>
          <w:szCs w:val="22"/>
          <w:lang w:val="el-GR"/>
        </w:rPr>
        <w:t xml:space="preserve">η οποία είναι πιστωτικό ίδρυμα και επιχείρηση επενδύσεων </w:t>
      </w:r>
      <w:proofErr w:type="spellStart"/>
      <w:r w:rsidR="00CC3917" w:rsidRPr="00CC3917">
        <w:rPr>
          <w:rFonts w:asciiTheme="minorHAnsi" w:hAnsiTheme="minorHAnsi" w:cs="Calibri"/>
          <w:szCs w:val="22"/>
          <w:lang w:val="el-GR"/>
        </w:rPr>
        <w:t>αδειοδοτημένη</w:t>
      </w:r>
      <w:proofErr w:type="spellEnd"/>
      <w:r w:rsidR="00CC3917" w:rsidRPr="00CC3917">
        <w:rPr>
          <w:rFonts w:asciiTheme="minorHAnsi" w:hAnsiTheme="minorHAnsi" w:cs="Calibri"/>
          <w:szCs w:val="22"/>
          <w:lang w:val="el-GR"/>
        </w:rPr>
        <w:t xml:space="preserve"> από την γαλλική Αρχή Προληπτικού Ελέγχου και Εξυγίανσης (</w:t>
      </w:r>
      <w:proofErr w:type="spellStart"/>
      <w:r w:rsidR="00CC3917" w:rsidRPr="00CC3917">
        <w:rPr>
          <w:rFonts w:asciiTheme="minorHAnsi" w:hAnsiTheme="minorHAnsi"/>
          <w:i/>
          <w:szCs w:val="22"/>
        </w:rPr>
        <w:t>Autorit</w:t>
      </w:r>
      <w:proofErr w:type="spellEnd"/>
      <w:r w:rsidR="00CC3917" w:rsidRPr="00CC3917">
        <w:rPr>
          <w:rFonts w:asciiTheme="minorHAnsi" w:hAnsiTheme="minorHAnsi"/>
          <w:i/>
          <w:szCs w:val="22"/>
          <w:lang w:val="el-GR"/>
        </w:rPr>
        <w:t xml:space="preserve">é </w:t>
      </w:r>
      <w:r w:rsidR="00CC3917" w:rsidRPr="00CC3917">
        <w:rPr>
          <w:rFonts w:asciiTheme="minorHAnsi" w:hAnsiTheme="minorHAnsi"/>
          <w:i/>
          <w:szCs w:val="22"/>
        </w:rPr>
        <w:t>de</w:t>
      </w:r>
      <w:r w:rsidR="00CC3917" w:rsidRPr="00CC3917">
        <w:rPr>
          <w:rFonts w:asciiTheme="minorHAnsi" w:hAnsiTheme="minorHAnsi"/>
          <w:i/>
          <w:szCs w:val="22"/>
          <w:lang w:val="el-GR"/>
        </w:rPr>
        <w:t xml:space="preserve"> </w:t>
      </w:r>
      <w:proofErr w:type="spellStart"/>
      <w:r w:rsidR="00CC3917" w:rsidRPr="00CC3917">
        <w:rPr>
          <w:rFonts w:asciiTheme="minorHAnsi" w:hAnsiTheme="minorHAnsi"/>
          <w:i/>
          <w:szCs w:val="22"/>
        </w:rPr>
        <w:t>Contr</w:t>
      </w:r>
      <w:proofErr w:type="spellEnd"/>
      <w:r w:rsidR="00CC3917" w:rsidRPr="00CC3917">
        <w:rPr>
          <w:rFonts w:asciiTheme="minorHAnsi" w:hAnsiTheme="minorHAnsi"/>
          <w:i/>
          <w:szCs w:val="22"/>
          <w:lang w:val="el-GR"/>
        </w:rPr>
        <w:t>ô</w:t>
      </w:r>
      <w:r w:rsidR="00CC3917" w:rsidRPr="00CC3917">
        <w:rPr>
          <w:rFonts w:asciiTheme="minorHAnsi" w:hAnsiTheme="minorHAnsi"/>
          <w:i/>
          <w:szCs w:val="22"/>
        </w:rPr>
        <w:t>le</w:t>
      </w:r>
      <w:r w:rsidR="00CC3917" w:rsidRPr="00CC3917">
        <w:rPr>
          <w:rFonts w:asciiTheme="minorHAnsi" w:hAnsiTheme="minorHAnsi"/>
          <w:i/>
          <w:szCs w:val="22"/>
          <w:lang w:val="el-GR"/>
        </w:rPr>
        <w:t xml:space="preserve"> </w:t>
      </w:r>
      <w:proofErr w:type="spellStart"/>
      <w:r w:rsidR="00CC3917" w:rsidRPr="00CC3917">
        <w:rPr>
          <w:rFonts w:asciiTheme="minorHAnsi" w:hAnsiTheme="minorHAnsi"/>
          <w:i/>
          <w:szCs w:val="22"/>
        </w:rPr>
        <w:t>Prudentiel</w:t>
      </w:r>
      <w:proofErr w:type="spellEnd"/>
      <w:r w:rsidR="00CC3917" w:rsidRPr="00CC3917">
        <w:rPr>
          <w:rFonts w:asciiTheme="minorHAnsi" w:hAnsiTheme="minorHAnsi"/>
          <w:i/>
          <w:szCs w:val="22"/>
          <w:lang w:val="el-GR"/>
        </w:rPr>
        <w:t xml:space="preserve"> </w:t>
      </w:r>
      <w:r w:rsidR="00CC3917" w:rsidRPr="00CC3917">
        <w:rPr>
          <w:rFonts w:asciiTheme="minorHAnsi" w:hAnsiTheme="minorHAnsi"/>
          <w:i/>
          <w:szCs w:val="22"/>
        </w:rPr>
        <w:t>et</w:t>
      </w:r>
      <w:r w:rsidR="00CC3917" w:rsidRPr="00CC3917">
        <w:rPr>
          <w:rFonts w:asciiTheme="minorHAnsi" w:hAnsiTheme="minorHAnsi"/>
          <w:i/>
          <w:szCs w:val="22"/>
          <w:lang w:val="el-GR"/>
        </w:rPr>
        <w:t xml:space="preserve"> </w:t>
      </w:r>
      <w:r w:rsidR="00CC3917" w:rsidRPr="00CC3917">
        <w:rPr>
          <w:rFonts w:asciiTheme="minorHAnsi" w:hAnsiTheme="minorHAnsi"/>
          <w:i/>
          <w:szCs w:val="22"/>
        </w:rPr>
        <w:t>de</w:t>
      </w:r>
      <w:r w:rsidR="00CC3917" w:rsidRPr="00CC3917">
        <w:rPr>
          <w:rFonts w:asciiTheme="minorHAnsi" w:hAnsiTheme="minorHAnsi"/>
          <w:i/>
          <w:szCs w:val="22"/>
          <w:lang w:val="el-GR"/>
        </w:rPr>
        <w:t xml:space="preserve"> </w:t>
      </w:r>
      <w:r w:rsidR="00CC3917" w:rsidRPr="00CC3917">
        <w:rPr>
          <w:rFonts w:asciiTheme="minorHAnsi" w:hAnsiTheme="minorHAnsi"/>
          <w:i/>
          <w:szCs w:val="22"/>
        </w:rPr>
        <w:t>R</w:t>
      </w:r>
      <w:r w:rsidR="00CC3917" w:rsidRPr="00CC3917">
        <w:rPr>
          <w:rFonts w:asciiTheme="minorHAnsi" w:hAnsiTheme="minorHAnsi"/>
          <w:i/>
          <w:szCs w:val="22"/>
          <w:lang w:val="el-GR"/>
        </w:rPr>
        <w:t>é</w:t>
      </w:r>
      <w:r w:rsidR="00CC3917" w:rsidRPr="00CC3917">
        <w:rPr>
          <w:rFonts w:asciiTheme="minorHAnsi" w:hAnsiTheme="minorHAnsi"/>
          <w:i/>
          <w:szCs w:val="22"/>
        </w:rPr>
        <w:t>solution</w:t>
      </w:r>
      <w:r w:rsidR="00CC3917" w:rsidRPr="00CC3917">
        <w:rPr>
          <w:rFonts w:asciiTheme="minorHAnsi" w:hAnsiTheme="minorHAnsi"/>
          <w:i/>
          <w:szCs w:val="22"/>
          <w:lang w:val="el-GR"/>
        </w:rPr>
        <w:t xml:space="preserve"> - ACPR</w:t>
      </w:r>
      <w:r w:rsidR="00CC3917" w:rsidRPr="00CC3917">
        <w:rPr>
          <w:rFonts w:asciiTheme="minorHAnsi" w:hAnsiTheme="minorHAnsi"/>
          <w:szCs w:val="22"/>
          <w:lang w:val="el-GR"/>
        </w:rPr>
        <w:t>), υπόκειται στο ρυθμιστικό πλαίσιο της Αρχής χρηματοπιστωτικών αγορών (</w:t>
      </w:r>
      <w:proofErr w:type="spellStart"/>
      <w:r w:rsidR="00CC3917" w:rsidRPr="00CC3917">
        <w:rPr>
          <w:rFonts w:asciiTheme="minorHAnsi" w:hAnsiTheme="minorHAnsi"/>
          <w:i/>
          <w:szCs w:val="22"/>
        </w:rPr>
        <w:t>Autorit</w:t>
      </w:r>
      <w:proofErr w:type="spellEnd"/>
      <w:r w:rsidR="00CC3917" w:rsidRPr="00CC3917">
        <w:rPr>
          <w:rFonts w:asciiTheme="minorHAnsi" w:hAnsiTheme="minorHAnsi"/>
          <w:i/>
          <w:szCs w:val="22"/>
          <w:lang w:val="el-GR"/>
        </w:rPr>
        <w:t xml:space="preserve">é </w:t>
      </w:r>
      <w:r w:rsidR="00CC3917" w:rsidRPr="00CC3917">
        <w:rPr>
          <w:rFonts w:asciiTheme="minorHAnsi" w:hAnsiTheme="minorHAnsi"/>
          <w:i/>
          <w:szCs w:val="22"/>
        </w:rPr>
        <w:t>des</w:t>
      </w:r>
      <w:r w:rsidR="00CC3917" w:rsidRPr="00CC3917">
        <w:rPr>
          <w:rFonts w:asciiTheme="minorHAnsi" w:hAnsiTheme="minorHAnsi"/>
          <w:i/>
          <w:szCs w:val="22"/>
          <w:lang w:val="el-GR"/>
        </w:rPr>
        <w:t xml:space="preserve"> </w:t>
      </w:r>
      <w:r w:rsidR="00CC3917" w:rsidRPr="00CC3917">
        <w:rPr>
          <w:rFonts w:asciiTheme="minorHAnsi" w:hAnsiTheme="minorHAnsi"/>
          <w:i/>
          <w:szCs w:val="22"/>
        </w:rPr>
        <w:t>march</w:t>
      </w:r>
      <w:r w:rsidR="00CC3917" w:rsidRPr="00CC3917">
        <w:rPr>
          <w:rFonts w:asciiTheme="minorHAnsi" w:hAnsiTheme="minorHAnsi"/>
          <w:i/>
          <w:szCs w:val="22"/>
          <w:lang w:val="el-GR"/>
        </w:rPr>
        <w:t>é</w:t>
      </w:r>
      <w:r w:rsidR="00CC3917" w:rsidRPr="00CC3917">
        <w:rPr>
          <w:rFonts w:asciiTheme="minorHAnsi" w:hAnsiTheme="minorHAnsi"/>
          <w:i/>
          <w:szCs w:val="22"/>
        </w:rPr>
        <w:t>s</w:t>
      </w:r>
      <w:r w:rsidR="00CC3917" w:rsidRPr="00CC3917">
        <w:rPr>
          <w:rFonts w:asciiTheme="minorHAnsi" w:hAnsiTheme="minorHAnsi"/>
          <w:i/>
          <w:szCs w:val="22"/>
          <w:lang w:val="el-GR"/>
        </w:rPr>
        <w:t xml:space="preserve"> </w:t>
      </w:r>
      <w:r w:rsidR="00CC3917" w:rsidRPr="00CC3917">
        <w:rPr>
          <w:rFonts w:asciiTheme="minorHAnsi" w:hAnsiTheme="minorHAnsi"/>
          <w:i/>
          <w:szCs w:val="22"/>
        </w:rPr>
        <w:t>financiers</w:t>
      </w:r>
      <w:r w:rsidR="00CC3917" w:rsidRPr="00CC3917">
        <w:rPr>
          <w:rFonts w:asciiTheme="minorHAnsi" w:hAnsiTheme="minorHAnsi"/>
          <w:szCs w:val="22"/>
          <w:lang w:val="el-GR"/>
        </w:rPr>
        <w:t xml:space="preserve">) και της </w:t>
      </w:r>
      <w:r w:rsidR="00CC3917" w:rsidRPr="00CC3917">
        <w:rPr>
          <w:rFonts w:asciiTheme="minorHAnsi" w:hAnsiTheme="minorHAnsi"/>
          <w:szCs w:val="22"/>
        </w:rPr>
        <w:t>ACPR</w:t>
      </w:r>
      <w:r w:rsidR="00CC3917" w:rsidRPr="00CC3917">
        <w:rPr>
          <w:rFonts w:asciiTheme="minorHAnsi" w:hAnsiTheme="minorHAnsi"/>
          <w:szCs w:val="22"/>
          <w:lang w:val="el-GR"/>
        </w:rPr>
        <w:t xml:space="preserve">, εποπτεύεται από την Ευρωπαϊκή Κεντρική Τράπεζα, και </w:t>
      </w:r>
      <w:r w:rsidR="00CC3917" w:rsidRPr="00CC3917">
        <w:rPr>
          <w:rFonts w:asciiTheme="minorHAnsi" w:hAnsiTheme="minorHAnsi" w:cs="Calibri"/>
          <w:szCs w:val="22"/>
          <w:lang w:val="el-GR"/>
        </w:rPr>
        <w:t xml:space="preserve">δικαιούται σύμφωνα με την Οδηγία 2014/65/ΕΕ να παρέχει στην Ελλάδα τις υπηρεσίες των στοιχείων (6) και (7) του Τμήματος Α του Παραρτήματος Ι του Ν. 4514/2018, ενεργεί για την </w:t>
      </w:r>
      <w:r w:rsidR="00CC3917" w:rsidRPr="00CC3917">
        <w:rPr>
          <w:rFonts w:asciiTheme="minorHAnsi" w:hAnsiTheme="minorHAnsi"/>
          <w:bCs/>
          <w:szCs w:val="22"/>
          <w:lang w:val="en-US"/>
        </w:rPr>
        <w:t>TITAN</w:t>
      </w:r>
      <w:r w:rsidR="00CC3917" w:rsidRPr="00CC3917">
        <w:rPr>
          <w:rFonts w:asciiTheme="minorHAnsi" w:hAnsiTheme="minorHAnsi"/>
          <w:bCs/>
          <w:szCs w:val="22"/>
          <w:lang w:val="el-GR"/>
        </w:rPr>
        <w:t xml:space="preserve"> </w:t>
      </w:r>
      <w:r w:rsidR="00CC3917" w:rsidRPr="00CC3917">
        <w:rPr>
          <w:rFonts w:asciiTheme="minorHAnsi" w:hAnsiTheme="minorHAnsi"/>
          <w:bCs/>
          <w:szCs w:val="22"/>
          <w:lang w:val="en-US"/>
        </w:rPr>
        <w:t>Cement</w:t>
      </w:r>
      <w:r w:rsidR="00CC3917" w:rsidRPr="00CC3917">
        <w:rPr>
          <w:rFonts w:asciiTheme="minorHAnsi" w:hAnsiTheme="minorHAnsi"/>
          <w:bCs/>
          <w:szCs w:val="22"/>
          <w:lang w:val="el-GR"/>
        </w:rPr>
        <w:t xml:space="preserve"> </w:t>
      </w:r>
      <w:r w:rsidR="00CC3917" w:rsidRPr="00CC3917">
        <w:rPr>
          <w:rFonts w:asciiTheme="minorHAnsi" w:hAnsiTheme="minorHAnsi"/>
          <w:bCs/>
          <w:szCs w:val="22"/>
          <w:lang w:val="en-US"/>
        </w:rPr>
        <w:t>International</w:t>
      </w:r>
      <w:r w:rsidR="00CC3917" w:rsidRPr="00CC3917">
        <w:rPr>
          <w:rFonts w:asciiTheme="minorHAnsi" w:hAnsiTheme="minorHAnsi"/>
          <w:bCs/>
          <w:szCs w:val="22"/>
          <w:lang w:val="el-GR"/>
        </w:rPr>
        <w:t xml:space="preserve"> ως </w:t>
      </w:r>
      <w:r w:rsidR="00CC3917" w:rsidRPr="00CC3917">
        <w:rPr>
          <w:rFonts w:asciiTheme="minorHAnsi" w:hAnsiTheme="minorHAnsi"/>
          <w:szCs w:val="22"/>
          <w:lang w:val="el-GR"/>
        </w:rPr>
        <w:t>(</w:t>
      </w:r>
      <w:r w:rsidR="00CC3917" w:rsidRPr="00CC3917">
        <w:rPr>
          <w:rFonts w:asciiTheme="minorHAnsi" w:hAnsiTheme="minorHAnsi"/>
          <w:szCs w:val="22"/>
        </w:rPr>
        <w:t>i</w:t>
      </w:r>
      <w:r w:rsidR="00CC3917" w:rsidRPr="00CC3917">
        <w:rPr>
          <w:rFonts w:asciiTheme="minorHAnsi" w:hAnsiTheme="minorHAnsi"/>
          <w:szCs w:val="22"/>
          <w:lang w:val="el-GR"/>
        </w:rPr>
        <w:t xml:space="preserve">) </w:t>
      </w:r>
      <w:r w:rsidR="00CC3917" w:rsidRPr="00CC3917">
        <w:rPr>
          <w:rFonts w:asciiTheme="minorHAnsi" w:hAnsiTheme="minorHAnsi" w:cs="Calibri"/>
          <w:szCs w:val="22"/>
          <w:lang w:val="el-GR"/>
        </w:rPr>
        <w:t xml:space="preserve">αποκλειστικός σύμβουλός της σε σχέση με την Δημόσια Πρόταση Ανταλλαγής, σύμφωνα με το άρθρο 12 του Νόμου (ο </w:t>
      </w:r>
      <w:r w:rsidR="00CC3917" w:rsidRPr="00CC3917">
        <w:rPr>
          <w:rFonts w:asciiTheme="minorHAnsi" w:hAnsiTheme="minorHAnsi"/>
          <w:szCs w:val="22"/>
          <w:lang w:val="el-GR"/>
        </w:rPr>
        <w:t>«</w:t>
      </w:r>
      <w:r w:rsidR="00CC3917" w:rsidRPr="00CC3917">
        <w:rPr>
          <w:rFonts w:asciiTheme="minorHAnsi" w:hAnsiTheme="minorHAnsi" w:cs="Calibri"/>
          <w:b/>
          <w:szCs w:val="22"/>
          <w:lang w:val="el-GR"/>
        </w:rPr>
        <w:t>Σύμβουλος</w:t>
      </w:r>
      <w:r w:rsidR="00CC3917" w:rsidRPr="00CC3917">
        <w:rPr>
          <w:rFonts w:asciiTheme="minorHAnsi" w:hAnsiTheme="minorHAnsi"/>
          <w:szCs w:val="22"/>
          <w:lang w:val="el-GR"/>
        </w:rPr>
        <w:t>»</w:t>
      </w:r>
      <w:r w:rsidR="00CC3917" w:rsidRPr="00CC3917">
        <w:rPr>
          <w:rFonts w:asciiTheme="minorHAnsi" w:hAnsiTheme="minorHAnsi" w:cs="Calibri"/>
          <w:szCs w:val="22"/>
          <w:lang w:val="el-GR"/>
        </w:rPr>
        <w:t xml:space="preserve">) και </w:t>
      </w:r>
      <w:r w:rsidR="00CC3917" w:rsidRPr="00CC3917">
        <w:rPr>
          <w:rFonts w:asciiTheme="minorHAnsi" w:hAnsiTheme="minorHAnsi"/>
          <w:szCs w:val="22"/>
          <w:lang w:val="el-GR"/>
        </w:rPr>
        <w:t>(</w:t>
      </w:r>
      <w:r w:rsidR="00CC3917" w:rsidRPr="00CC3917">
        <w:rPr>
          <w:rFonts w:asciiTheme="minorHAnsi" w:hAnsiTheme="minorHAnsi"/>
          <w:szCs w:val="22"/>
        </w:rPr>
        <w:t>ii</w:t>
      </w:r>
      <w:r w:rsidR="00CC3917" w:rsidRPr="00CC3917">
        <w:rPr>
          <w:rFonts w:asciiTheme="minorHAnsi" w:hAnsiTheme="minorHAnsi"/>
          <w:szCs w:val="22"/>
          <w:lang w:val="el-GR"/>
        </w:rPr>
        <w:t xml:space="preserve">) αποκλειστικός σύμβουλος εισαγωγής σε σχέση με την δευτερογενή εισαγωγή προς διαπραγμάτευση όλων </w:t>
      </w:r>
      <w:r w:rsidR="00CC3917" w:rsidRPr="00CC3917">
        <w:rPr>
          <w:rFonts w:asciiTheme="minorHAnsi" w:hAnsiTheme="minorHAnsi" w:cs="Calibri"/>
          <w:szCs w:val="22"/>
          <w:lang w:val="el-GR"/>
        </w:rPr>
        <w:t xml:space="preserve">των μετοχών της στο Χ.Α. Επιπροσθέτως, η </w:t>
      </w:r>
      <w:r w:rsidR="00CC3917" w:rsidRPr="00CC3917">
        <w:rPr>
          <w:rFonts w:asciiTheme="minorHAnsi" w:hAnsiTheme="minorHAnsi"/>
          <w:szCs w:val="22"/>
          <w:lang w:val="en-US"/>
        </w:rPr>
        <w:t>HSBC</w:t>
      </w:r>
      <w:r w:rsidR="00CC3917" w:rsidRPr="00CC3917">
        <w:rPr>
          <w:rFonts w:asciiTheme="minorHAnsi" w:hAnsiTheme="minorHAnsi"/>
          <w:szCs w:val="22"/>
          <w:lang w:val="el-GR"/>
        </w:rPr>
        <w:t xml:space="preserve"> </w:t>
      </w:r>
      <w:r w:rsidR="00CC3917" w:rsidRPr="00CC3917">
        <w:rPr>
          <w:rFonts w:asciiTheme="minorHAnsi" w:hAnsiTheme="minorHAnsi"/>
          <w:szCs w:val="22"/>
          <w:lang w:val="en-US"/>
        </w:rPr>
        <w:t>Bank</w:t>
      </w:r>
      <w:r w:rsidR="00CC3917" w:rsidRPr="00CC3917">
        <w:rPr>
          <w:rFonts w:asciiTheme="minorHAnsi" w:hAnsiTheme="minorHAnsi"/>
          <w:szCs w:val="22"/>
          <w:lang w:val="el-GR"/>
        </w:rPr>
        <w:t xml:space="preserve"> </w:t>
      </w:r>
      <w:r w:rsidR="00CC3917" w:rsidRPr="00CC3917">
        <w:rPr>
          <w:rFonts w:asciiTheme="minorHAnsi" w:hAnsiTheme="minorHAnsi"/>
          <w:szCs w:val="22"/>
          <w:lang w:val="en-US"/>
        </w:rPr>
        <w:t>plc</w:t>
      </w:r>
      <w:r w:rsidR="00CC3917" w:rsidRPr="00CC3917">
        <w:rPr>
          <w:rFonts w:asciiTheme="minorHAnsi" w:hAnsiTheme="minorHAnsi"/>
          <w:szCs w:val="22"/>
          <w:lang w:val="el-GR"/>
        </w:rPr>
        <w:t xml:space="preserve"> (από κοινού με τον Σύμβουλο, η «</w:t>
      </w:r>
      <w:r w:rsidR="00CC3917" w:rsidRPr="00CC3917">
        <w:rPr>
          <w:rFonts w:asciiTheme="minorHAnsi" w:hAnsiTheme="minorHAnsi"/>
          <w:b/>
          <w:szCs w:val="22"/>
          <w:lang w:val="en-US"/>
        </w:rPr>
        <w:t>HSBC</w:t>
      </w:r>
      <w:r w:rsidR="00CC3917" w:rsidRPr="00CC3917">
        <w:rPr>
          <w:rFonts w:asciiTheme="minorHAnsi" w:hAnsiTheme="minorHAnsi"/>
          <w:szCs w:val="22"/>
          <w:lang w:val="el-GR"/>
        </w:rPr>
        <w:t xml:space="preserve">») ενεργεί ως αποκλειστικός σύμβουλος εισαγωγής της TITAN </w:t>
      </w:r>
      <w:proofErr w:type="spellStart"/>
      <w:r w:rsidR="00CC3917" w:rsidRPr="00CC3917">
        <w:rPr>
          <w:rFonts w:asciiTheme="minorHAnsi" w:hAnsiTheme="minorHAnsi"/>
          <w:szCs w:val="22"/>
          <w:lang w:val="el-GR"/>
        </w:rPr>
        <w:t>Cement</w:t>
      </w:r>
      <w:proofErr w:type="spellEnd"/>
      <w:r w:rsidR="00CC3917" w:rsidRPr="00CC3917">
        <w:rPr>
          <w:rFonts w:asciiTheme="minorHAnsi" w:hAnsiTheme="minorHAnsi"/>
          <w:szCs w:val="22"/>
          <w:lang w:val="el-GR"/>
        </w:rPr>
        <w:t xml:space="preserve"> </w:t>
      </w:r>
      <w:proofErr w:type="spellStart"/>
      <w:r w:rsidR="00CC3917" w:rsidRPr="00CC3917">
        <w:rPr>
          <w:rFonts w:asciiTheme="minorHAnsi" w:hAnsiTheme="minorHAnsi"/>
          <w:szCs w:val="22"/>
          <w:lang w:val="el-GR"/>
        </w:rPr>
        <w:t>International</w:t>
      </w:r>
      <w:proofErr w:type="spellEnd"/>
      <w:r w:rsidR="00CC3917" w:rsidRPr="00CC3917">
        <w:rPr>
          <w:rFonts w:asciiTheme="minorHAnsi" w:hAnsiTheme="minorHAnsi"/>
          <w:szCs w:val="22"/>
          <w:lang w:val="el-GR"/>
        </w:rPr>
        <w:t xml:space="preserve"> στο </w:t>
      </w:r>
      <w:r w:rsidR="00CC3917" w:rsidRPr="00CC3917">
        <w:rPr>
          <w:rFonts w:asciiTheme="minorHAnsi" w:hAnsiTheme="minorHAnsi"/>
          <w:szCs w:val="22"/>
          <w:lang w:val="en-US"/>
        </w:rPr>
        <w:t>Euronext</w:t>
      </w:r>
      <w:r w:rsidR="00CC3917" w:rsidRPr="00CC3917">
        <w:rPr>
          <w:rFonts w:asciiTheme="minorHAnsi" w:hAnsiTheme="minorHAnsi"/>
          <w:szCs w:val="22"/>
          <w:lang w:val="el-GR"/>
        </w:rPr>
        <w:t xml:space="preserve"> Βρυξελλών και </w:t>
      </w:r>
      <w:r w:rsidR="00CC3917" w:rsidRPr="00CC3917">
        <w:rPr>
          <w:rFonts w:asciiTheme="minorHAnsi" w:hAnsiTheme="minorHAnsi"/>
          <w:szCs w:val="22"/>
          <w:lang w:val="en-US"/>
        </w:rPr>
        <w:t>Euronext</w:t>
      </w:r>
      <w:r w:rsidR="00CC3917" w:rsidRPr="00CC3917">
        <w:rPr>
          <w:rFonts w:asciiTheme="minorHAnsi" w:hAnsiTheme="minorHAnsi"/>
          <w:szCs w:val="22"/>
          <w:lang w:val="el-GR"/>
        </w:rPr>
        <w:t xml:space="preserve"> Παρισίων.</w:t>
      </w:r>
    </w:p>
    <w:p w:rsidR="00CC3917" w:rsidRPr="00CC3917" w:rsidRDefault="00CC3917" w:rsidP="00CC3917">
      <w:pPr>
        <w:pStyle w:val="a9"/>
        <w:tabs>
          <w:tab w:val="left" w:pos="720"/>
        </w:tabs>
        <w:spacing w:after="120" w:line="240" w:lineRule="auto"/>
        <w:ind w:left="0"/>
        <w:rPr>
          <w:rFonts w:asciiTheme="minorHAnsi" w:hAnsiTheme="minorHAnsi"/>
          <w:szCs w:val="22"/>
          <w:lang w:val="el-GR"/>
        </w:rPr>
      </w:pPr>
      <w:r w:rsidRPr="00CC3917">
        <w:rPr>
          <w:rFonts w:asciiTheme="minorHAnsi" w:hAnsiTheme="minorHAnsi"/>
          <w:szCs w:val="22"/>
          <w:lang w:val="el-GR"/>
        </w:rPr>
        <w:t xml:space="preserve">Ο Σύμβουλος έχει βεβαιώσει προς την ΕΚ ότι η </w:t>
      </w:r>
      <w:r w:rsidRPr="00CC3917">
        <w:rPr>
          <w:rFonts w:asciiTheme="minorHAnsi" w:hAnsiTheme="minorHAnsi"/>
          <w:bCs/>
          <w:szCs w:val="22"/>
          <w:lang w:val="en-US"/>
        </w:rPr>
        <w:t>TITAN</w:t>
      </w:r>
      <w:r w:rsidRPr="00CC3917">
        <w:rPr>
          <w:rFonts w:asciiTheme="minorHAnsi" w:hAnsiTheme="minorHAnsi"/>
          <w:bCs/>
          <w:szCs w:val="22"/>
          <w:lang w:val="el-GR"/>
        </w:rPr>
        <w:t xml:space="preserve"> </w:t>
      </w:r>
      <w:r w:rsidRPr="00CC3917">
        <w:rPr>
          <w:rFonts w:asciiTheme="minorHAnsi" w:hAnsiTheme="minorHAnsi"/>
          <w:bCs/>
          <w:szCs w:val="22"/>
          <w:lang w:val="en-US"/>
        </w:rPr>
        <w:t>Cement</w:t>
      </w:r>
      <w:r w:rsidRPr="00CC3917">
        <w:rPr>
          <w:rFonts w:asciiTheme="minorHAnsi" w:hAnsiTheme="minorHAnsi"/>
          <w:bCs/>
          <w:szCs w:val="22"/>
          <w:lang w:val="el-GR"/>
        </w:rPr>
        <w:t xml:space="preserve"> </w:t>
      </w:r>
      <w:r w:rsidRPr="00CC3917">
        <w:rPr>
          <w:rFonts w:asciiTheme="minorHAnsi" w:hAnsiTheme="minorHAnsi"/>
          <w:bCs/>
          <w:szCs w:val="22"/>
          <w:lang w:val="en-US"/>
        </w:rPr>
        <w:t>International</w:t>
      </w:r>
      <w:r w:rsidRPr="00CC3917">
        <w:rPr>
          <w:rFonts w:asciiTheme="minorHAnsi" w:hAnsiTheme="minorHAnsi"/>
          <w:bCs/>
          <w:szCs w:val="22"/>
          <w:lang w:val="el-GR"/>
        </w:rPr>
        <w:t xml:space="preserve"> </w:t>
      </w:r>
      <w:r w:rsidRPr="00CC3917">
        <w:rPr>
          <w:rFonts w:asciiTheme="minorHAnsi" w:hAnsiTheme="minorHAnsi"/>
          <w:szCs w:val="22"/>
          <w:lang w:val="el-GR"/>
        </w:rPr>
        <w:t>(</w:t>
      </w:r>
      <w:r w:rsidRPr="00CC3917">
        <w:rPr>
          <w:rFonts w:asciiTheme="minorHAnsi" w:hAnsiTheme="minorHAnsi"/>
          <w:szCs w:val="22"/>
        </w:rPr>
        <w:t>i</w:t>
      </w:r>
      <w:r w:rsidRPr="00CC3917">
        <w:rPr>
          <w:rFonts w:asciiTheme="minorHAnsi" w:hAnsiTheme="minorHAnsi"/>
          <w:szCs w:val="22"/>
          <w:lang w:val="el-GR"/>
        </w:rPr>
        <w:t>)</w:t>
      </w:r>
      <w:r w:rsidRPr="00CC3917">
        <w:rPr>
          <w:rFonts w:asciiTheme="minorHAnsi" w:hAnsiTheme="minorHAnsi"/>
          <w:szCs w:val="22"/>
        </w:rPr>
        <w:t> </w:t>
      </w:r>
      <w:r w:rsidRPr="00CC3917">
        <w:rPr>
          <w:rFonts w:asciiTheme="minorHAnsi" w:hAnsiTheme="minorHAnsi"/>
          <w:szCs w:val="22"/>
          <w:lang w:val="el-GR"/>
        </w:rPr>
        <w:t>έχει λάβει όλα τα πρόσφορα μέτρα προκειμένου να μπορέσει να εκδώσει και παραδώσει τις Μετοχές του Ανταλλάγματος προς τους μετόχους της ΤΙΤΑΝ που θα αποδεχθούν τη Δημόσια Πρόταση Ανταλλαγής, και (</w:t>
      </w:r>
      <w:r w:rsidRPr="00CC3917">
        <w:rPr>
          <w:rFonts w:asciiTheme="minorHAnsi" w:hAnsiTheme="minorHAnsi"/>
          <w:szCs w:val="22"/>
        </w:rPr>
        <w:t>ii</w:t>
      </w:r>
      <w:r w:rsidRPr="00CC3917">
        <w:rPr>
          <w:rFonts w:asciiTheme="minorHAnsi" w:hAnsiTheme="minorHAnsi"/>
          <w:szCs w:val="22"/>
          <w:lang w:val="el-GR"/>
        </w:rPr>
        <w:t>) διαθέτει τα απαραίτητα μέσα για την πλήρη καταβολή του ποσού που αντιστοιχεί στα δικαιώματα εκκαθάρισης υπέρ της ΕΛ.Κ.Α.Τ., σύμφωνα με τους όρους κα</w:t>
      </w:r>
      <w:r>
        <w:rPr>
          <w:rFonts w:asciiTheme="minorHAnsi" w:hAnsiTheme="minorHAnsi"/>
          <w:szCs w:val="22"/>
          <w:lang w:val="el-GR"/>
        </w:rPr>
        <w:t>ι</w:t>
      </w:r>
      <w:r w:rsidRPr="00CC3917">
        <w:rPr>
          <w:rFonts w:asciiTheme="minorHAnsi" w:hAnsiTheme="minorHAnsi"/>
          <w:szCs w:val="22"/>
          <w:lang w:val="el-GR"/>
        </w:rPr>
        <w:t xml:space="preserve"> υπό τις προϋποθέσεις της Δημόσιας Πρότασης Ανταλλαγής. Ωστόσο, ο Σύμβουλος δεν παρέχει εγγύηση, κατά την έννοια του άρθρου 847 </w:t>
      </w:r>
      <w:proofErr w:type="spellStart"/>
      <w:r w:rsidRPr="00CC3917">
        <w:rPr>
          <w:rFonts w:asciiTheme="minorHAnsi" w:hAnsiTheme="minorHAnsi"/>
          <w:szCs w:val="22"/>
          <w:lang w:val="el-GR"/>
        </w:rPr>
        <w:t>επ</w:t>
      </w:r>
      <w:proofErr w:type="spellEnd"/>
      <w:r w:rsidRPr="00CC3917">
        <w:rPr>
          <w:rFonts w:asciiTheme="minorHAnsi" w:hAnsiTheme="minorHAnsi"/>
          <w:szCs w:val="22"/>
          <w:lang w:val="el-GR"/>
        </w:rPr>
        <w:t xml:space="preserve">. του Αστικού Κώδικα, για την εκπλήρωση των υποχρεώσεων παράδοσης, των χρηματικών και λοιπών υποχρεώσεων που ανέλαβε η </w:t>
      </w:r>
      <w:r w:rsidRPr="00CC3917">
        <w:rPr>
          <w:rFonts w:asciiTheme="minorHAnsi" w:hAnsiTheme="minorHAnsi"/>
          <w:bCs/>
          <w:szCs w:val="22"/>
          <w:lang w:val="en-US"/>
        </w:rPr>
        <w:t>TITAN</w:t>
      </w:r>
      <w:r w:rsidRPr="00CC3917">
        <w:rPr>
          <w:rFonts w:asciiTheme="minorHAnsi" w:hAnsiTheme="minorHAnsi"/>
          <w:bCs/>
          <w:szCs w:val="22"/>
          <w:lang w:val="el-GR"/>
        </w:rPr>
        <w:t xml:space="preserve"> </w:t>
      </w:r>
      <w:r w:rsidRPr="00CC3917">
        <w:rPr>
          <w:rFonts w:asciiTheme="minorHAnsi" w:hAnsiTheme="minorHAnsi"/>
          <w:bCs/>
          <w:szCs w:val="22"/>
          <w:lang w:val="en-US"/>
        </w:rPr>
        <w:t>Cement</w:t>
      </w:r>
      <w:r w:rsidRPr="00CC3917">
        <w:rPr>
          <w:rFonts w:asciiTheme="minorHAnsi" w:hAnsiTheme="minorHAnsi"/>
          <w:bCs/>
          <w:szCs w:val="22"/>
          <w:lang w:val="el-GR"/>
        </w:rPr>
        <w:t xml:space="preserve"> </w:t>
      </w:r>
      <w:r w:rsidRPr="00CC3917">
        <w:rPr>
          <w:rFonts w:asciiTheme="minorHAnsi" w:hAnsiTheme="minorHAnsi"/>
          <w:bCs/>
          <w:szCs w:val="22"/>
          <w:lang w:val="en-US"/>
        </w:rPr>
        <w:t>International</w:t>
      </w:r>
      <w:r w:rsidRPr="00CC3917">
        <w:rPr>
          <w:rFonts w:asciiTheme="minorHAnsi" w:hAnsiTheme="minorHAnsi"/>
          <w:szCs w:val="22"/>
          <w:lang w:val="el-GR"/>
        </w:rPr>
        <w:t xml:space="preserve"> στο πλαίσιο της Δημόσιας Πρότασης Ανταλλαγής, ούτε βαρύνεται με οποιαδήποτε ευθύνη σύμφωνα με το άρθρο 729 του Αστικού Κώδικα.</w:t>
      </w:r>
    </w:p>
    <w:p w:rsidR="00CC3917" w:rsidRPr="00CC3917" w:rsidRDefault="00CC3917" w:rsidP="00CC3917">
      <w:pPr>
        <w:pStyle w:val="a9"/>
        <w:tabs>
          <w:tab w:val="left" w:pos="0"/>
        </w:tabs>
        <w:spacing w:after="120" w:line="240" w:lineRule="auto"/>
        <w:ind w:left="0"/>
        <w:rPr>
          <w:rFonts w:asciiTheme="minorHAnsi" w:hAnsiTheme="minorHAnsi"/>
          <w:szCs w:val="22"/>
          <w:lang w:val="el-GR"/>
        </w:rPr>
      </w:pPr>
      <w:r w:rsidRPr="00CC3917">
        <w:rPr>
          <w:rFonts w:asciiTheme="minorHAnsi" w:hAnsiTheme="minorHAnsi"/>
          <w:szCs w:val="22"/>
          <w:lang w:val="el-GR"/>
        </w:rPr>
        <w:t xml:space="preserve">Η </w:t>
      </w:r>
      <w:r w:rsidRPr="00CC3917">
        <w:rPr>
          <w:rFonts w:asciiTheme="minorHAnsi" w:hAnsiTheme="minorHAnsi"/>
          <w:szCs w:val="22"/>
          <w:lang w:val="en-US"/>
        </w:rPr>
        <w:t>HSBC</w:t>
      </w:r>
      <w:r w:rsidRPr="00CC3917">
        <w:rPr>
          <w:rFonts w:asciiTheme="minorHAnsi" w:hAnsiTheme="minorHAnsi"/>
          <w:szCs w:val="22"/>
          <w:lang w:val="el-GR"/>
        </w:rPr>
        <w:t xml:space="preserve"> ενεργεί για την </w:t>
      </w:r>
      <w:r w:rsidRPr="00CC3917">
        <w:rPr>
          <w:rFonts w:asciiTheme="minorHAnsi" w:hAnsiTheme="minorHAnsi"/>
          <w:szCs w:val="22"/>
          <w:lang w:val="en-US"/>
        </w:rPr>
        <w:t>TITAN</w:t>
      </w:r>
      <w:r w:rsidRPr="00CC3917">
        <w:rPr>
          <w:rFonts w:asciiTheme="minorHAnsi" w:hAnsiTheme="minorHAnsi"/>
          <w:szCs w:val="22"/>
          <w:lang w:val="el-GR"/>
        </w:rPr>
        <w:t xml:space="preserve"> </w:t>
      </w:r>
      <w:r w:rsidRPr="00CC3917">
        <w:rPr>
          <w:rFonts w:asciiTheme="minorHAnsi" w:hAnsiTheme="minorHAnsi"/>
          <w:szCs w:val="22"/>
          <w:lang w:val="en-US"/>
        </w:rPr>
        <w:t>Cement</w:t>
      </w:r>
      <w:r w:rsidRPr="00CC3917">
        <w:rPr>
          <w:rFonts w:asciiTheme="minorHAnsi" w:hAnsiTheme="minorHAnsi"/>
          <w:szCs w:val="22"/>
          <w:lang w:val="el-GR"/>
        </w:rPr>
        <w:t xml:space="preserve"> </w:t>
      </w:r>
      <w:r w:rsidRPr="00CC3917">
        <w:rPr>
          <w:rFonts w:asciiTheme="minorHAnsi" w:hAnsiTheme="minorHAnsi"/>
          <w:szCs w:val="22"/>
          <w:lang w:val="en-US"/>
        </w:rPr>
        <w:t>International</w:t>
      </w:r>
      <w:r w:rsidRPr="00CC3917">
        <w:rPr>
          <w:rFonts w:asciiTheme="minorHAnsi" w:hAnsiTheme="minorHAnsi"/>
          <w:szCs w:val="22"/>
          <w:lang w:val="el-GR"/>
        </w:rPr>
        <w:t xml:space="preserve"> αποκλειστικά και για κανένα άλλο πρόσωπο σε σχέση με την Δημόσια Πρόταση Ανταλλαγής και τις προτεινόμενες εισαγωγές στο </w:t>
      </w:r>
      <w:r w:rsidRPr="00CC3917">
        <w:rPr>
          <w:rFonts w:asciiTheme="minorHAnsi" w:hAnsiTheme="minorHAnsi"/>
          <w:szCs w:val="22"/>
          <w:lang w:val="en-US"/>
        </w:rPr>
        <w:t>Euronext</w:t>
      </w:r>
      <w:r w:rsidRPr="00CC3917">
        <w:rPr>
          <w:rFonts w:asciiTheme="minorHAnsi" w:hAnsiTheme="minorHAnsi"/>
          <w:szCs w:val="22"/>
          <w:lang w:val="el-GR"/>
        </w:rPr>
        <w:t xml:space="preserve"> Βρυξελλών, στο Χ.Α. και στο </w:t>
      </w:r>
      <w:r w:rsidRPr="00CC3917">
        <w:rPr>
          <w:rFonts w:asciiTheme="minorHAnsi" w:hAnsiTheme="minorHAnsi"/>
          <w:szCs w:val="22"/>
          <w:lang w:val="en-US"/>
        </w:rPr>
        <w:t>Euronext</w:t>
      </w:r>
      <w:r w:rsidRPr="00CC3917">
        <w:rPr>
          <w:rFonts w:asciiTheme="minorHAnsi" w:hAnsiTheme="minorHAnsi"/>
          <w:szCs w:val="22"/>
          <w:lang w:val="el-GR"/>
        </w:rPr>
        <w:t xml:space="preserve"> Παρισίων. </w:t>
      </w:r>
      <w:r w:rsidRPr="00CC3917">
        <w:rPr>
          <w:rFonts w:asciiTheme="minorHAnsi" w:hAnsiTheme="minorHAnsi" w:cs="Calibri"/>
          <w:szCs w:val="22"/>
          <w:lang w:val="el-GR"/>
        </w:rPr>
        <w:t>Κανένα άλλο πρόσωπο δεν μπορεί να θεωρηθεί πελάτης της σε σχέση με τα ανωτέρω.</w:t>
      </w:r>
    </w:p>
    <w:p w:rsidR="00CC3917" w:rsidRPr="00CC3917" w:rsidRDefault="00CC3917" w:rsidP="00CC3917">
      <w:pPr>
        <w:pStyle w:val="a9"/>
        <w:tabs>
          <w:tab w:val="left" w:pos="0"/>
        </w:tabs>
        <w:spacing w:after="120" w:line="240" w:lineRule="auto"/>
        <w:ind w:left="0"/>
        <w:rPr>
          <w:rFonts w:asciiTheme="minorHAnsi" w:hAnsiTheme="minorHAnsi"/>
          <w:szCs w:val="22"/>
          <w:lang w:val="el-GR"/>
        </w:rPr>
      </w:pPr>
      <w:r w:rsidRPr="00CC3917">
        <w:rPr>
          <w:rFonts w:asciiTheme="minorHAnsi" w:hAnsiTheme="minorHAnsi"/>
          <w:szCs w:val="22"/>
          <w:lang w:val="el-GR"/>
        </w:rPr>
        <w:t xml:space="preserve">Η </w:t>
      </w:r>
      <w:r w:rsidRPr="00CC3917">
        <w:rPr>
          <w:rFonts w:asciiTheme="minorHAnsi" w:hAnsiTheme="minorHAnsi"/>
          <w:szCs w:val="22"/>
          <w:lang w:val="en-US"/>
        </w:rPr>
        <w:t>HSBC</w:t>
      </w:r>
      <w:r w:rsidRPr="00CC3917">
        <w:rPr>
          <w:rFonts w:asciiTheme="minorHAnsi" w:hAnsiTheme="minorHAnsi"/>
          <w:szCs w:val="22"/>
          <w:lang w:val="el-GR"/>
        </w:rPr>
        <w:t xml:space="preserve"> </w:t>
      </w:r>
      <w:r w:rsidRPr="00CC3917">
        <w:rPr>
          <w:rFonts w:asciiTheme="minorHAnsi" w:hAnsiTheme="minorHAnsi" w:cs="Calibri"/>
          <w:szCs w:val="22"/>
          <w:lang w:val="el-GR"/>
        </w:rPr>
        <w:t xml:space="preserve">δεν «ενεργεί συντονισμένα» (κατά την έννοια του Άρθρου 2, εδάφιο (ε) του Νόμου) με την </w:t>
      </w:r>
      <w:r w:rsidRPr="00CC3917">
        <w:rPr>
          <w:rFonts w:asciiTheme="minorHAnsi" w:hAnsiTheme="minorHAnsi"/>
          <w:szCs w:val="22"/>
          <w:lang w:val="en-US"/>
        </w:rPr>
        <w:t>TITAN</w:t>
      </w:r>
      <w:r w:rsidRPr="00CC3917">
        <w:rPr>
          <w:rFonts w:asciiTheme="minorHAnsi" w:hAnsiTheme="minorHAnsi"/>
          <w:szCs w:val="22"/>
          <w:lang w:val="el-GR"/>
        </w:rPr>
        <w:t xml:space="preserve"> </w:t>
      </w:r>
      <w:r w:rsidRPr="00CC3917">
        <w:rPr>
          <w:rFonts w:asciiTheme="minorHAnsi" w:hAnsiTheme="minorHAnsi"/>
          <w:szCs w:val="22"/>
          <w:lang w:val="en-US"/>
        </w:rPr>
        <w:t>Cement</w:t>
      </w:r>
      <w:r w:rsidRPr="00CC3917">
        <w:rPr>
          <w:rFonts w:asciiTheme="minorHAnsi" w:hAnsiTheme="minorHAnsi"/>
          <w:szCs w:val="22"/>
          <w:lang w:val="el-GR"/>
        </w:rPr>
        <w:t xml:space="preserve"> </w:t>
      </w:r>
      <w:r w:rsidRPr="00CC3917">
        <w:rPr>
          <w:rFonts w:asciiTheme="minorHAnsi" w:hAnsiTheme="minorHAnsi"/>
          <w:szCs w:val="22"/>
          <w:lang w:val="en-US"/>
        </w:rPr>
        <w:t>International</w:t>
      </w:r>
      <w:r w:rsidRPr="00CC3917">
        <w:rPr>
          <w:rFonts w:asciiTheme="minorHAnsi" w:hAnsiTheme="minorHAnsi" w:cs="Calibri"/>
          <w:szCs w:val="22"/>
          <w:lang w:val="el-GR"/>
        </w:rPr>
        <w:t xml:space="preserve"> και δεν προτίθεται να ενεργήσει για λογαριασμό, προς όφελος ή άλλως σε συνεργασία με τη </w:t>
      </w:r>
      <w:r w:rsidRPr="00CC3917">
        <w:rPr>
          <w:rFonts w:asciiTheme="minorHAnsi" w:hAnsiTheme="minorHAnsi"/>
          <w:szCs w:val="22"/>
          <w:lang w:val="en-US"/>
        </w:rPr>
        <w:t>TITAN</w:t>
      </w:r>
      <w:r w:rsidRPr="00CC3917">
        <w:rPr>
          <w:rFonts w:asciiTheme="minorHAnsi" w:hAnsiTheme="minorHAnsi"/>
          <w:szCs w:val="22"/>
          <w:lang w:val="el-GR"/>
        </w:rPr>
        <w:t xml:space="preserve"> </w:t>
      </w:r>
      <w:r w:rsidRPr="00CC3917">
        <w:rPr>
          <w:rFonts w:asciiTheme="minorHAnsi" w:hAnsiTheme="minorHAnsi"/>
          <w:szCs w:val="22"/>
          <w:lang w:val="en-US"/>
        </w:rPr>
        <w:t>Cement</w:t>
      </w:r>
      <w:r w:rsidRPr="00CC3917">
        <w:rPr>
          <w:rFonts w:asciiTheme="minorHAnsi" w:hAnsiTheme="minorHAnsi"/>
          <w:szCs w:val="22"/>
          <w:lang w:val="el-GR"/>
        </w:rPr>
        <w:t xml:space="preserve"> </w:t>
      </w:r>
      <w:r w:rsidRPr="00CC3917">
        <w:rPr>
          <w:rFonts w:asciiTheme="minorHAnsi" w:hAnsiTheme="minorHAnsi"/>
          <w:szCs w:val="22"/>
          <w:lang w:val="en-US"/>
        </w:rPr>
        <w:t>International</w:t>
      </w:r>
      <w:r w:rsidRPr="00CC3917">
        <w:rPr>
          <w:rFonts w:asciiTheme="minorHAnsi" w:hAnsiTheme="minorHAnsi" w:cs="Calibri"/>
          <w:szCs w:val="22"/>
          <w:lang w:val="el-GR"/>
        </w:rPr>
        <w:t xml:space="preserve"> σχετικά με την αγορά Μετοχών ΤΙΤΑΝ μέχρι τη λήξη της Περιόδου Αποδοχής. Εντούτοις, η </w:t>
      </w:r>
      <w:r w:rsidRPr="00CC3917">
        <w:rPr>
          <w:rFonts w:asciiTheme="minorHAnsi" w:hAnsiTheme="minorHAnsi"/>
          <w:szCs w:val="22"/>
          <w:lang w:val="en-US"/>
        </w:rPr>
        <w:t>HSBC</w:t>
      </w:r>
      <w:r w:rsidRPr="00CC3917">
        <w:rPr>
          <w:rFonts w:asciiTheme="minorHAnsi" w:hAnsiTheme="minorHAnsi" w:cs="Calibri"/>
          <w:szCs w:val="22"/>
          <w:lang w:val="el-GR"/>
        </w:rPr>
        <w:t xml:space="preserve"> και συνδεδεμένες με την </w:t>
      </w:r>
      <w:r w:rsidRPr="00CC3917">
        <w:rPr>
          <w:rFonts w:asciiTheme="minorHAnsi" w:hAnsiTheme="minorHAnsi"/>
          <w:szCs w:val="22"/>
          <w:lang w:val="en-US"/>
        </w:rPr>
        <w:t>HSBC</w:t>
      </w:r>
      <w:r w:rsidRPr="00CC3917">
        <w:rPr>
          <w:rFonts w:asciiTheme="minorHAnsi" w:hAnsiTheme="minorHAnsi"/>
          <w:szCs w:val="22"/>
          <w:lang w:val="el-GR"/>
        </w:rPr>
        <w:t xml:space="preserve"> </w:t>
      </w:r>
      <w:r w:rsidRPr="00CC3917">
        <w:rPr>
          <w:rFonts w:asciiTheme="minorHAnsi" w:hAnsiTheme="minorHAnsi" w:cs="Calibri"/>
          <w:szCs w:val="22"/>
          <w:lang w:val="el-GR"/>
        </w:rPr>
        <w:t>εταιρείες δύνανται να αποκτούν ή πωλούν Μετοχές ΤΙΤΑΝ ως άμεσο ή έμμεσο αποτέλεσμα πράξεων προς διευκόλυνση τρίτων πελατών τους (</w:t>
      </w:r>
      <w:r w:rsidRPr="00CC3917">
        <w:rPr>
          <w:rFonts w:asciiTheme="minorHAnsi" w:hAnsiTheme="minorHAnsi" w:cs="Calibri"/>
          <w:szCs w:val="22"/>
        </w:rPr>
        <w:t>client</w:t>
      </w:r>
      <w:r w:rsidRPr="00CC3917">
        <w:rPr>
          <w:rFonts w:asciiTheme="minorHAnsi" w:hAnsiTheme="minorHAnsi" w:cs="Calibri"/>
          <w:szCs w:val="22"/>
          <w:lang w:val="el-GR"/>
        </w:rPr>
        <w:t xml:space="preserve"> </w:t>
      </w:r>
      <w:r w:rsidRPr="00CC3917">
        <w:rPr>
          <w:rFonts w:asciiTheme="minorHAnsi" w:hAnsiTheme="minorHAnsi" w:cs="Calibri"/>
          <w:szCs w:val="22"/>
        </w:rPr>
        <w:t>facilitation</w:t>
      </w:r>
      <w:r w:rsidRPr="00CC3917">
        <w:rPr>
          <w:rFonts w:asciiTheme="minorHAnsi" w:hAnsiTheme="minorHAnsi" w:cs="Calibri"/>
          <w:szCs w:val="22"/>
          <w:lang w:val="el-GR"/>
        </w:rPr>
        <w:t xml:space="preserve"> </w:t>
      </w:r>
      <w:r w:rsidRPr="00CC3917">
        <w:rPr>
          <w:rFonts w:asciiTheme="minorHAnsi" w:hAnsiTheme="minorHAnsi" w:cs="Calibri"/>
          <w:szCs w:val="22"/>
        </w:rPr>
        <w:t>activities</w:t>
      </w:r>
      <w:r w:rsidRPr="00CC3917">
        <w:rPr>
          <w:rFonts w:asciiTheme="minorHAnsi" w:hAnsiTheme="minorHAnsi" w:cs="Calibri"/>
          <w:szCs w:val="22"/>
          <w:lang w:val="el-GR"/>
        </w:rPr>
        <w:t>).</w:t>
      </w:r>
    </w:p>
    <w:p w:rsidR="00CC3917" w:rsidRPr="00CC3917" w:rsidRDefault="00CC3917" w:rsidP="00CC3917">
      <w:pPr>
        <w:pStyle w:val="a9"/>
        <w:tabs>
          <w:tab w:val="left" w:pos="720"/>
        </w:tabs>
        <w:spacing w:after="120" w:line="240" w:lineRule="auto"/>
        <w:ind w:left="0"/>
        <w:rPr>
          <w:rFonts w:asciiTheme="minorHAnsi" w:hAnsiTheme="minorHAnsi"/>
          <w:b/>
          <w:bCs/>
          <w:szCs w:val="22"/>
          <w:u w:val="single"/>
          <w:lang w:val="el-GR"/>
        </w:rPr>
      </w:pPr>
      <w:r w:rsidRPr="00CC3917">
        <w:rPr>
          <w:rFonts w:asciiTheme="minorHAnsi" w:hAnsiTheme="minorHAnsi"/>
          <w:b/>
          <w:bCs/>
          <w:szCs w:val="22"/>
          <w:u w:val="single"/>
          <w:lang w:val="el-GR"/>
        </w:rPr>
        <w:t>Σημαντικές Παρατηρήσεις</w:t>
      </w:r>
    </w:p>
    <w:p w:rsidR="00CC3917" w:rsidRPr="00CC3917" w:rsidRDefault="00CC3917" w:rsidP="00CC3917">
      <w:pPr>
        <w:pStyle w:val="a9"/>
        <w:tabs>
          <w:tab w:val="left" w:pos="720"/>
        </w:tabs>
        <w:spacing w:after="120" w:line="240" w:lineRule="auto"/>
        <w:ind w:left="0"/>
        <w:rPr>
          <w:rFonts w:asciiTheme="minorHAnsi" w:hAnsiTheme="minorHAnsi"/>
          <w:b/>
          <w:bCs/>
          <w:i/>
          <w:iCs/>
          <w:szCs w:val="22"/>
          <w:lang w:val="el-GR"/>
        </w:rPr>
      </w:pPr>
      <w:r w:rsidRPr="00CC3917">
        <w:rPr>
          <w:rFonts w:asciiTheme="minorHAnsi" w:hAnsiTheme="minorHAnsi"/>
          <w:b/>
          <w:bCs/>
          <w:i/>
          <w:iCs/>
          <w:szCs w:val="22"/>
          <w:lang w:val="el-GR"/>
        </w:rPr>
        <w:t>Γενικά</w:t>
      </w:r>
    </w:p>
    <w:p w:rsidR="00CC3917" w:rsidRPr="00CC3917" w:rsidRDefault="00CC3917" w:rsidP="002F424E">
      <w:pPr>
        <w:pStyle w:val="a9"/>
        <w:numPr>
          <w:ilvl w:val="0"/>
          <w:numId w:val="7"/>
        </w:numPr>
        <w:tabs>
          <w:tab w:val="left" w:pos="720"/>
        </w:tabs>
        <w:spacing w:after="120" w:line="240" w:lineRule="auto"/>
        <w:rPr>
          <w:rFonts w:asciiTheme="minorHAnsi" w:hAnsiTheme="minorHAnsi"/>
          <w:szCs w:val="22"/>
          <w:lang w:val="el-GR"/>
        </w:rPr>
      </w:pPr>
      <w:r w:rsidRPr="00CC3917">
        <w:rPr>
          <w:rFonts w:asciiTheme="minorHAnsi" w:hAnsiTheme="minorHAnsi"/>
          <w:szCs w:val="22"/>
          <w:lang w:val="el-GR"/>
        </w:rPr>
        <w:lastRenderedPageBreak/>
        <w:t xml:space="preserve">Η Δημόσια Πρόταση Ανταλλαγής που περιγράφεται στη παρούσα απευθύνεται στους κατόχους Μετοχών ΤΙΤΑΝ και μόνο στα πρόσωπα στα οποία μπορεί να απευθυνθεί νομίμως. Η Δημόσια Πρόταση Ανταλλαγής θα απευθυνθεί εντός της Ελληνικής επικράτειας. Η Δημόσια Πρόταση Ανταλλαγής προς ορισμένα πρόσωπα, οι οποίοι είναι κάτοικοι ή έχουν την εθνικότητα ή είναι πολίτες χωρών εκτός της Ελληνικής Δημοκρατίας ή προς αντιπροσώπους, θεματοφύλακες ή </w:t>
      </w:r>
      <w:proofErr w:type="spellStart"/>
      <w:r w:rsidRPr="00CC3917">
        <w:rPr>
          <w:rFonts w:asciiTheme="minorHAnsi" w:hAnsiTheme="minorHAnsi"/>
          <w:szCs w:val="22"/>
          <w:lang w:val="el-GR"/>
        </w:rPr>
        <w:t>εμπιστευματοδόχους</w:t>
      </w:r>
      <w:proofErr w:type="spellEnd"/>
      <w:r w:rsidRPr="00CC3917">
        <w:rPr>
          <w:rFonts w:asciiTheme="minorHAnsi" w:hAnsiTheme="minorHAnsi"/>
          <w:szCs w:val="22"/>
          <w:lang w:val="el-GR"/>
        </w:rPr>
        <w:t xml:space="preserve"> τέτοιων προσώπων (οι «</w:t>
      </w:r>
      <w:r w:rsidRPr="00CC3917">
        <w:rPr>
          <w:rFonts w:asciiTheme="minorHAnsi" w:hAnsiTheme="minorHAnsi"/>
          <w:b/>
          <w:bCs/>
          <w:szCs w:val="22"/>
          <w:lang w:val="el-GR"/>
        </w:rPr>
        <w:t>Εξαιρούμενοι Μέτοχοι</w:t>
      </w:r>
      <w:r w:rsidRPr="00CC3917">
        <w:rPr>
          <w:rFonts w:asciiTheme="minorHAnsi" w:hAnsiTheme="minorHAnsi"/>
          <w:szCs w:val="22"/>
          <w:lang w:val="el-GR"/>
        </w:rPr>
        <w:t>») μπορεί να απευθυνθεί και διενεργηθεί μόνο σύμφωνα με τη νομοθεσία της σχετικής δικαιοδοσίας. Αποτελεί ευθύνη των Εξαιρούμενων Μετόχων και κάθε προσώπου που επιθυμεί να αποδεχθεί τη Δημόσια Πρόταση Ανταλλαγής να ενημερωθεί και να φροντίσει για την τήρηση της νομοθεσίας των οικείων περιοχών δικαιοδοσίας τους αναφορικά με τη Δημόσια Πρόταση Ανταλλαγής. Εάν έχετε αμφιβολίες αναφορικά με το καθεστώς σας, θα πρέπει να συμβουλευτείτε τον επαγγελματία σύμβουλό σας στην οικεία δικαιοδοσία.</w:t>
      </w:r>
    </w:p>
    <w:p w:rsidR="00CC3917" w:rsidRPr="00CC3917" w:rsidRDefault="00CC3917" w:rsidP="00CC3917">
      <w:pPr>
        <w:pStyle w:val="a9"/>
        <w:numPr>
          <w:ilvl w:val="0"/>
          <w:numId w:val="7"/>
        </w:numPr>
        <w:tabs>
          <w:tab w:val="left" w:pos="426"/>
        </w:tabs>
        <w:spacing w:after="120" w:line="240" w:lineRule="auto"/>
        <w:rPr>
          <w:rFonts w:asciiTheme="minorHAnsi" w:hAnsiTheme="minorHAnsi"/>
          <w:szCs w:val="22"/>
          <w:lang w:val="el-GR"/>
        </w:rPr>
      </w:pPr>
      <w:r w:rsidRPr="00CC3917">
        <w:rPr>
          <w:rFonts w:asciiTheme="minorHAnsi" w:hAnsiTheme="minorHAnsi"/>
          <w:szCs w:val="22"/>
          <w:lang w:val="el-GR"/>
        </w:rPr>
        <w:t xml:space="preserve">Η Δημόσια Πρόταση Ανταλλαγής δεν διενεργείται, άμεσα ή έμμεσα, με αλληλογραφία ή οποιοδήποτε άλλο μέσο εντός ή προς τις Ηνωμένες Πολιτείες Αμερικής, την Αυστραλία, τον Καναδά, την Ιαπωνία ή οποιαδήποτε άλλη δικαιοδοσία στην οποία, σύμφωνα με τους νόμους, τους κανόνες και τους κανονισμούς της, η υποβολή, διενέργεια ή παρουσίαση της Δημόσιας Πρότασης Ανταλλαγής ή η ταχυδρόμηση ή διανομή του Πληροφοριακού Δελτίου που θα εγκριθεί από την ΕΚ, του Ενημερωτικού Δελτίου που θα εγκριθεί από την </w:t>
      </w:r>
      <w:r w:rsidRPr="00CC3917">
        <w:rPr>
          <w:rFonts w:asciiTheme="minorHAnsi" w:hAnsiTheme="minorHAnsi"/>
          <w:szCs w:val="22"/>
          <w:lang w:val="en-US"/>
        </w:rPr>
        <w:t>FSMA</w:t>
      </w:r>
      <w:r w:rsidRPr="00CC3917">
        <w:rPr>
          <w:rFonts w:asciiTheme="minorHAnsi" w:hAnsiTheme="minorHAnsi"/>
          <w:szCs w:val="22"/>
          <w:lang w:val="el-GR"/>
        </w:rPr>
        <w:t>, της δήλωσης αποδοχής  και κάθε άλλου εγγράφου ή σχετικού υλικού (από κοινού τα "</w:t>
      </w:r>
      <w:r w:rsidRPr="00CC3917">
        <w:rPr>
          <w:rFonts w:asciiTheme="minorHAnsi" w:hAnsiTheme="minorHAnsi"/>
          <w:b/>
          <w:szCs w:val="22"/>
          <w:lang w:val="el-GR"/>
        </w:rPr>
        <w:t>Σχετικά Έγγραφα</w:t>
      </w:r>
      <w:r w:rsidRPr="00CC3917">
        <w:rPr>
          <w:rFonts w:asciiTheme="minorHAnsi" w:hAnsiTheme="minorHAnsi"/>
          <w:szCs w:val="22"/>
          <w:lang w:val="el-GR"/>
        </w:rPr>
        <w:t>") είναι παράνομη ή αντίκειται σε οποιαδήποτε εφαρμοστέα νομοθεσία, κανόνα ή κανονισμό (από κοινού οι "</w:t>
      </w:r>
      <w:r w:rsidRPr="00CC3917">
        <w:rPr>
          <w:rFonts w:asciiTheme="minorHAnsi" w:hAnsiTheme="minorHAnsi"/>
          <w:b/>
          <w:szCs w:val="22"/>
          <w:lang w:val="el-GR"/>
        </w:rPr>
        <w:t>Εξαιρούμενες Χώρες</w:t>
      </w:r>
      <w:r w:rsidRPr="00CC3917">
        <w:rPr>
          <w:rFonts w:asciiTheme="minorHAnsi" w:hAnsiTheme="minorHAnsi"/>
          <w:szCs w:val="22"/>
          <w:lang w:val="el-GR"/>
        </w:rPr>
        <w:t>"). Επομένως, αντίγραφα οποιουδήποτε εκ των Σχετικών Εγγράφων και υλικών δεν πρέπει και δεν πρόκειται, άμεσα ή έμμεσα, να ταχυδρομηθούν, διανεμηθούν ή με οποιονδήποτε τρόπο αποσταλούν σε ή από οποιονδήποτε προς οποιονδήποτε σε ή από οποιαδήποτε από τις Εξαιρούμενες Χώρες</w:t>
      </w:r>
    </w:p>
    <w:p w:rsidR="00CC3917" w:rsidRPr="00CC3917" w:rsidRDefault="00CC3917" w:rsidP="00CC3917">
      <w:pPr>
        <w:pStyle w:val="a9"/>
        <w:numPr>
          <w:ilvl w:val="0"/>
          <w:numId w:val="10"/>
        </w:numPr>
        <w:tabs>
          <w:tab w:val="left" w:pos="720"/>
        </w:tabs>
        <w:spacing w:after="120" w:line="240" w:lineRule="auto"/>
        <w:rPr>
          <w:rFonts w:asciiTheme="minorHAnsi" w:hAnsiTheme="minorHAnsi"/>
          <w:szCs w:val="22"/>
          <w:lang w:val="el-GR"/>
        </w:rPr>
      </w:pPr>
      <w:r w:rsidRPr="00CC3917">
        <w:rPr>
          <w:rFonts w:asciiTheme="minorHAnsi" w:hAnsiTheme="minorHAnsi"/>
          <w:szCs w:val="22"/>
          <w:lang w:val="el-GR"/>
        </w:rPr>
        <w:t xml:space="preserve">Οι Μετοχές του Ανταλλάγματος δεν έχουν καταχωρηθεί και δεν θα καταχωρηθούν σύμφωνα με τον Νόμο περί Κινητών Αξιών του 1933 των Η.Π.Α (Securities </w:t>
      </w:r>
      <w:proofErr w:type="spellStart"/>
      <w:r w:rsidRPr="00CC3917">
        <w:rPr>
          <w:rFonts w:asciiTheme="minorHAnsi" w:hAnsiTheme="minorHAnsi"/>
          <w:szCs w:val="22"/>
          <w:lang w:val="el-GR"/>
        </w:rPr>
        <w:t>Act</w:t>
      </w:r>
      <w:proofErr w:type="spellEnd"/>
      <w:r w:rsidRPr="00CC3917">
        <w:rPr>
          <w:rFonts w:asciiTheme="minorHAnsi" w:hAnsiTheme="minorHAnsi"/>
          <w:szCs w:val="22"/>
          <w:lang w:val="el-GR"/>
        </w:rPr>
        <w:t>) (ο «</w:t>
      </w:r>
      <w:r w:rsidRPr="00CC3917">
        <w:rPr>
          <w:rFonts w:asciiTheme="minorHAnsi" w:hAnsiTheme="minorHAnsi"/>
          <w:b/>
          <w:bCs/>
          <w:szCs w:val="22"/>
          <w:lang w:val="el-GR"/>
        </w:rPr>
        <w:t>Νόμος περί Κινητών Αξιών</w:t>
      </w:r>
      <w:r w:rsidRPr="00CC3917">
        <w:rPr>
          <w:rFonts w:asciiTheme="minorHAnsi" w:hAnsiTheme="minorHAnsi"/>
          <w:szCs w:val="22"/>
          <w:lang w:val="el-GR"/>
        </w:rPr>
        <w:t xml:space="preserve">») και δεν επιτρέπεται να προσφέρονται ή να πωλούνται στις Ηνωμένες Πολιτείες χωρίς άδεια καταχώρησης ή απαλλαγή από τις απαιτήσεις καταχώρησης του Νόμου περί Κινητών Αξιών. Η </w:t>
      </w:r>
      <w:r w:rsidRPr="00CC3917">
        <w:rPr>
          <w:rFonts w:asciiTheme="minorHAnsi" w:hAnsiTheme="minorHAnsi"/>
          <w:szCs w:val="22"/>
          <w:lang w:val="en-US"/>
        </w:rPr>
        <w:t>TITAN</w:t>
      </w:r>
      <w:r w:rsidRPr="00CC3917">
        <w:rPr>
          <w:rFonts w:asciiTheme="minorHAnsi" w:hAnsiTheme="minorHAnsi"/>
          <w:szCs w:val="22"/>
          <w:lang w:val="el-GR"/>
        </w:rPr>
        <w:t xml:space="preserve"> </w:t>
      </w:r>
      <w:r w:rsidRPr="00CC3917">
        <w:rPr>
          <w:rFonts w:asciiTheme="minorHAnsi" w:hAnsiTheme="minorHAnsi"/>
          <w:szCs w:val="22"/>
          <w:lang w:val="en-US"/>
        </w:rPr>
        <w:t>Cement</w:t>
      </w:r>
      <w:r w:rsidRPr="00CC3917">
        <w:rPr>
          <w:rFonts w:asciiTheme="minorHAnsi" w:hAnsiTheme="minorHAnsi"/>
          <w:szCs w:val="22"/>
          <w:lang w:val="el-GR"/>
        </w:rPr>
        <w:t xml:space="preserve"> </w:t>
      </w:r>
      <w:r w:rsidRPr="00CC3917">
        <w:rPr>
          <w:rFonts w:asciiTheme="minorHAnsi" w:hAnsiTheme="minorHAnsi"/>
          <w:szCs w:val="22"/>
          <w:lang w:val="en-US"/>
        </w:rPr>
        <w:t>International</w:t>
      </w:r>
      <w:r w:rsidRPr="00CC3917">
        <w:rPr>
          <w:rFonts w:asciiTheme="minorHAnsi" w:hAnsiTheme="minorHAnsi"/>
          <w:szCs w:val="22"/>
          <w:lang w:val="el-GR"/>
        </w:rPr>
        <w:t xml:space="preserve"> δεν έχει καμία πρόθεση να καταχωρίσει οιοδήποτε μέρος της Δημόσιας Πρότασης Ανταλλαγής στις Ηνωμένες Πολιτείες ή να προβεί σε δημόσια προσφορά των Μετοχών του Ανταλλάγματος  στις Ηνωμένες Πολιτείες. Τυχόν κινητές αξίες που πωλούνται στις Ηνωμένες Πολιτείες θα πωλούνται μόνο σε "ειδικούς θεσμικούς αγοραστές" (όπως ορίζονται στον Κανόνα 144Α του Νόμου περί Κινητών Αξιών), με βάση τον Κανόνα 144Α.</w:t>
      </w:r>
    </w:p>
    <w:p w:rsidR="00CC3917" w:rsidRPr="00CC3917" w:rsidRDefault="00CC3917" w:rsidP="00CC3917">
      <w:pPr>
        <w:pStyle w:val="a9"/>
        <w:numPr>
          <w:ilvl w:val="0"/>
          <w:numId w:val="10"/>
        </w:numPr>
        <w:tabs>
          <w:tab w:val="left" w:pos="720"/>
        </w:tabs>
        <w:spacing w:after="120" w:line="240" w:lineRule="auto"/>
        <w:rPr>
          <w:rFonts w:asciiTheme="minorHAnsi" w:hAnsiTheme="minorHAnsi"/>
          <w:szCs w:val="22"/>
          <w:lang w:val="el-GR"/>
        </w:rPr>
      </w:pPr>
      <w:r w:rsidRPr="00CC3917">
        <w:rPr>
          <w:rFonts w:asciiTheme="minorHAnsi" w:hAnsiTheme="minorHAnsi" w:cs="Calibri"/>
          <w:szCs w:val="22"/>
          <w:lang w:val="el-GR"/>
        </w:rPr>
        <w:t>Κανένα πρόσωπο που λαμβάνει αντίγραφο της παρούσας ανακοίνωσης ή οποιουδήποτε Σχετικού Εγγράφου σε οποιαδήποτε χώρα εκτός της Ελληνικής Δημοκρατίας δεν μπορεί να θεωρήσει οποιοδήποτε τέτοιο έγγραφο ωσάν να ήταν πρόσκληση ή προσφορά προς αυτό, και σε καμία περίπτωση δεν μπορεί να χρησιμοποιήσει οποιοδήποτε Σχετικό Έγγραφο εάν, στη σχετική περιοχή δικαιοδοσίας του, μια τέτοια πρόσκληση ή προσφορά δεν μπορεί να του υποβληθεί νομίμως ή ένα τέτοιο Σχετικό Έγγραφο δεν μπορεί να χρησιμοποιηθεί νομίμως χωρίς παράβαση οποιωνδήποτε νομίμων προϋποθέσεων. Στις περιπτώσεις αυτές οποιοδήποτε Σχετικό Έγγραφο αποστέλλεται για πληροφοριακούς σκοπούς μόνο.</w:t>
      </w:r>
    </w:p>
    <w:p w:rsidR="00CC3917" w:rsidRPr="00CC3917" w:rsidRDefault="00CC3917" w:rsidP="00CC3917">
      <w:pPr>
        <w:pStyle w:val="a9"/>
        <w:numPr>
          <w:ilvl w:val="0"/>
          <w:numId w:val="10"/>
        </w:numPr>
        <w:tabs>
          <w:tab w:val="left" w:pos="720"/>
        </w:tabs>
        <w:spacing w:after="120" w:line="240" w:lineRule="auto"/>
        <w:rPr>
          <w:rFonts w:asciiTheme="minorHAnsi" w:hAnsiTheme="minorHAnsi"/>
          <w:szCs w:val="22"/>
          <w:lang w:val="el-GR"/>
        </w:rPr>
      </w:pPr>
      <w:r w:rsidRPr="00CC3917">
        <w:rPr>
          <w:rFonts w:asciiTheme="minorHAnsi" w:hAnsiTheme="minorHAnsi"/>
          <w:szCs w:val="22"/>
          <w:lang w:val="el-GR"/>
        </w:rPr>
        <w:t xml:space="preserve">Η παρούσα κανονιστική ανακοίνωση δεν εμπεριέχει, αποτελεί ή συνιστά τμήμα οιασδήποτε πρότασης ή πρόσκλησης για πώληση ή κάλυψη, ή πρόσκληση για οιαδήποτε πρόταση προς αγορά ή κάλυψη κινητών αξιών σε οιαδήποτε δικαιοδοσία, ούτε η παρούσα κανονιστική ανακοίνωση (ή τμήμα αυτής) ή η διανομή της αποτελούν τη βάση ή θα μπορούσαν να </w:t>
      </w:r>
      <w:r w:rsidRPr="00CC3917">
        <w:rPr>
          <w:rFonts w:asciiTheme="minorHAnsi" w:hAnsiTheme="minorHAnsi"/>
          <w:szCs w:val="22"/>
          <w:lang w:val="el-GR"/>
        </w:rPr>
        <w:lastRenderedPageBreak/>
        <w:t>αποτελέσουν τη βάση, ή να λειτουργήσουν καθ’ οιονδήποτε τρόπο ως προτροπή για τη σύναψη οιασδήποτε σύμβασης ή δέσμευσης.</w:t>
      </w:r>
    </w:p>
    <w:p w:rsidR="00CC3917" w:rsidRPr="00CC3917" w:rsidRDefault="00CC3917" w:rsidP="00CC3917">
      <w:pPr>
        <w:pStyle w:val="a9"/>
        <w:numPr>
          <w:ilvl w:val="0"/>
          <w:numId w:val="10"/>
        </w:numPr>
        <w:tabs>
          <w:tab w:val="left" w:pos="720"/>
        </w:tabs>
        <w:spacing w:after="120" w:line="240" w:lineRule="auto"/>
        <w:rPr>
          <w:rFonts w:asciiTheme="minorHAnsi" w:hAnsiTheme="minorHAnsi"/>
          <w:szCs w:val="22"/>
          <w:lang w:val="el-GR"/>
        </w:rPr>
      </w:pPr>
      <w:r w:rsidRPr="00CC3917">
        <w:rPr>
          <w:rFonts w:asciiTheme="minorHAnsi" w:hAnsiTheme="minorHAnsi"/>
          <w:szCs w:val="22"/>
          <w:lang w:val="el-GR"/>
        </w:rPr>
        <w:t>Οι πληροφορίες που περιέχονται στην παρούσα ανακοίνωση έχουν σαν σκοπό την παροχή γενικής πληροφόρησης και μό</w:t>
      </w:r>
      <w:bookmarkStart w:id="0" w:name="_GoBack"/>
      <w:bookmarkEnd w:id="0"/>
      <w:r w:rsidRPr="00CC3917">
        <w:rPr>
          <w:rFonts w:asciiTheme="minorHAnsi" w:hAnsiTheme="minorHAnsi"/>
          <w:szCs w:val="22"/>
          <w:lang w:val="el-GR"/>
        </w:rPr>
        <w:t xml:space="preserve">νο, και δεν είναι απαραίτητα πλήρεις ή ολοκληρωμένες. Η παρούσα ανακοίνωση δεν συνιστά ούτε αποτελεί μέρος προσφοράς ή πρόσκλησης προς πώληση ή έκδοση ή οιαδήποτε πρόσκληση για προσφορά αγοράς κινητών αξιών. Οιαδήποτε αγορά ή αίτηση για μετοχές της TITAN </w:t>
      </w:r>
      <w:proofErr w:type="spellStart"/>
      <w:r w:rsidRPr="00CC3917">
        <w:rPr>
          <w:rFonts w:asciiTheme="minorHAnsi" w:hAnsiTheme="minorHAnsi"/>
          <w:szCs w:val="22"/>
          <w:lang w:val="el-GR"/>
        </w:rPr>
        <w:t>Cement</w:t>
      </w:r>
      <w:proofErr w:type="spellEnd"/>
      <w:r w:rsidRPr="00CC3917">
        <w:rPr>
          <w:rFonts w:asciiTheme="minorHAnsi" w:hAnsiTheme="minorHAnsi"/>
          <w:szCs w:val="22"/>
          <w:lang w:val="el-GR"/>
        </w:rPr>
        <w:t xml:space="preserve"> </w:t>
      </w:r>
      <w:proofErr w:type="spellStart"/>
      <w:r w:rsidRPr="00CC3917">
        <w:rPr>
          <w:rFonts w:asciiTheme="minorHAnsi" w:hAnsiTheme="minorHAnsi"/>
          <w:szCs w:val="22"/>
          <w:lang w:val="el-GR"/>
        </w:rPr>
        <w:t>International</w:t>
      </w:r>
      <w:proofErr w:type="spellEnd"/>
      <w:r w:rsidRPr="00CC3917">
        <w:rPr>
          <w:rFonts w:asciiTheme="minorHAnsi" w:hAnsiTheme="minorHAnsi"/>
          <w:szCs w:val="22"/>
          <w:lang w:val="el-GR"/>
        </w:rPr>
        <w:t xml:space="preserve"> που θα ανταλλαγούν στο πλαίσιο της Δημόσιας Πρότασης Ανταλλαγής θα πρέπει να γίνεται μόνο με βάση τις πληροφορίες που περιέχονται στο Ενημερωτικό Δελτίο και τυχόν συμπληρώσεών του, ανάλογα με την περίπτωση. Μετά την έγκρισή του, το Ενημερωτικό Δελτίο θα είναι διαθέσιμο στα γραφεία της </w:t>
      </w:r>
      <w:r w:rsidRPr="00CC3917">
        <w:rPr>
          <w:rFonts w:asciiTheme="minorHAnsi" w:hAnsiTheme="minorHAnsi"/>
          <w:szCs w:val="22"/>
          <w:lang w:val="en-US"/>
        </w:rPr>
        <w:t>TITAN</w:t>
      </w:r>
      <w:r w:rsidRPr="00CC3917">
        <w:rPr>
          <w:rFonts w:asciiTheme="minorHAnsi" w:hAnsiTheme="minorHAnsi"/>
          <w:szCs w:val="22"/>
          <w:lang w:val="el-GR"/>
        </w:rPr>
        <w:t xml:space="preserve"> </w:t>
      </w:r>
      <w:r w:rsidRPr="00CC3917">
        <w:rPr>
          <w:rFonts w:asciiTheme="minorHAnsi" w:hAnsiTheme="minorHAnsi"/>
          <w:szCs w:val="22"/>
          <w:lang w:val="en-US"/>
        </w:rPr>
        <w:t>Cement</w:t>
      </w:r>
      <w:r w:rsidRPr="00CC3917">
        <w:rPr>
          <w:rFonts w:asciiTheme="minorHAnsi" w:hAnsiTheme="minorHAnsi"/>
          <w:szCs w:val="22"/>
          <w:lang w:val="el-GR"/>
        </w:rPr>
        <w:t xml:space="preserve"> </w:t>
      </w:r>
      <w:r w:rsidRPr="00CC3917">
        <w:rPr>
          <w:rFonts w:asciiTheme="minorHAnsi" w:hAnsiTheme="minorHAnsi"/>
          <w:szCs w:val="22"/>
          <w:lang w:val="en-US"/>
        </w:rPr>
        <w:t>International</w:t>
      </w:r>
      <w:r w:rsidRPr="00CC3917">
        <w:rPr>
          <w:rFonts w:asciiTheme="minorHAnsi" w:hAnsiTheme="minorHAnsi"/>
          <w:szCs w:val="22"/>
          <w:lang w:val="el-GR"/>
        </w:rPr>
        <w:t xml:space="preserve"> που βρίσκονται στη διεύθυνση </w:t>
      </w:r>
      <w:r w:rsidRPr="00CC3917">
        <w:rPr>
          <w:rFonts w:asciiTheme="minorHAnsi" w:hAnsiTheme="minorHAnsi"/>
          <w:szCs w:val="22"/>
          <w:lang w:val="en-US"/>
        </w:rPr>
        <w:t>Rue</w:t>
      </w:r>
      <w:r w:rsidRPr="00CC3917">
        <w:rPr>
          <w:rFonts w:asciiTheme="minorHAnsi" w:hAnsiTheme="minorHAnsi"/>
          <w:szCs w:val="22"/>
          <w:lang w:val="el-GR"/>
        </w:rPr>
        <w:t xml:space="preserve"> </w:t>
      </w:r>
      <w:proofErr w:type="spellStart"/>
      <w:r w:rsidRPr="00CC3917">
        <w:rPr>
          <w:rFonts w:asciiTheme="minorHAnsi" w:hAnsiTheme="minorHAnsi"/>
          <w:szCs w:val="22"/>
          <w:lang w:val="en-US"/>
        </w:rPr>
        <w:t>Mareyde</w:t>
      </w:r>
      <w:proofErr w:type="spellEnd"/>
      <w:r w:rsidRPr="00CC3917">
        <w:rPr>
          <w:rFonts w:asciiTheme="minorHAnsi" w:hAnsiTheme="minorHAnsi"/>
          <w:szCs w:val="22"/>
          <w:lang w:val="el-GR"/>
        </w:rPr>
        <w:t xml:space="preserve"> 43, 1150 </w:t>
      </w:r>
      <w:proofErr w:type="spellStart"/>
      <w:r w:rsidRPr="00CC3917">
        <w:rPr>
          <w:rFonts w:asciiTheme="minorHAnsi" w:hAnsiTheme="minorHAnsi"/>
          <w:szCs w:val="22"/>
          <w:lang w:val="en-US"/>
        </w:rPr>
        <w:t>Woluwe</w:t>
      </w:r>
      <w:proofErr w:type="spellEnd"/>
      <w:r w:rsidRPr="00CC3917">
        <w:rPr>
          <w:rFonts w:asciiTheme="minorHAnsi" w:hAnsiTheme="minorHAnsi"/>
          <w:szCs w:val="22"/>
          <w:lang w:val="el-GR"/>
        </w:rPr>
        <w:t xml:space="preserve"> </w:t>
      </w:r>
      <w:r w:rsidRPr="00CC3917">
        <w:rPr>
          <w:rFonts w:asciiTheme="minorHAnsi" w:hAnsiTheme="minorHAnsi"/>
          <w:szCs w:val="22"/>
          <w:lang w:val="en-US"/>
        </w:rPr>
        <w:t>Saint</w:t>
      </w:r>
      <w:r w:rsidRPr="00CC3917">
        <w:rPr>
          <w:rFonts w:asciiTheme="minorHAnsi" w:hAnsiTheme="minorHAnsi"/>
          <w:szCs w:val="22"/>
          <w:lang w:val="el-GR"/>
        </w:rPr>
        <w:t xml:space="preserve"> </w:t>
      </w:r>
      <w:r w:rsidRPr="00CC3917">
        <w:rPr>
          <w:rFonts w:asciiTheme="minorHAnsi" w:hAnsiTheme="minorHAnsi"/>
          <w:szCs w:val="22"/>
          <w:lang w:val="en-US"/>
        </w:rPr>
        <w:t>Pierre</w:t>
      </w:r>
      <w:r w:rsidRPr="00CC3917">
        <w:rPr>
          <w:rFonts w:asciiTheme="minorHAnsi" w:hAnsiTheme="minorHAnsi"/>
          <w:szCs w:val="22"/>
          <w:lang w:val="el-GR"/>
        </w:rPr>
        <w:t xml:space="preserve">, Βέλγιο και θα δημοσιευτεί, όπως απαιτεί ο νόμος. Η παρούσα ανακοίνωση δεν συνιστά ενημερωτικό δελτίο. Οι επενδυτές δεν θα πρέπει να εγγράφονται για ή να αγοράζουν οιεσδήποτε κινητές αξίες που αναφέρονται στην παρούσα ανακοίνωση, παρά μόνο επί τη βάσει των πληροφοριών που θα εμπεριέχονται στο Ενημερωτικό Δελτίο. Το Ενημερωτικό Δελτίο θα εμπεριέχει ορισμένες αναλυτικές πληροφορίες για την TITAN </w:t>
      </w:r>
      <w:proofErr w:type="spellStart"/>
      <w:r w:rsidRPr="00CC3917">
        <w:rPr>
          <w:rFonts w:asciiTheme="minorHAnsi" w:hAnsiTheme="minorHAnsi"/>
          <w:szCs w:val="22"/>
          <w:lang w:val="el-GR"/>
        </w:rPr>
        <w:t>Cement</w:t>
      </w:r>
      <w:proofErr w:type="spellEnd"/>
      <w:r w:rsidRPr="00CC3917">
        <w:rPr>
          <w:rFonts w:asciiTheme="minorHAnsi" w:hAnsiTheme="minorHAnsi"/>
          <w:szCs w:val="22"/>
          <w:lang w:val="el-GR"/>
        </w:rPr>
        <w:t xml:space="preserve"> </w:t>
      </w:r>
      <w:proofErr w:type="spellStart"/>
      <w:r w:rsidRPr="00CC3917">
        <w:rPr>
          <w:rFonts w:asciiTheme="minorHAnsi" w:hAnsiTheme="minorHAnsi"/>
          <w:szCs w:val="22"/>
          <w:lang w:val="el-GR"/>
        </w:rPr>
        <w:t>International</w:t>
      </w:r>
      <w:proofErr w:type="spellEnd"/>
      <w:r w:rsidRPr="00CC3917">
        <w:rPr>
          <w:rFonts w:asciiTheme="minorHAnsi" w:hAnsiTheme="minorHAnsi"/>
          <w:szCs w:val="22"/>
          <w:lang w:val="el-GR"/>
        </w:rPr>
        <w:t xml:space="preserve"> και τις επιχειρηματικές της δραστηριότητες, τη διαχείριση, τους κινδύνους που σχετίζονται με την επένδυση στην TITAN </w:t>
      </w:r>
      <w:proofErr w:type="spellStart"/>
      <w:r w:rsidRPr="00CC3917">
        <w:rPr>
          <w:rFonts w:asciiTheme="minorHAnsi" w:hAnsiTheme="minorHAnsi"/>
          <w:szCs w:val="22"/>
          <w:lang w:val="el-GR"/>
        </w:rPr>
        <w:t>Cement</w:t>
      </w:r>
      <w:proofErr w:type="spellEnd"/>
      <w:r w:rsidRPr="00CC3917">
        <w:rPr>
          <w:rFonts w:asciiTheme="minorHAnsi" w:hAnsiTheme="minorHAnsi"/>
          <w:szCs w:val="22"/>
          <w:lang w:val="el-GR"/>
        </w:rPr>
        <w:t xml:space="preserve"> </w:t>
      </w:r>
      <w:proofErr w:type="spellStart"/>
      <w:r w:rsidRPr="00CC3917">
        <w:rPr>
          <w:rFonts w:asciiTheme="minorHAnsi" w:hAnsiTheme="minorHAnsi"/>
          <w:szCs w:val="22"/>
          <w:lang w:val="el-GR"/>
        </w:rPr>
        <w:t>International</w:t>
      </w:r>
      <w:proofErr w:type="spellEnd"/>
      <w:r w:rsidRPr="00CC3917">
        <w:rPr>
          <w:rFonts w:asciiTheme="minorHAnsi" w:hAnsiTheme="minorHAnsi"/>
          <w:szCs w:val="22"/>
          <w:lang w:val="el-GR"/>
        </w:rPr>
        <w:t>, καθώς και οικονομικές καταστάσεις και άλλα οικονομικά στοιχεία. Η ανακοίνωση αυτή δεν μπορεί να χρησιμοποιηθεί ως βάση για οιαδήποτε επενδυτική συμφωνία ή απόφαση.</w:t>
      </w:r>
    </w:p>
    <w:p w:rsidR="00CC3917" w:rsidRPr="00CC3917" w:rsidRDefault="00CC3917" w:rsidP="00CC3917">
      <w:pPr>
        <w:pStyle w:val="a9"/>
        <w:tabs>
          <w:tab w:val="left" w:pos="720"/>
        </w:tabs>
        <w:spacing w:after="120" w:line="240" w:lineRule="auto"/>
        <w:ind w:left="360"/>
        <w:rPr>
          <w:rFonts w:asciiTheme="minorHAnsi" w:hAnsiTheme="minorHAnsi"/>
          <w:b/>
          <w:bCs/>
          <w:i/>
          <w:iCs/>
          <w:szCs w:val="22"/>
          <w:lang w:val="en-US"/>
        </w:rPr>
      </w:pPr>
      <w:r w:rsidRPr="00CC3917">
        <w:rPr>
          <w:rFonts w:asciiTheme="minorHAnsi" w:hAnsiTheme="minorHAnsi"/>
          <w:b/>
          <w:bCs/>
          <w:i/>
          <w:iCs/>
          <w:szCs w:val="22"/>
          <w:lang w:val="el-GR"/>
        </w:rPr>
        <w:t>Ευρωπαϊκός Οικονομικός Χώρος</w:t>
      </w:r>
    </w:p>
    <w:p w:rsidR="00CC3917" w:rsidRPr="00CC3917" w:rsidRDefault="00CC3917" w:rsidP="00CC3917">
      <w:pPr>
        <w:pStyle w:val="a9"/>
        <w:numPr>
          <w:ilvl w:val="0"/>
          <w:numId w:val="15"/>
        </w:numPr>
        <w:tabs>
          <w:tab w:val="left" w:pos="720"/>
        </w:tabs>
        <w:spacing w:after="120" w:line="240" w:lineRule="auto"/>
        <w:rPr>
          <w:rFonts w:asciiTheme="minorHAnsi" w:hAnsiTheme="minorHAnsi"/>
          <w:szCs w:val="22"/>
          <w:lang w:val="el-GR"/>
        </w:rPr>
      </w:pPr>
      <w:r w:rsidRPr="00CC3917">
        <w:rPr>
          <w:rFonts w:asciiTheme="minorHAnsi" w:hAnsiTheme="minorHAnsi"/>
          <w:szCs w:val="22"/>
          <w:lang w:val="el-GR"/>
        </w:rPr>
        <w:t>Η παρούσα ανακοίνωση απευθύνεται μόνο σε πρόσωπα σε κράτη-μέλη του Ευρωπαϊκού Οικονομικού Χώρου («</w:t>
      </w:r>
      <w:r w:rsidRPr="00CC3917">
        <w:rPr>
          <w:rFonts w:asciiTheme="minorHAnsi" w:hAnsiTheme="minorHAnsi"/>
          <w:b/>
          <w:bCs/>
          <w:szCs w:val="22"/>
          <w:lang w:val="el-GR"/>
        </w:rPr>
        <w:t>ΕΟΧ</w:t>
      </w:r>
      <w:r w:rsidRPr="00CC3917">
        <w:rPr>
          <w:rFonts w:asciiTheme="minorHAnsi" w:hAnsiTheme="minorHAnsi"/>
          <w:szCs w:val="22"/>
          <w:lang w:val="el-GR"/>
        </w:rPr>
        <w:t>»), εκτός από την Ελλάδα, που είναι «ειδικοί επενδυτές» κατά την έννοια του άρθρου 2 (1) (ε) της Οδηγίας περί Ενημερωτικών Δελτίων (Οδηγία 2003/71/ΕΚ, ως έχει τροποποιηθεί, συμπεριλαμβανομένης της Οδηγίας 2010/73/ΕΕ, στο μέτρο που εφαρμόζεται στο εκάστοτε Κράτος-Μέλος του ΕΟΧ) και κάθε μέτρο εφαρμογής σε κάθε σχετικό Κράτος-Μέλος του ΕΟΧ (η «</w:t>
      </w:r>
      <w:r w:rsidRPr="00CC3917">
        <w:rPr>
          <w:rFonts w:asciiTheme="minorHAnsi" w:hAnsiTheme="minorHAnsi"/>
          <w:b/>
          <w:bCs/>
          <w:szCs w:val="22"/>
          <w:lang w:val="el-GR"/>
        </w:rPr>
        <w:t>Οδηγία του Ενημερωτικού Δελτίου</w:t>
      </w:r>
      <w:r w:rsidRPr="00CC3917">
        <w:rPr>
          <w:rFonts w:asciiTheme="minorHAnsi" w:hAnsiTheme="minorHAnsi"/>
          <w:szCs w:val="22"/>
          <w:lang w:val="el-GR"/>
        </w:rPr>
        <w:t>») (οι «</w:t>
      </w:r>
      <w:r w:rsidRPr="00CC3917">
        <w:rPr>
          <w:rFonts w:asciiTheme="minorHAnsi" w:hAnsiTheme="minorHAnsi"/>
          <w:b/>
          <w:bCs/>
          <w:szCs w:val="22"/>
          <w:lang w:val="el-GR"/>
        </w:rPr>
        <w:t>Ειδικοί Επενδυτές</w:t>
      </w:r>
      <w:r w:rsidRPr="00CC3917">
        <w:rPr>
          <w:rFonts w:asciiTheme="minorHAnsi" w:hAnsiTheme="minorHAnsi"/>
          <w:szCs w:val="22"/>
          <w:lang w:val="el-GR"/>
        </w:rPr>
        <w:t>»). Επιπρόσθετα, στο Ηνωμένο Βασίλειο, η παρούσα ανακοίνωση διανέμεται μόνο και απευθύνεται αποκλειστικά σε Ειδικούς Επενδυτές (</w:t>
      </w:r>
      <w:r w:rsidRPr="00CC3917">
        <w:rPr>
          <w:rFonts w:asciiTheme="minorHAnsi" w:hAnsiTheme="minorHAnsi"/>
          <w:szCs w:val="22"/>
          <w:lang w:val="en-US"/>
        </w:rPr>
        <w:t>i</w:t>
      </w:r>
      <w:r w:rsidRPr="00CC3917">
        <w:rPr>
          <w:rFonts w:asciiTheme="minorHAnsi" w:hAnsiTheme="minorHAnsi"/>
          <w:szCs w:val="22"/>
          <w:lang w:val="el-GR"/>
        </w:rPr>
        <w:t>) οι οποίοι έχουν επαγγελματική εμπειρία σε θέματα επενδύσεων που εμπίπτουν στο άρθρο 19 παράγραφος 5 του Νόμου περί Χρηματοοικονομικών Υπηρεσιών και Χρηματαγορών του 2000 (Χρηματοδοτική Προώθηση) Διάταγμα του 2005 (</w:t>
      </w:r>
      <w:proofErr w:type="spellStart"/>
      <w:r w:rsidRPr="00CC3917">
        <w:rPr>
          <w:rFonts w:asciiTheme="minorHAnsi" w:hAnsiTheme="minorHAnsi"/>
          <w:szCs w:val="22"/>
          <w:lang w:val="el-GR"/>
        </w:rPr>
        <w:t>Financial</w:t>
      </w:r>
      <w:proofErr w:type="spellEnd"/>
      <w:r w:rsidRPr="00CC3917">
        <w:rPr>
          <w:rFonts w:asciiTheme="minorHAnsi" w:hAnsiTheme="minorHAnsi"/>
          <w:szCs w:val="22"/>
          <w:lang w:val="el-GR"/>
        </w:rPr>
        <w:t xml:space="preserve"> Services </w:t>
      </w:r>
      <w:proofErr w:type="spellStart"/>
      <w:r w:rsidRPr="00CC3917">
        <w:rPr>
          <w:rFonts w:asciiTheme="minorHAnsi" w:hAnsiTheme="minorHAnsi"/>
          <w:szCs w:val="22"/>
          <w:lang w:val="el-GR"/>
        </w:rPr>
        <w:t>and</w:t>
      </w:r>
      <w:proofErr w:type="spellEnd"/>
      <w:r w:rsidRPr="00CC3917">
        <w:rPr>
          <w:rFonts w:asciiTheme="minorHAnsi" w:hAnsiTheme="minorHAnsi"/>
          <w:szCs w:val="22"/>
          <w:lang w:val="el-GR"/>
        </w:rPr>
        <w:t xml:space="preserve"> </w:t>
      </w:r>
      <w:proofErr w:type="spellStart"/>
      <w:r w:rsidRPr="00CC3917">
        <w:rPr>
          <w:rFonts w:asciiTheme="minorHAnsi" w:hAnsiTheme="minorHAnsi"/>
          <w:szCs w:val="22"/>
          <w:lang w:val="el-GR"/>
        </w:rPr>
        <w:t>Markets</w:t>
      </w:r>
      <w:proofErr w:type="spellEnd"/>
      <w:r w:rsidRPr="00CC3917">
        <w:rPr>
          <w:rFonts w:asciiTheme="minorHAnsi" w:hAnsiTheme="minorHAnsi"/>
          <w:szCs w:val="22"/>
          <w:lang w:val="el-GR"/>
        </w:rPr>
        <w:t xml:space="preserve"> </w:t>
      </w:r>
      <w:proofErr w:type="spellStart"/>
      <w:r w:rsidRPr="00CC3917">
        <w:rPr>
          <w:rFonts w:asciiTheme="minorHAnsi" w:hAnsiTheme="minorHAnsi"/>
          <w:szCs w:val="22"/>
          <w:lang w:val="el-GR"/>
        </w:rPr>
        <w:t>Act</w:t>
      </w:r>
      <w:proofErr w:type="spellEnd"/>
      <w:r w:rsidRPr="00CC3917">
        <w:rPr>
          <w:rFonts w:asciiTheme="minorHAnsi" w:hAnsiTheme="minorHAnsi"/>
          <w:szCs w:val="22"/>
          <w:lang w:val="el-GR"/>
        </w:rPr>
        <w:t xml:space="preserve"> 2000, (</w:t>
      </w:r>
      <w:r w:rsidRPr="00CC3917">
        <w:rPr>
          <w:rFonts w:asciiTheme="minorHAnsi" w:hAnsiTheme="minorHAnsi"/>
          <w:szCs w:val="22"/>
          <w:lang w:val="en-US"/>
        </w:rPr>
        <w:t>Financial</w:t>
      </w:r>
      <w:r w:rsidRPr="00CC3917">
        <w:rPr>
          <w:rFonts w:asciiTheme="minorHAnsi" w:hAnsiTheme="minorHAnsi"/>
          <w:szCs w:val="22"/>
          <w:lang w:val="el-GR"/>
        </w:rPr>
        <w:t xml:space="preserve"> </w:t>
      </w:r>
      <w:r w:rsidRPr="00CC3917">
        <w:rPr>
          <w:rFonts w:asciiTheme="minorHAnsi" w:hAnsiTheme="minorHAnsi"/>
          <w:szCs w:val="22"/>
          <w:lang w:val="en-US"/>
        </w:rPr>
        <w:t>Promotion</w:t>
      </w:r>
      <w:r w:rsidRPr="00CC3917">
        <w:rPr>
          <w:rFonts w:asciiTheme="minorHAnsi" w:hAnsiTheme="minorHAnsi"/>
          <w:szCs w:val="22"/>
          <w:lang w:val="el-GR"/>
        </w:rPr>
        <w:t xml:space="preserve">) </w:t>
      </w:r>
      <w:r w:rsidRPr="00CC3917">
        <w:rPr>
          <w:rFonts w:asciiTheme="minorHAnsi" w:hAnsiTheme="minorHAnsi"/>
          <w:szCs w:val="22"/>
          <w:lang w:val="en-US"/>
        </w:rPr>
        <w:t>Order</w:t>
      </w:r>
      <w:r w:rsidRPr="00CC3917">
        <w:rPr>
          <w:rFonts w:asciiTheme="minorHAnsi" w:hAnsiTheme="minorHAnsi"/>
          <w:szCs w:val="22"/>
          <w:lang w:val="el-GR"/>
        </w:rPr>
        <w:t xml:space="preserve"> 2005),  όπως έχει τροποποιηθεί (το «</w:t>
      </w:r>
      <w:r w:rsidRPr="00CC3917">
        <w:rPr>
          <w:rFonts w:asciiTheme="minorHAnsi" w:hAnsiTheme="minorHAnsi"/>
          <w:b/>
          <w:bCs/>
          <w:szCs w:val="22"/>
          <w:lang w:val="el-GR"/>
        </w:rPr>
        <w:t>Διάταγμα</w:t>
      </w:r>
      <w:r w:rsidRPr="00CC3917">
        <w:rPr>
          <w:rFonts w:asciiTheme="minorHAnsi" w:hAnsiTheme="minorHAnsi"/>
          <w:szCs w:val="22"/>
          <w:lang w:val="el-GR"/>
        </w:rPr>
        <w:t>») και Ειδικούς Επενδυτές που εμπίπτουν στο άρθρο 49 παράγραφος 2 στοιχεία α) έως δ) του Διατάγματος και (</w:t>
      </w:r>
      <w:r w:rsidRPr="00CC3917">
        <w:rPr>
          <w:rFonts w:asciiTheme="minorHAnsi" w:hAnsiTheme="minorHAnsi"/>
          <w:szCs w:val="22"/>
          <w:lang w:val="en-US"/>
        </w:rPr>
        <w:t>ii</w:t>
      </w:r>
      <w:r w:rsidRPr="00CC3917">
        <w:rPr>
          <w:rFonts w:asciiTheme="minorHAnsi" w:hAnsiTheme="minorHAnsi"/>
          <w:szCs w:val="22"/>
          <w:lang w:val="el-GR"/>
        </w:rPr>
        <w:t>) στους οποίους μπορεί με άλλον τρόπο να κοινοποιηθεί νομίμως (όλα τα πρόσωπα αυτά συνολικά αναφέρονται ως «</w:t>
      </w:r>
      <w:r w:rsidRPr="00CC3917">
        <w:rPr>
          <w:rFonts w:asciiTheme="minorHAnsi" w:hAnsiTheme="minorHAnsi"/>
          <w:b/>
          <w:bCs/>
          <w:szCs w:val="22"/>
          <w:lang w:val="el-GR"/>
        </w:rPr>
        <w:t>Σχετικά Πρόσωπα</w:t>
      </w:r>
      <w:r w:rsidRPr="00CC3917">
        <w:rPr>
          <w:rFonts w:asciiTheme="minorHAnsi" w:hAnsiTheme="minorHAnsi"/>
          <w:szCs w:val="22"/>
          <w:lang w:val="el-GR"/>
        </w:rPr>
        <w:t>»). Η προσφορά των Μετοχών του Ανταλλάγματος θα είναι διαθέσιμη μόνο στα Σχετικά Πρόσωπα, και οιαδήποτε πρόσκληση, προσφορά ή συμφωνία προς κάλυψη, αγορά ή με άλλο τρόπο απόκτηση Μετοχών του Ανταλλάγματος θα αφορά μόνο τα πρόσωπα αυτά. Κάθε πρόσωπο που δεν εμπίπτει στην κατηγορία των Σχετικών Προσώπων, απαγορεύεται να ενεργεί ή να βασίζεται στην παρούσα ανακοίνωση ή στο περιεχόμενό της.</w:t>
      </w:r>
    </w:p>
    <w:p w:rsidR="00643F0D" w:rsidRPr="00CC3917" w:rsidRDefault="00CC3917" w:rsidP="00151A3B">
      <w:pPr>
        <w:pStyle w:val="a9"/>
        <w:tabs>
          <w:tab w:val="left" w:pos="720"/>
        </w:tabs>
        <w:spacing w:after="120" w:line="240" w:lineRule="auto"/>
        <w:ind w:left="0"/>
        <w:jc w:val="center"/>
        <w:rPr>
          <w:rFonts w:asciiTheme="minorHAnsi" w:hAnsiTheme="minorHAnsi"/>
          <w:szCs w:val="22"/>
          <w:lang w:val="el-GR"/>
        </w:rPr>
      </w:pPr>
      <w:r>
        <w:rPr>
          <w:rFonts w:asciiTheme="minorHAnsi" w:hAnsiTheme="minorHAnsi"/>
          <w:szCs w:val="22"/>
          <w:lang w:val="el-GR"/>
        </w:rPr>
        <w:t>____________________________________</w:t>
      </w:r>
    </w:p>
    <w:sectPr w:rsidR="00643F0D" w:rsidRPr="00CC3917" w:rsidSect="004E559E">
      <w:headerReference w:type="even" r:id="rId9"/>
      <w:footerReference w:type="even" r:id="rId10"/>
      <w:footerReference w:type="default" r:id="rId11"/>
      <w:headerReference w:type="first" r:id="rId12"/>
      <w:pgSz w:w="11907" w:h="16840" w:code="9"/>
      <w:pgMar w:top="1815" w:right="1418" w:bottom="1418" w:left="1418" w:header="900" w:footer="1383" w:gutter="0"/>
      <w:cols w:space="708"/>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6DE" w:rsidRDefault="004126DE" w:rsidP="00CC3917">
      <w:r>
        <w:separator/>
      </w:r>
    </w:p>
  </w:endnote>
  <w:endnote w:type="continuationSeparator" w:id="0">
    <w:p w:rsidR="004126DE" w:rsidRDefault="004126DE" w:rsidP="00CC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A1"/>
    <w:family w:val="swiss"/>
    <w:pitch w:val="variable"/>
    <w:sig w:usb0="E0002AFF" w:usb1="C0007843" w:usb2="00000009" w:usb3="00000000" w:csb0="000001FF" w:csb1="00000000"/>
  </w:font>
  <w:font w:name="Helvetica">
    <w:panose1 w:val="020B0604020202020204"/>
    <w:charset w:val="A1"/>
    <w:family w:val="swiss"/>
    <w:pitch w:val="variable"/>
    <w:sig w:usb0="E0002AFF" w:usb1="C0007843" w:usb2="00000009" w:usb3="00000000" w:csb0="0000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B9B" w:rsidRPr="0026013D" w:rsidRDefault="002F424E" w:rsidP="002F424E">
    <w:pPr>
      <w:pStyle w:val="a5"/>
      <w:framePr w:wrap="around" w:vAnchor="text" w:hAnchor="margin" w:xAlign="right" w:y="1"/>
      <w:rPr>
        <w:rStyle w:val="ac"/>
        <w:lang w:val="el-GR"/>
      </w:rPr>
    </w:pPr>
    <w:r>
      <w:rPr>
        <w:rStyle w:val="ac"/>
      </w:rPr>
      <w:t>RESTRICTED</w:t>
    </w:r>
    <w:r w:rsidR="00ED60E8">
      <w:rPr>
        <w:rStyle w:val="ac"/>
      </w:rPr>
      <w:fldChar w:fldCharType="begin"/>
    </w:r>
    <w:r>
      <w:rPr>
        <w:rStyle w:val="ac"/>
      </w:rPr>
      <w:instrText>PAGE</w:instrText>
    </w:r>
    <w:r w:rsidRPr="0026013D">
      <w:rPr>
        <w:rStyle w:val="ac"/>
        <w:lang w:val="el-GR"/>
      </w:rPr>
      <w:instrText xml:space="preserve">  </w:instrText>
    </w:r>
    <w:r w:rsidR="00ED60E8">
      <w:rPr>
        <w:rStyle w:val="ac"/>
      </w:rPr>
      <w:fldChar w:fldCharType="end"/>
    </w:r>
  </w:p>
  <w:p w:rsidR="001F0B9B" w:rsidRPr="0026013D" w:rsidRDefault="00A308B7">
    <w:pPr>
      <w:pStyle w:val="a5"/>
      <w:ind w:right="360"/>
      <w:rPr>
        <w:lang w:val="el-GR"/>
      </w:rPr>
    </w:pPr>
  </w:p>
  <w:p w:rsidR="001F0B9B" w:rsidRPr="0026013D" w:rsidRDefault="00A308B7">
    <w:pPr>
      <w:rPr>
        <w:lang w:val="el-GR"/>
      </w:rPr>
    </w:pPr>
  </w:p>
  <w:p w:rsidR="001F0B9B" w:rsidRPr="0026013D" w:rsidRDefault="00A308B7">
    <w:pPr>
      <w:rPr>
        <w:lang w:val="el-GR"/>
      </w:rPr>
    </w:pPr>
  </w:p>
  <w:p w:rsidR="001F0B9B" w:rsidRPr="0026013D" w:rsidRDefault="002F424E">
    <w:pPr>
      <w:pStyle w:val="SCDocID"/>
      <w:rPr>
        <w:lang w:val="el-GR"/>
      </w:rPr>
    </w:pPr>
    <w:r w:rsidRPr="0026013D">
      <w:rPr>
        <w:lang w:val="el-GR"/>
      </w:rPr>
      <w:softHyphen/>
    </w:r>
    <w:r>
      <w:t>LONDON</w:t>
    </w:r>
    <w:r w:rsidRPr="0026013D">
      <w:rPr>
        <w:lang w:val="el-GR"/>
      </w:rPr>
      <w:t>:440574.7</w:t>
    </w:r>
  </w:p>
  <w:p w:rsidR="001F0B9B" w:rsidRPr="0026013D" w:rsidRDefault="000478F9" w:rsidP="005760B7">
    <w:pPr>
      <w:pStyle w:val="a5"/>
      <w:rPr>
        <w:rFonts w:ascii="Tahoma" w:hAnsi="Tahoma" w:cs="Tahoma"/>
        <w:smallCaps/>
        <w:noProof/>
        <w:color w:val="404040"/>
        <w:lang w:val="el-GR"/>
      </w:rPr>
    </w:pPr>
    <w:r>
      <w:fldChar w:fldCharType="begin"/>
    </w:r>
    <w:r w:rsidRPr="000478F9">
      <w:rPr>
        <w:lang w:val="el-GR"/>
      </w:rPr>
      <w:instrText xml:space="preserve"> </w:instrText>
    </w:r>
    <w:r>
      <w:instrText>DOCPROPERTY</w:instrText>
    </w:r>
    <w:r w:rsidRPr="000478F9">
      <w:rPr>
        <w:lang w:val="el-GR"/>
      </w:rPr>
      <w:instrText xml:space="preserve"> "</w:instrText>
    </w:r>
    <w:r>
      <w:instrText>wsKG</w:instrText>
    </w:r>
    <w:r w:rsidRPr="000478F9">
      <w:rPr>
        <w:lang w:val="el-GR"/>
      </w:rPr>
      <w:instrText xml:space="preserve">"  \* </w:instrText>
    </w:r>
    <w:r>
      <w:instrText>MERGEFORMAT</w:instrText>
    </w:r>
    <w:r w:rsidRPr="000478F9">
      <w:rPr>
        <w:lang w:val="el-GR"/>
      </w:rPr>
      <w:instrText xml:space="preserve"> </w:instrText>
    </w:r>
    <w:r>
      <w:fldChar w:fldCharType="separate"/>
    </w:r>
    <w:r w:rsidR="001D1A72">
      <w:rPr>
        <w:b/>
        <w:bCs/>
        <w:lang w:val="el-GR"/>
      </w:rPr>
      <w:t>Σφάλμα! Άγνωστο όνομα ιδιότητας εγγράφου</w:t>
    </w:r>
    <w:r>
      <w:rPr>
        <w:b/>
        <w:bCs/>
        <w:lang w:val="el-G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4E" w:rsidRDefault="00ED60E8" w:rsidP="00B773E6">
    <w:pPr>
      <w:pStyle w:val="a5"/>
      <w:framePr w:wrap="around" w:vAnchor="text" w:hAnchor="margin" w:xAlign="right" w:y="1"/>
      <w:rPr>
        <w:rStyle w:val="ac"/>
      </w:rPr>
    </w:pPr>
    <w:r>
      <w:rPr>
        <w:rStyle w:val="ac"/>
      </w:rPr>
      <w:fldChar w:fldCharType="begin"/>
    </w:r>
    <w:r w:rsidR="002F424E">
      <w:rPr>
        <w:rStyle w:val="ac"/>
      </w:rPr>
      <w:instrText xml:space="preserve">PAGE  </w:instrText>
    </w:r>
    <w:r>
      <w:rPr>
        <w:rStyle w:val="ac"/>
      </w:rPr>
      <w:fldChar w:fldCharType="separate"/>
    </w:r>
    <w:r w:rsidR="00A308B7">
      <w:rPr>
        <w:rStyle w:val="ac"/>
        <w:noProof/>
      </w:rPr>
      <w:t>8</w:t>
    </w:r>
    <w:r>
      <w:rPr>
        <w:rStyle w:val="ac"/>
      </w:rPr>
      <w:fldChar w:fldCharType="end"/>
    </w:r>
  </w:p>
  <w:p w:rsidR="002F424E" w:rsidRDefault="002F424E" w:rsidP="002F424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6DE" w:rsidRDefault="004126DE" w:rsidP="00CC3917">
      <w:r>
        <w:separator/>
      </w:r>
    </w:p>
  </w:footnote>
  <w:footnote w:type="continuationSeparator" w:id="0">
    <w:p w:rsidR="004126DE" w:rsidRDefault="004126DE" w:rsidP="00CC39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B9B" w:rsidRDefault="00ED60E8" w:rsidP="00DA1C0C">
    <w:pPr>
      <w:pStyle w:val="a8"/>
      <w:framePr w:wrap="around" w:vAnchor="text" w:hAnchor="margin" w:xAlign="right" w:y="1"/>
      <w:rPr>
        <w:rStyle w:val="ac"/>
      </w:rPr>
    </w:pPr>
    <w:r>
      <w:rPr>
        <w:rStyle w:val="ac"/>
      </w:rPr>
      <w:fldChar w:fldCharType="begin"/>
    </w:r>
    <w:r w:rsidR="002F424E">
      <w:rPr>
        <w:rStyle w:val="ac"/>
      </w:rPr>
      <w:instrText xml:space="preserve">PAGE  </w:instrText>
    </w:r>
    <w:r>
      <w:rPr>
        <w:rStyle w:val="ac"/>
      </w:rPr>
      <w:fldChar w:fldCharType="end"/>
    </w:r>
  </w:p>
  <w:p w:rsidR="001F0B9B" w:rsidRDefault="00A308B7">
    <w:pPr>
      <w:pStyle w:val="a8"/>
      <w:ind w:right="360"/>
    </w:pPr>
  </w:p>
  <w:p w:rsidR="001F0B9B" w:rsidRDefault="00A308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B9B" w:rsidRPr="00CC3917" w:rsidRDefault="00A308B7" w:rsidP="00CC3917">
    <w:pPr>
      <w:pStyle w:val="a8"/>
      <w:ind w:right="360"/>
      <w:jc w:val="right"/>
      <w:rPr>
        <w:rFonts w:ascii="Calibri" w:hAnsi="Calibri"/>
        <w:b/>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7F81AF4"/>
    <w:lvl w:ilvl="0">
      <w:start w:val="1"/>
      <w:numFmt w:val="bullet"/>
      <w:pStyle w:val="a"/>
      <w:lvlText w:val=""/>
      <w:lvlJc w:val="left"/>
      <w:pPr>
        <w:tabs>
          <w:tab w:val="num" w:pos="720"/>
        </w:tabs>
        <w:ind w:left="720" w:hanging="720"/>
      </w:pPr>
      <w:rPr>
        <w:rFonts w:ascii="Symbol" w:hAnsi="Symbol" w:hint="default"/>
      </w:rPr>
    </w:lvl>
  </w:abstractNum>
  <w:abstractNum w:abstractNumId="1">
    <w:nsid w:val="009C11F2"/>
    <w:multiLevelType w:val="multilevel"/>
    <w:tmpl w:val="F24CD17C"/>
    <w:name w:val="ClientBullet"/>
    <w:lvl w:ilvl="0">
      <w:start w:val="1"/>
      <w:numFmt w:val="bullet"/>
      <w:pStyle w:val="BulletL1"/>
      <w:lvlText w:val="·"/>
      <w:lvlJc w:val="left"/>
      <w:pPr>
        <w:ind w:left="720" w:hanging="720"/>
      </w:pPr>
      <w:rPr>
        <w:rFonts w:ascii="Symbol" w:hAnsi="Symbol" w:hint="default"/>
      </w:rPr>
    </w:lvl>
    <w:lvl w:ilvl="1">
      <w:start w:val="1"/>
      <w:numFmt w:val="bullet"/>
      <w:lvlRestart w:val="0"/>
      <w:pStyle w:val="BulletL2"/>
      <w:lvlText w:val="-"/>
      <w:lvlJc w:val="left"/>
      <w:pPr>
        <w:ind w:left="720" w:hanging="720"/>
      </w:pPr>
      <w:rPr>
        <w:rFonts w:ascii="Symbol" w:hAnsi="Symbol" w:hint="default"/>
      </w:rPr>
    </w:lvl>
    <w:lvl w:ilvl="2">
      <w:start w:val="1"/>
      <w:numFmt w:val="bullet"/>
      <w:lvlRestart w:val="0"/>
      <w:pStyle w:val="BulletL3"/>
      <w:lvlText w:val="·"/>
      <w:lvlJc w:val="left"/>
      <w:pPr>
        <w:ind w:left="1440" w:hanging="720"/>
      </w:pPr>
      <w:rPr>
        <w:rFonts w:ascii="Symbol" w:hAnsi="Symbol" w:hint="default"/>
      </w:rPr>
    </w:lvl>
    <w:lvl w:ilvl="3">
      <w:start w:val="1"/>
      <w:numFmt w:val="bullet"/>
      <w:lvlRestart w:val="0"/>
      <w:pStyle w:val="BulletL4"/>
      <w:lvlText w:val="-"/>
      <w:lvlJc w:val="left"/>
      <w:pPr>
        <w:ind w:left="1440" w:hanging="720"/>
      </w:pPr>
      <w:rPr>
        <w:rFonts w:ascii="Symbol" w:hAnsi="Symbol" w:hint="default"/>
      </w:rPr>
    </w:lvl>
    <w:lvl w:ilvl="4">
      <w:start w:val="1"/>
      <w:numFmt w:val="bullet"/>
      <w:lvlRestart w:val="0"/>
      <w:pStyle w:val="BulletL5"/>
      <w:lvlText w:val="·"/>
      <w:lvlJc w:val="left"/>
      <w:pPr>
        <w:ind w:left="2160" w:hanging="720"/>
      </w:pPr>
      <w:rPr>
        <w:rFonts w:ascii="Symbol" w:hAnsi="Symbol" w:hint="default"/>
      </w:rPr>
    </w:lvl>
    <w:lvl w:ilvl="5">
      <w:start w:val="1"/>
      <w:numFmt w:val="bullet"/>
      <w:lvlRestart w:val="0"/>
      <w:pStyle w:val="BulletL6"/>
      <w:lvlText w:val="-"/>
      <w:lvlJc w:val="left"/>
      <w:pPr>
        <w:ind w:left="2160" w:hanging="720"/>
      </w:pPr>
      <w:rPr>
        <w:rFonts w:ascii="Symbol" w:hAnsi="Symbol" w:hint="default"/>
      </w:rPr>
    </w:lvl>
    <w:lvl w:ilvl="6">
      <w:start w:val="1"/>
      <w:numFmt w:val="bullet"/>
      <w:lvlRestart w:val="0"/>
      <w:pStyle w:val="BulletL7"/>
      <w:lvlText w:val="·"/>
      <w:lvlJc w:val="left"/>
      <w:pPr>
        <w:ind w:left="2880" w:hanging="720"/>
      </w:pPr>
      <w:rPr>
        <w:rFonts w:ascii="Symbol" w:hAnsi="Symbol" w:hint="default"/>
      </w:rPr>
    </w:lvl>
    <w:lvl w:ilvl="7">
      <w:start w:val="1"/>
      <w:numFmt w:val="bullet"/>
      <w:lvlRestart w:val="0"/>
      <w:pStyle w:val="BulletL8"/>
      <w:lvlText w:val="-"/>
      <w:lvlJc w:val="left"/>
      <w:pPr>
        <w:ind w:left="2880" w:hanging="720"/>
      </w:pPr>
      <w:rPr>
        <w:rFonts w:ascii="Symbol" w:hAnsi="Symbol" w:hint="default"/>
      </w:rPr>
    </w:lvl>
    <w:lvl w:ilvl="8">
      <w:start w:val="1"/>
      <w:numFmt w:val="bullet"/>
      <w:lvlRestart w:val="0"/>
      <w:pStyle w:val="BulletL9"/>
      <w:lvlText w:val="·"/>
      <w:lvlJc w:val="left"/>
      <w:pPr>
        <w:ind w:left="3600" w:hanging="720"/>
      </w:pPr>
      <w:rPr>
        <w:rFonts w:ascii="Symbol" w:hAnsi="Symbol" w:hint="default"/>
      </w:rPr>
    </w:lvl>
  </w:abstractNum>
  <w:abstractNum w:abstractNumId="2">
    <w:nsid w:val="01747BB7"/>
    <w:multiLevelType w:val="hybridMultilevel"/>
    <w:tmpl w:val="5C7EA0D6"/>
    <w:lvl w:ilvl="0" w:tplc="67DCB9AC">
      <w:start w:val="1"/>
      <w:numFmt w:val="bullet"/>
      <w:lvlText w:val=""/>
      <w:lvlJc w:val="left"/>
      <w:pPr>
        <w:ind w:left="360" w:hanging="360"/>
      </w:pPr>
      <w:rPr>
        <w:rFonts w:ascii="Symbol" w:hAnsi="Symbol" w:hint="default"/>
        <w:color w:val="auto"/>
      </w:rPr>
    </w:lvl>
    <w:lvl w:ilvl="1" w:tplc="04080003">
      <w:start w:val="1"/>
      <w:numFmt w:val="bullet"/>
      <w:lvlText w:val="o"/>
      <w:lvlJc w:val="left"/>
      <w:pPr>
        <w:ind w:left="1156" w:hanging="360"/>
      </w:pPr>
      <w:rPr>
        <w:rFonts w:ascii="Courier New" w:hAnsi="Courier New" w:cs="Courier New" w:hint="default"/>
      </w:rPr>
    </w:lvl>
    <w:lvl w:ilvl="2" w:tplc="04080005">
      <w:start w:val="1"/>
      <w:numFmt w:val="bullet"/>
      <w:lvlText w:val=""/>
      <w:lvlJc w:val="left"/>
      <w:pPr>
        <w:ind w:left="1876" w:hanging="360"/>
      </w:pPr>
      <w:rPr>
        <w:rFonts w:ascii="Wingdings" w:hAnsi="Wingdings" w:hint="default"/>
      </w:rPr>
    </w:lvl>
    <w:lvl w:ilvl="3" w:tplc="04080001">
      <w:start w:val="1"/>
      <w:numFmt w:val="bullet"/>
      <w:lvlText w:val=""/>
      <w:lvlJc w:val="left"/>
      <w:pPr>
        <w:ind w:left="2596" w:hanging="360"/>
      </w:pPr>
      <w:rPr>
        <w:rFonts w:ascii="Symbol" w:hAnsi="Symbol" w:hint="default"/>
      </w:rPr>
    </w:lvl>
    <w:lvl w:ilvl="4" w:tplc="04080003">
      <w:start w:val="1"/>
      <w:numFmt w:val="bullet"/>
      <w:lvlText w:val="o"/>
      <w:lvlJc w:val="left"/>
      <w:pPr>
        <w:ind w:left="3316" w:hanging="360"/>
      </w:pPr>
      <w:rPr>
        <w:rFonts w:ascii="Courier New" w:hAnsi="Courier New" w:cs="Courier New" w:hint="default"/>
      </w:rPr>
    </w:lvl>
    <w:lvl w:ilvl="5" w:tplc="04080005">
      <w:start w:val="1"/>
      <w:numFmt w:val="bullet"/>
      <w:lvlText w:val=""/>
      <w:lvlJc w:val="left"/>
      <w:pPr>
        <w:ind w:left="4036" w:hanging="360"/>
      </w:pPr>
      <w:rPr>
        <w:rFonts w:ascii="Wingdings" w:hAnsi="Wingdings" w:hint="default"/>
      </w:rPr>
    </w:lvl>
    <w:lvl w:ilvl="6" w:tplc="04080001">
      <w:start w:val="1"/>
      <w:numFmt w:val="bullet"/>
      <w:lvlText w:val=""/>
      <w:lvlJc w:val="left"/>
      <w:pPr>
        <w:ind w:left="4756" w:hanging="360"/>
      </w:pPr>
      <w:rPr>
        <w:rFonts w:ascii="Symbol" w:hAnsi="Symbol" w:hint="default"/>
      </w:rPr>
    </w:lvl>
    <w:lvl w:ilvl="7" w:tplc="04080003">
      <w:start w:val="1"/>
      <w:numFmt w:val="bullet"/>
      <w:lvlText w:val="o"/>
      <w:lvlJc w:val="left"/>
      <w:pPr>
        <w:ind w:left="5476" w:hanging="360"/>
      </w:pPr>
      <w:rPr>
        <w:rFonts w:ascii="Courier New" w:hAnsi="Courier New" w:cs="Courier New" w:hint="default"/>
      </w:rPr>
    </w:lvl>
    <w:lvl w:ilvl="8" w:tplc="04080005">
      <w:start w:val="1"/>
      <w:numFmt w:val="bullet"/>
      <w:lvlText w:val=""/>
      <w:lvlJc w:val="left"/>
      <w:pPr>
        <w:ind w:left="6196" w:hanging="360"/>
      </w:pPr>
      <w:rPr>
        <w:rFonts w:ascii="Wingdings" w:hAnsi="Wingdings" w:hint="default"/>
      </w:rPr>
    </w:lvl>
  </w:abstractNum>
  <w:abstractNum w:abstractNumId="3">
    <w:nsid w:val="037E3411"/>
    <w:multiLevelType w:val="hybridMultilevel"/>
    <w:tmpl w:val="91862B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7CA7789"/>
    <w:multiLevelType w:val="hybridMultilevel"/>
    <w:tmpl w:val="2294DC58"/>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nsid w:val="1DB8623A"/>
    <w:multiLevelType w:val="hybridMultilevel"/>
    <w:tmpl w:val="5C106C9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6536A81"/>
    <w:multiLevelType w:val="multilevel"/>
    <w:tmpl w:val="045EE88E"/>
    <w:name w:val="ClientDocText"/>
    <w:lvl w:ilvl="0">
      <w:start w:val="1"/>
      <w:numFmt w:val="none"/>
      <w:pStyle w:val="DocText"/>
      <w:suff w:val="nothing"/>
      <w:lvlText w:val=""/>
      <w:lvlJc w:val="left"/>
      <w:pPr>
        <w:ind w:left="0" w:firstLine="0"/>
      </w:pPr>
    </w:lvl>
    <w:lvl w:ilvl="1">
      <w:start w:val="1"/>
      <w:numFmt w:val="none"/>
      <w:pStyle w:val="DocTextL1"/>
      <w:suff w:val="nothing"/>
      <w:lvlText w:val=""/>
      <w:lvlJc w:val="left"/>
      <w:pPr>
        <w:ind w:left="720" w:firstLine="0"/>
      </w:pPr>
    </w:lvl>
    <w:lvl w:ilvl="2">
      <w:start w:val="1"/>
      <w:numFmt w:val="none"/>
      <w:pStyle w:val="DocTextL2"/>
      <w:suff w:val="nothing"/>
      <w:lvlText w:val=""/>
      <w:lvlJc w:val="left"/>
      <w:pPr>
        <w:ind w:left="1440" w:firstLine="0"/>
      </w:pPr>
    </w:lvl>
    <w:lvl w:ilvl="3">
      <w:start w:val="1"/>
      <w:numFmt w:val="none"/>
      <w:pStyle w:val="DocTextL3"/>
      <w:suff w:val="nothing"/>
      <w:lvlText w:val=""/>
      <w:lvlJc w:val="left"/>
      <w:pPr>
        <w:ind w:left="2160" w:firstLine="0"/>
      </w:pPr>
    </w:lvl>
    <w:lvl w:ilvl="4">
      <w:start w:val="1"/>
      <w:numFmt w:val="none"/>
      <w:pStyle w:val="DocTextL4"/>
      <w:suff w:val="nothing"/>
      <w:lvlText w:val=""/>
      <w:lvlJc w:val="left"/>
      <w:pPr>
        <w:ind w:left="2880" w:firstLine="0"/>
      </w:pPr>
    </w:lvl>
    <w:lvl w:ilvl="5">
      <w:start w:val="1"/>
      <w:numFmt w:val="none"/>
      <w:pStyle w:val="DocTextL5"/>
      <w:suff w:val="nothing"/>
      <w:lvlText w:val=""/>
      <w:lvlJc w:val="left"/>
      <w:pPr>
        <w:ind w:left="3600" w:firstLine="0"/>
      </w:pPr>
    </w:lvl>
    <w:lvl w:ilvl="6">
      <w:start w:val="1"/>
      <w:numFmt w:val="none"/>
      <w:pStyle w:val="DocTextL6"/>
      <w:suff w:val="nothing"/>
      <w:lvlText w:val=""/>
      <w:lvlJc w:val="left"/>
      <w:pPr>
        <w:ind w:left="4320" w:firstLine="0"/>
      </w:pPr>
    </w:lvl>
    <w:lvl w:ilvl="7">
      <w:start w:val="1"/>
      <w:numFmt w:val="none"/>
      <w:pStyle w:val="DocTextL7"/>
      <w:suff w:val="nothing"/>
      <w:lvlText w:val=""/>
      <w:lvlJc w:val="left"/>
      <w:pPr>
        <w:ind w:left="5040" w:firstLine="0"/>
      </w:pPr>
    </w:lvl>
    <w:lvl w:ilvl="8">
      <w:start w:val="1"/>
      <w:numFmt w:val="none"/>
      <w:pStyle w:val="DocTextL8"/>
      <w:suff w:val="nothing"/>
      <w:lvlText w:val=""/>
      <w:lvlJc w:val="left"/>
      <w:pPr>
        <w:ind w:left="5760" w:firstLine="0"/>
      </w:pPr>
    </w:lvl>
  </w:abstractNum>
  <w:abstractNum w:abstractNumId="7">
    <w:nsid w:val="2ED60507"/>
    <w:multiLevelType w:val="hybridMultilevel"/>
    <w:tmpl w:val="807EF6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AB15F62"/>
    <w:multiLevelType w:val="hybridMultilevel"/>
    <w:tmpl w:val="A9C69D72"/>
    <w:lvl w:ilvl="0" w:tplc="04080001">
      <w:start w:val="1"/>
      <w:numFmt w:val="bullet"/>
      <w:lvlText w:val=""/>
      <w:lvlJc w:val="left"/>
      <w:pPr>
        <w:ind w:left="720" w:hanging="360"/>
      </w:pPr>
      <w:rPr>
        <w:rFonts w:ascii="Symbol" w:hAnsi="Symbo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nsid w:val="4F623971"/>
    <w:multiLevelType w:val="hybridMultilevel"/>
    <w:tmpl w:val="376203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FB44221"/>
    <w:multiLevelType w:val="hybridMultilevel"/>
    <w:tmpl w:val="3DC63A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98F69D9"/>
    <w:multiLevelType w:val="hybridMultilevel"/>
    <w:tmpl w:val="CA444A44"/>
    <w:lvl w:ilvl="0" w:tplc="6EFE7A7E">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nsid w:val="71B162EC"/>
    <w:multiLevelType w:val="hybridMultilevel"/>
    <w:tmpl w:val="E33E4AA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nsid w:val="7A7C3634"/>
    <w:multiLevelType w:val="hybridMultilevel"/>
    <w:tmpl w:val="BC7EB2B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7FF76A1A"/>
    <w:multiLevelType w:val="hybridMultilevel"/>
    <w:tmpl w:val="88FEDF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6"/>
  </w:num>
  <w:num w:numId="4">
    <w:abstractNumId w:val="13"/>
  </w:num>
  <w:num w:numId="5">
    <w:abstractNumId w:val="7"/>
  </w:num>
  <w:num w:numId="6">
    <w:abstractNumId w:val="10"/>
  </w:num>
  <w:num w:numId="7">
    <w:abstractNumId w:val="5"/>
  </w:num>
  <w:num w:numId="8">
    <w:abstractNumId w:val="3"/>
  </w:num>
  <w:num w:numId="9">
    <w:abstractNumId w:val="11"/>
  </w:num>
  <w:num w:numId="10">
    <w:abstractNumId w:val="8"/>
  </w:num>
  <w:num w:numId="11">
    <w:abstractNumId w:val="2"/>
  </w:num>
  <w:num w:numId="12">
    <w:abstractNumId w:val="12"/>
  </w:num>
  <w:num w:numId="13">
    <w:abstractNumId w:val="4"/>
  </w:num>
  <w:num w:numId="14">
    <w:abstractNumId w:val="14"/>
  </w:num>
  <w:num w:numId="1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P">
    <w15:presenceInfo w15:providerId="None" w15:userId="Y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C3917"/>
    <w:rsid w:val="00000AB3"/>
    <w:rsid w:val="000013CD"/>
    <w:rsid w:val="000015A2"/>
    <w:rsid w:val="00001EDF"/>
    <w:rsid w:val="00003859"/>
    <w:rsid w:val="00003AFD"/>
    <w:rsid w:val="00004244"/>
    <w:rsid w:val="00004D20"/>
    <w:rsid w:val="00005EF3"/>
    <w:rsid w:val="00007676"/>
    <w:rsid w:val="00007716"/>
    <w:rsid w:val="00010489"/>
    <w:rsid w:val="00011C87"/>
    <w:rsid w:val="00013A7E"/>
    <w:rsid w:val="00013CDF"/>
    <w:rsid w:val="00013D73"/>
    <w:rsid w:val="00013DDE"/>
    <w:rsid w:val="00013E89"/>
    <w:rsid w:val="00013F60"/>
    <w:rsid w:val="000141A4"/>
    <w:rsid w:val="000148A8"/>
    <w:rsid w:val="000149A9"/>
    <w:rsid w:val="000149B9"/>
    <w:rsid w:val="00016C1D"/>
    <w:rsid w:val="00020B92"/>
    <w:rsid w:val="00020BB4"/>
    <w:rsid w:val="00020D50"/>
    <w:rsid w:val="000218E2"/>
    <w:rsid w:val="0002223A"/>
    <w:rsid w:val="000222D6"/>
    <w:rsid w:val="00022B67"/>
    <w:rsid w:val="00022E8B"/>
    <w:rsid w:val="00025171"/>
    <w:rsid w:val="000260FD"/>
    <w:rsid w:val="000271E8"/>
    <w:rsid w:val="00027B3E"/>
    <w:rsid w:val="0003004E"/>
    <w:rsid w:val="0003054E"/>
    <w:rsid w:val="000308AC"/>
    <w:rsid w:val="00030E97"/>
    <w:rsid w:val="00032706"/>
    <w:rsid w:val="00032D0A"/>
    <w:rsid w:val="00033872"/>
    <w:rsid w:val="000342B8"/>
    <w:rsid w:val="000351B0"/>
    <w:rsid w:val="00035490"/>
    <w:rsid w:val="0003693E"/>
    <w:rsid w:val="000378E8"/>
    <w:rsid w:val="000400A1"/>
    <w:rsid w:val="000400F5"/>
    <w:rsid w:val="000402A9"/>
    <w:rsid w:val="00041B43"/>
    <w:rsid w:val="00043353"/>
    <w:rsid w:val="00043662"/>
    <w:rsid w:val="000437AA"/>
    <w:rsid w:val="00043B28"/>
    <w:rsid w:val="00044073"/>
    <w:rsid w:val="000442D8"/>
    <w:rsid w:val="000449B8"/>
    <w:rsid w:val="00044CBF"/>
    <w:rsid w:val="00045D8B"/>
    <w:rsid w:val="00045EFB"/>
    <w:rsid w:val="0004730C"/>
    <w:rsid w:val="000478F9"/>
    <w:rsid w:val="00050369"/>
    <w:rsid w:val="00050F4B"/>
    <w:rsid w:val="000512F3"/>
    <w:rsid w:val="0005161A"/>
    <w:rsid w:val="00051630"/>
    <w:rsid w:val="00052573"/>
    <w:rsid w:val="00052924"/>
    <w:rsid w:val="00053BE2"/>
    <w:rsid w:val="00053CB3"/>
    <w:rsid w:val="000541E0"/>
    <w:rsid w:val="00054B53"/>
    <w:rsid w:val="000554CF"/>
    <w:rsid w:val="00055B88"/>
    <w:rsid w:val="00055D2D"/>
    <w:rsid w:val="000561F7"/>
    <w:rsid w:val="000564C2"/>
    <w:rsid w:val="000566C1"/>
    <w:rsid w:val="000571C8"/>
    <w:rsid w:val="0005774A"/>
    <w:rsid w:val="00060E4B"/>
    <w:rsid w:val="00061023"/>
    <w:rsid w:val="000618DC"/>
    <w:rsid w:val="00061F7F"/>
    <w:rsid w:val="00062BC0"/>
    <w:rsid w:val="0006332B"/>
    <w:rsid w:val="00065153"/>
    <w:rsid w:val="000662C0"/>
    <w:rsid w:val="000662F7"/>
    <w:rsid w:val="000666A7"/>
    <w:rsid w:val="00066E96"/>
    <w:rsid w:val="00067BD8"/>
    <w:rsid w:val="0007014E"/>
    <w:rsid w:val="00071209"/>
    <w:rsid w:val="0007214B"/>
    <w:rsid w:val="00072F8D"/>
    <w:rsid w:val="0007366E"/>
    <w:rsid w:val="00075424"/>
    <w:rsid w:val="00075CBE"/>
    <w:rsid w:val="00076E1C"/>
    <w:rsid w:val="000770AB"/>
    <w:rsid w:val="000776C3"/>
    <w:rsid w:val="00077868"/>
    <w:rsid w:val="00077C96"/>
    <w:rsid w:val="00080040"/>
    <w:rsid w:val="00082EFD"/>
    <w:rsid w:val="000844FC"/>
    <w:rsid w:val="00084E10"/>
    <w:rsid w:val="0008510A"/>
    <w:rsid w:val="000851DD"/>
    <w:rsid w:val="000852C0"/>
    <w:rsid w:val="000857EB"/>
    <w:rsid w:val="00085817"/>
    <w:rsid w:val="00090005"/>
    <w:rsid w:val="0009039A"/>
    <w:rsid w:val="000905C7"/>
    <w:rsid w:val="00090FAD"/>
    <w:rsid w:val="00091526"/>
    <w:rsid w:val="00091F2B"/>
    <w:rsid w:val="0009213B"/>
    <w:rsid w:val="00092D4B"/>
    <w:rsid w:val="000939EA"/>
    <w:rsid w:val="0009492C"/>
    <w:rsid w:val="00094D01"/>
    <w:rsid w:val="00094ED5"/>
    <w:rsid w:val="000952AF"/>
    <w:rsid w:val="000978AB"/>
    <w:rsid w:val="00097E52"/>
    <w:rsid w:val="00097E89"/>
    <w:rsid w:val="000A00D9"/>
    <w:rsid w:val="000A22A3"/>
    <w:rsid w:val="000A24CC"/>
    <w:rsid w:val="000A2CA2"/>
    <w:rsid w:val="000A46FA"/>
    <w:rsid w:val="000A562D"/>
    <w:rsid w:val="000A5E8E"/>
    <w:rsid w:val="000A6050"/>
    <w:rsid w:val="000A60B5"/>
    <w:rsid w:val="000A685F"/>
    <w:rsid w:val="000A7248"/>
    <w:rsid w:val="000B05C1"/>
    <w:rsid w:val="000B07E4"/>
    <w:rsid w:val="000B195C"/>
    <w:rsid w:val="000B1C37"/>
    <w:rsid w:val="000B21EE"/>
    <w:rsid w:val="000B2508"/>
    <w:rsid w:val="000B2B49"/>
    <w:rsid w:val="000B4C94"/>
    <w:rsid w:val="000B4DD4"/>
    <w:rsid w:val="000B5114"/>
    <w:rsid w:val="000B545A"/>
    <w:rsid w:val="000B5E9B"/>
    <w:rsid w:val="000B6691"/>
    <w:rsid w:val="000B6F0B"/>
    <w:rsid w:val="000B6F8E"/>
    <w:rsid w:val="000B7BFA"/>
    <w:rsid w:val="000C0203"/>
    <w:rsid w:val="000C02AB"/>
    <w:rsid w:val="000C03A2"/>
    <w:rsid w:val="000C03A8"/>
    <w:rsid w:val="000C0D7F"/>
    <w:rsid w:val="000C0E34"/>
    <w:rsid w:val="000C22BA"/>
    <w:rsid w:val="000C409F"/>
    <w:rsid w:val="000C46F2"/>
    <w:rsid w:val="000C47A5"/>
    <w:rsid w:val="000C48D0"/>
    <w:rsid w:val="000C5A6B"/>
    <w:rsid w:val="000C6231"/>
    <w:rsid w:val="000C63C6"/>
    <w:rsid w:val="000C6450"/>
    <w:rsid w:val="000C72CD"/>
    <w:rsid w:val="000C7EEA"/>
    <w:rsid w:val="000D00A9"/>
    <w:rsid w:val="000D06BB"/>
    <w:rsid w:val="000D0C86"/>
    <w:rsid w:val="000D2430"/>
    <w:rsid w:val="000D2CFD"/>
    <w:rsid w:val="000D305F"/>
    <w:rsid w:val="000D36E1"/>
    <w:rsid w:val="000D3764"/>
    <w:rsid w:val="000D4110"/>
    <w:rsid w:val="000D4801"/>
    <w:rsid w:val="000D4DF5"/>
    <w:rsid w:val="000D5F81"/>
    <w:rsid w:val="000D69E9"/>
    <w:rsid w:val="000D784B"/>
    <w:rsid w:val="000D7B7B"/>
    <w:rsid w:val="000D7C8E"/>
    <w:rsid w:val="000E01A6"/>
    <w:rsid w:val="000E0213"/>
    <w:rsid w:val="000E140E"/>
    <w:rsid w:val="000E186F"/>
    <w:rsid w:val="000E18AE"/>
    <w:rsid w:val="000E2031"/>
    <w:rsid w:val="000E2061"/>
    <w:rsid w:val="000E29B1"/>
    <w:rsid w:val="000E2DB7"/>
    <w:rsid w:val="000E2DE6"/>
    <w:rsid w:val="000E3101"/>
    <w:rsid w:val="000E3B65"/>
    <w:rsid w:val="000E3B94"/>
    <w:rsid w:val="000E4703"/>
    <w:rsid w:val="000E4905"/>
    <w:rsid w:val="000E5824"/>
    <w:rsid w:val="000E5BF2"/>
    <w:rsid w:val="000E620D"/>
    <w:rsid w:val="000E7804"/>
    <w:rsid w:val="000E7901"/>
    <w:rsid w:val="000E7D5A"/>
    <w:rsid w:val="000F0696"/>
    <w:rsid w:val="000F0F1A"/>
    <w:rsid w:val="000F13AA"/>
    <w:rsid w:val="000F14EE"/>
    <w:rsid w:val="000F1535"/>
    <w:rsid w:val="000F175F"/>
    <w:rsid w:val="000F1DCA"/>
    <w:rsid w:val="000F251D"/>
    <w:rsid w:val="000F2EC7"/>
    <w:rsid w:val="000F3721"/>
    <w:rsid w:val="000F3FF9"/>
    <w:rsid w:val="000F477E"/>
    <w:rsid w:val="000F4D9C"/>
    <w:rsid w:val="000F4F22"/>
    <w:rsid w:val="000F5B1C"/>
    <w:rsid w:val="000F65FB"/>
    <w:rsid w:val="000F6713"/>
    <w:rsid w:val="000F70BA"/>
    <w:rsid w:val="000F7143"/>
    <w:rsid w:val="000F75C1"/>
    <w:rsid w:val="000F7AF6"/>
    <w:rsid w:val="0010136D"/>
    <w:rsid w:val="0010219F"/>
    <w:rsid w:val="001026E5"/>
    <w:rsid w:val="00102815"/>
    <w:rsid w:val="00102A87"/>
    <w:rsid w:val="00102B6A"/>
    <w:rsid w:val="001038C9"/>
    <w:rsid w:val="00104439"/>
    <w:rsid w:val="0010496F"/>
    <w:rsid w:val="00104C29"/>
    <w:rsid w:val="00105A5D"/>
    <w:rsid w:val="00105FA6"/>
    <w:rsid w:val="001060C0"/>
    <w:rsid w:val="0011083A"/>
    <w:rsid w:val="00110A38"/>
    <w:rsid w:val="00110FF0"/>
    <w:rsid w:val="001118BA"/>
    <w:rsid w:val="00111CD1"/>
    <w:rsid w:val="00111F12"/>
    <w:rsid w:val="00111F2E"/>
    <w:rsid w:val="001121D3"/>
    <w:rsid w:val="00112430"/>
    <w:rsid w:val="001137E5"/>
    <w:rsid w:val="00113D26"/>
    <w:rsid w:val="00114E44"/>
    <w:rsid w:val="00114F98"/>
    <w:rsid w:val="00115CB7"/>
    <w:rsid w:val="00116C86"/>
    <w:rsid w:val="001171E2"/>
    <w:rsid w:val="00120B73"/>
    <w:rsid w:val="0012260E"/>
    <w:rsid w:val="001232E7"/>
    <w:rsid w:val="001237BC"/>
    <w:rsid w:val="00123CB6"/>
    <w:rsid w:val="00123D9C"/>
    <w:rsid w:val="00124FEF"/>
    <w:rsid w:val="00125E40"/>
    <w:rsid w:val="0012603C"/>
    <w:rsid w:val="00127787"/>
    <w:rsid w:val="0013024B"/>
    <w:rsid w:val="001305DD"/>
    <w:rsid w:val="00130C6D"/>
    <w:rsid w:val="001312BC"/>
    <w:rsid w:val="00131EBD"/>
    <w:rsid w:val="00132322"/>
    <w:rsid w:val="00132C08"/>
    <w:rsid w:val="00133E08"/>
    <w:rsid w:val="001341E3"/>
    <w:rsid w:val="001344AC"/>
    <w:rsid w:val="00134862"/>
    <w:rsid w:val="00134983"/>
    <w:rsid w:val="00134A8A"/>
    <w:rsid w:val="0013633B"/>
    <w:rsid w:val="00137472"/>
    <w:rsid w:val="001375A2"/>
    <w:rsid w:val="00137C0B"/>
    <w:rsid w:val="00140F45"/>
    <w:rsid w:val="00140FCF"/>
    <w:rsid w:val="00141339"/>
    <w:rsid w:val="00141361"/>
    <w:rsid w:val="001415BF"/>
    <w:rsid w:val="0014175F"/>
    <w:rsid w:val="0014203E"/>
    <w:rsid w:val="001429CF"/>
    <w:rsid w:val="00143320"/>
    <w:rsid w:val="001436E8"/>
    <w:rsid w:val="00143D4C"/>
    <w:rsid w:val="00144689"/>
    <w:rsid w:val="001448ED"/>
    <w:rsid w:val="00145646"/>
    <w:rsid w:val="00145B13"/>
    <w:rsid w:val="00145BE9"/>
    <w:rsid w:val="001460ED"/>
    <w:rsid w:val="00147073"/>
    <w:rsid w:val="0014752F"/>
    <w:rsid w:val="00147AA5"/>
    <w:rsid w:val="00147CB0"/>
    <w:rsid w:val="001503DA"/>
    <w:rsid w:val="00151A3B"/>
    <w:rsid w:val="00151B5E"/>
    <w:rsid w:val="00151EBD"/>
    <w:rsid w:val="001520EA"/>
    <w:rsid w:val="00152238"/>
    <w:rsid w:val="0015228D"/>
    <w:rsid w:val="0015242B"/>
    <w:rsid w:val="00153269"/>
    <w:rsid w:val="00153CCD"/>
    <w:rsid w:val="00153D5B"/>
    <w:rsid w:val="001542A7"/>
    <w:rsid w:val="0015491F"/>
    <w:rsid w:val="001561E1"/>
    <w:rsid w:val="0015638D"/>
    <w:rsid w:val="001563F7"/>
    <w:rsid w:val="00156992"/>
    <w:rsid w:val="00156DC8"/>
    <w:rsid w:val="00157AC0"/>
    <w:rsid w:val="00157C51"/>
    <w:rsid w:val="0016027A"/>
    <w:rsid w:val="0016071E"/>
    <w:rsid w:val="00160F13"/>
    <w:rsid w:val="00161052"/>
    <w:rsid w:val="00161071"/>
    <w:rsid w:val="00161CD4"/>
    <w:rsid w:val="00161D1A"/>
    <w:rsid w:val="00164949"/>
    <w:rsid w:val="00164D18"/>
    <w:rsid w:val="00164F1A"/>
    <w:rsid w:val="001653D1"/>
    <w:rsid w:val="00166157"/>
    <w:rsid w:val="00166CA8"/>
    <w:rsid w:val="001676A3"/>
    <w:rsid w:val="00167854"/>
    <w:rsid w:val="00170CDC"/>
    <w:rsid w:val="00170EA9"/>
    <w:rsid w:val="00171D9D"/>
    <w:rsid w:val="00172613"/>
    <w:rsid w:val="00172751"/>
    <w:rsid w:val="001731A8"/>
    <w:rsid w:val="00173253"/>
    <w:rsid w:val="00173494"/>
    <w:rsid w:val="00173617"/>
    <w:rsid w:val="001746E7"/>
    <w:rsid w:val="001756DF"/>
    <w:rsid w:val="00175753"/>
    <w:rsid w:val="00177495"/>
    <w:rsid w:val="001775C7"/>
    <w:rsid w:val="0018029E"/>
    <w:rsid w:val="0018048A"/>
    <w:rsid w:val="00181A7B"/>
    <w:rsid w:val="0018207F"/>
    <w:rsid w:val="001832CB"/>
    <w:rsid w:val="0018346E"/>
    <w:rsid w:val="00184028"/>
    <w:rsid w:val="001849A0"/>
    <w:rsid w:val="00184A44"/>
    <w:rsid w:val="001870C3"/>
    <w:rsid w:val="00187E02"/>
    <w:rsid w:val="001912F2"/>
    <w:rsid w:val="00191359"/>
    <w:rsid w:val="00191D93"/>
    <w:rsid w:val="00192264"/>
    <w:rsid w:val="001922C5"/>
    <w:rsid w:val="00192E46"/>
    <w:rsid w:val="00193AC8"/>
    <w:rsid w:val="00194248"/>
    <w:rsid w:val="00194B26"/>
    <w:rsid w:val="00194BBD"/>
    <w:rsid w:val="00194DEA"/>
    <w:rsid w:val="001950E5"/>
    <w:rsid w:val="001A014D"/>
    <w:rsid w:val="001A20BC"/>
    <w:rsid w:val="001A2335"/>
    <w:rsid w:val="001A29C2"/>
    <w:rsid w:val="001A2D7E"/>
    <w:rsid w:val="001A41CD"/>
    <w:rsid w:val="001A4521"/>
    <w:rsid w:val="001A4EB3"/>
    <w:rsid w:val="001A54F3"/>
    <w:rsid w:val="001A578A"/>
    <w:rsid w:val="001A58E6"/>
    <w:rsid w:val="001B0398"/>
    <w:rsid w:val="001B16AF"/>
    <w:rsid w:val="001B267C"/>
    <w:rsid w:val="001B2C18"/>
    <w:rsid w:val="001B3399"/>
    <w:rsid w:val="001B3485"/>
    <w:rsid w:val="001B3F02"/>
    <w:rsid w:val="001B53E5"/>
    <w:rsid w:val="001B5760"/>
    <w:rsid w:val="001B5CFF"/>
    <w:rsid w:val="001B6870"/>
    <w:rsid w:val="001B6D7E"/>
    <w:rsid w:val="001B7507"/>
    <w:rsid w:val="001B7A0A"/>
    <w:rsid w:val="001C098A"/>
    <w:rsid w:val="001C2204"/>
    <w:rsid w:val="001C243B"/>
    <w:rsid w:val="001C286F"/>
    <w:rsid w:val="001C3275"/>
    <w:rsid w:val="001C33D2"/>
    <w:rsid w:val="001C3798"/>
    <w:rsid w:val="001C3D9C"/>
    <w:rsid w:val="001C4714"/>
    <w:rsid w:val="001C4CB2"/>
    <w:rsid w:val="001C5223"/>
    <w:rsid w:val="001C52B5"/>
    <w:rsid w:val="001C54C0"/>
    <w:rsid w:val="001C68BE"/>
    <w:rsid w:val="001C7E80"/>
    <w:rsid w:val="001D013E"/>
    <w:rsid w:val="001D079A"/>
    <w:rsid w:val="001D1A72"/>
    <w:rsid w:val="001D3756"/>
    <w:rsid w:val="001D3F2D"/>
    <w:rsid w:val="001D44D7"/>
    <w:rsid w:val="001D5A6D"/>
    <w:rsid w:val="001D5ABC"/>
    <w:rsid w:val="001D674E"/>
    <w:rsid w:val="001D7A41"/>
    <w:rsid w:val="001E147F"/>
    <w:rsid w:val="001E1996"/>
    <w:rsid w:val="001E2205"/>
    <w:rsid w:val="001E28F6"/>
    <w:rsid w:val="001E3155"/>
    <w:rsid w:val="001E33A2"/>
    <w:rsid w:val="001E40CB"/>
    <w:rsid w:val="001E43DE"/>
    <w:rsid w:val="001E45FD"/>
    <w:rsid w:val="001E463E"/>
    <w:rsid w:val="001E4CF2"/>
    <w:rsid w:val="001E4D9F"/>
    <w:rsid w:val="001E6CA4"/>
    <w:rsid w:val="001E6F09"/>
    <w:rsid w:val="001F0491"/>
    <w:rsid w:val="001F1189"/>
    <w:rsid w:val="001F1944"/>
    <w:rsid w:val="001F20B1"/>
    <w:rsid w:val="001F2A08"/>
    <w:rsid w:val="001F2C50"/>
    <w:rsid w:val="001F31E5"/>
    <w:rsid w:val="001F3262"/>
    <w:rsid w:val="001F337E"/>
    <w:rsid w:val="001F419E"/>
    <w:rsid w:val="001F5ACA"/>
    <w:rsid w:val="001F5BA6"/>
    <w:rsid w:val="001F5D25"/>
    <w:rsid w:val="00200F92"/>
    <w:rsid w:val="00201219"/>
    <w:rsid w:val="00201B9B"/>
    <w:rsid w:val="00202C7E"/>
    <w:rsid w:val="00202FD5"/>
    <w:rsid w:val="00203704"/>
    <w:rsid w:val="00203DF1"/>
    <w:rsid w:val="002047DD"/>
    <w:rsid w:val="00205073"/>
    <w:rsid w:val="0020530A"/>
    <w:rsid w:val="002058CA"/>
    <w:rsid w:val="002067D3"/>
    <w:rsid w:val="002079EB"/>
    <w:rsid w:val="00210160"/>
    <w:rsid w:val="002101D3"/>
    <w:rsid w:val="0021152E"/>
    <w:rsid w:val="00211DC5"/>
    <w:rsid w:val="002120BD"/>
    <w:rsid w:val="0021294E"/>
    <w:rsid w:val="00212CB7"/>
    <w:rsid w:val="00213197"/>
    <w:rsid w:val="00213948"/>
    <w:rsid w:val="0021491D"/>
    <w:rsid w:val="002149F2"/>
    <w:rsid w:val="0021579F"/>
    <w:rsid w:val="00215E25"/>
    <w:rsid w:val="00217439"/>
    <w:rsid w:val="002179C2"/>
    <w:rsid w:val="00217B99"/>
    <w:rsid w:val="00220C39"/>
    <w:rsid w:val="00221124"/>
    <w:rsid w:val="00221E45"/>
    <w:rsid w:val="00221EF9"/>
    <w:rsid w:val="00222819"/>
    <w:rsid w:val="0022374E"/>
    <w:rsid w:val="00223AD6"/>
    <w:rsid w:val="00224836"/>
    <w:rsid w:val="00225189"/>
    <w:rsid w:val="00225657"/>
    <w:rsid w:val="00225986"/>
    <w:rsid w:val="002259BA"/>
    <w:rsid w:val="00225A51"/>
    <w:rsid w:val="00225E2C"/>
    <w:rsid w:val="002265BB"/>
    <w:rsid w:val="002265FE"/>
    <w:rsid w:val="00226E7C"/>
    <w:rsid w:val="00227CC9"/>
    <w:rsid w:val="00230199"/>
    <w:rsid w:val="002316B2"/>
    <w:rsid w:val="00231BC9"/>
    <w:rsid w:val="002322C4"/>
    <w:rsid w:val="00232539"/>
    <w:rsid w:val="00232CB8"/>
    <w:rsid w:val="00233E09"/>
    <w:rsid w:val="0023421A"/>
    <w:rsid w:val="00234BDA"/>
    <w:rsid w:val="00235002"/>
    <w:rsid w:val="00235634"/>
    <w:rsid w:val="00235F4A"/>
    <w:rsid w:val="002360D7"/>
    <w:rsid w:val="002361F6"/>
    <w:rsid w:val="002366B6"/>
    <w:rsid w:val="002373B2"/>
    <w:rsid w:val="00237D59"/>
    <w:rsid w:val="00240CA3"/>
    <w:rsid w:val="00241029"/>
    <w:rsid w:val="00241FB2"/>
    <w:rsid w:val="00242086"/>
    <w:rsid w:val="00242390"/>
    <w:rsid w:val="002432D8"/>
    <w:rsid w:val="002435F9"/>
    <w:rsid w:val="0024445E"/>
    <w:rsid w:val="00244603"/>
    <w:rsid w:val="002449C6"/>
    <w:rsid w:val="00246907"/>
    <w:rsid w:val="00247204"/>
    <w:rsid w:val="00247298"/>
    <w:rsid w:val="00247BA9"/>
    <w:rsid w:val="0025104C"/>
    <w:rsid w:val="0025183D"/>
    <w:rsid w:val="0025268A"/>
    <w:rsid w:val="00252717"/>
    <w:rsid w:val="002529DA"/>
    <w:rsid w:val="00252C20"/>
    <w:rsid w:val="002538E8"/>
    <w:rsid w:val="00253D0D"/>
    <w:rsid w:val="0025415F"/>
    <w:rsid w:val="0025432C"/>
    <w:rsid w:val="00254EF7"/>
    <w:rsid w:val="00255026"/>
    <w:rsid w:val="002550FE"/>
    <w:rsid w:val="00255F0B"/>
    <w:rsid w:val="002560C8"/>
    <w:rsid w:val="0025690B"/>
    <w:rsid w:val="0026013D"/>
    <w:rsid w:val="00261FE7"/>
    <w:rsid w:val="0026259C"/>
    <w:rsid w:val="00262C7F"/>
    <w:rsid w:val="00262E22"/>
    <w:rsid w:val="00264C6D"/>
    <w:rsid w:val="00267362"/>
    <w:rsid w:val="00267BA6"/>
    <w:rsid w:val="002708CF"/>
    <w:rsid w:val="00271196"/>
    <w:rsid w:val="00271CA8"/>
    <w:rsid w:val="0027341A"/>
    <w:rsid w:val="0027384F"/>
    <w:rsid w:val="00274B02"/>
    <w:rsid w:val="00275690"/>
    <w:rsid w:val="002765F4"/>
    <w:rsid w:val="0027660E"/>
    <w:rsid w:val="00276960"/>
    <w:rsid w:val="00276CBE"/>
    <w:rsid w:val="00277E65"/>
    <w:rsid w:val="002802D6"/>
    <w:rsid w:val="002815E4"/>
    <w:rsid w:val="00284846"/>
    <w:rsid w:val="00284A34"/>
    <w:rsid w:val="002863DA"/>
    <w:rsid w:val="002877A9"/>
    <w:rsid w:val="00287960"/>
    <w:rsid w:val="00290300"/>
    <w:rsid w:val="002903A9"/>
    <w:rsid w:val="00290555"/>
    <w:rsid w:val="002915B3"/>
    <w:rsid w:val="0029225C"/>
    <w:rsid w:val="00292654"/>
    <w:rsid w:val="002927D7"/>
    <w:rsid w:val="002939F5"/>
    <w:rsid w:val="00294ACE"/>
    <w:rsid w:val="00295226"/>
    <w:rsid w:val="00295233"/>
    <w:rsid w:val="0029523E"/>
    <w:rsid w:val="002966D0"/>
    <w:rsid w:val="00296CF7"/>
    <w:rsid w:val="0029729E"/>
    <w:rsid w:val="002972F8"/>
    <w:rsid w:val="002A16AC"/>
    <w:rsid w:val="002A1BC1"/>
    <w:rsid w:val="002A1F32"/>
    <w:rsid w:val="002A247D"/>
    <w:rsid w:val="002A2D64"/>
    <w:rsid w:val="002A33CA"/>
    <w:rsid w:val="002A37EC"/>
    <w:rsid w:val="002A43DC"/>
    <w:rsid w:val="002A5797"/>
    <w:rsid w:val="002A5F29"/>
    <w:rsid w:val="002A7E97"/>
    <w:rsid w:val="002B0797"/>
    <w:rsid w:val="002B08A7"/>
    <w:rsid w:val="002B0B9B"/>
    <w:rsid w:val="002B0CB2"/>
    <w:rsid w:val="002B1676"/>
    <w:rsid w:val="002B24A9"/>
    <w:rsid w:val="002B35A3"/>
    <w:rsid w:val="002B37CB"/>
    <w:rsid w:val="002B3D3D"/>
    <w:rsid w:val="002B433D"/>
    <w:rsid w:val="002B4D36"/>
    <w:rsid w:val="002B58D5"/>
    <w:rsid w:val="002B6605"/>
    <w:rsid w:val="002B696C"/>
    <w:rsid w:val="002B7717"/>
    <w:rsid w:val="002B77E5"/>
    <w:rsid w:val="002B7E39"/>
    <w:rsid w:val="002C07C6"/>
    <w:rsid w:val="002C2021"/>
    <w:rsid w:val="002C29B5"/>
    <w:rsid w:val="002C3226"/>
    <w:rsid w:val="002C32EF"/>
    <w:rsid w:val="002C3B71"/>
    <w:rsid w:val="002C40A1"/>
    <w:rsid w:val="002C4662"/>
    <w:rsid w:val="002C48E5"/>
    <w:rsid w:val="002C4EA6"/>
    <w:rsid w:val="002C6A69"/>
    <w:rsid w:val="002C7848"/>
    <w:rsid w:val="002D045E"/>
    <w:rsid w:val="002D0A85"/>
    <w:rsid w:val="002D2B12"/>
    <w:rsid w:val="002D2EF5"/>
    <w:rsid w:val="002D3164"/>
    <w:rsid w:val="002D3888"/>
    <w:rsid w:val="002D4B7B"/>
    <w:rsid w:val="002D5953"/>
    <w:rsid w:val="002D5D8D"/>
    <w:rsid w:val="002D5F22"/>
    <w:rsid w:val="002D61A1"/>
    <w:rsid w:val="002D6572"/>
    <w:rsid w:val="002D792A"/>
    <w:rsid w:val="002E02A6"/>
    <w:rsid w:val="002E10A1"/>
    <w:rsid w:val="002E1372"/>
    <w:rsid w:val="002E1659"/>
    <w:rsid w:val="002E1E4B"/>
    <w:rsid w:val="002E2AED"/>
    <w:rsid w:val="002E37A6"/>
    <w:rsid w:val="002E3FEC"/>
    <w:rsid w:val="002E413F"/>
    <w:rsid w:val="002E47E5"/>
    <w:rsid w:val="002E5167"/>
    <w:rsid w:val="002E528F"/>
    <w:rsid w:val="002E5420"/>
    <w:rsid w:val="002E55B6"/>
    <w:rsid w:val="002E623F"/>
    <w:rsid w:val="002E64BB"/>
    <w:rsid w:val="002E710C"/>
    <w:rsid w:val="002E74E1"/>
    <w:rsid w:val="002E7B2A"/>
    <w:rsid w:val="002E7E10"/>
    <w:rsid w:val="002F019A"/>
    <w:rsid w:val="002F2001"/>
    <w:rsid w:val="002F2EFE"/>
    <w:rsid w:val="002F2F8A"/>
    <w:rsid w:val="002F4038"/>
    <w:rsid w:val="002F424E"/>
    <w:rsid w:val="002F45A6"/>
    <w:rsid w:val="002F479C"/>
    <w:rsid w:val="002F59A5"/>
    <w:rsid w:val="002F5AD9"/>
    <w:rsid w:val="002F6199"/>
    <w:rsid w:val="002F7E35"/>
    <w:rsid w:val="003003CE"/>
    <w:rsid w:val="00300A3C"/>
    <w:rsid w:val="003012A5"/>
    <w:rsid w:val="00301C01"/>
    <w:rsid w:val="003021B6"/>
    <w:rsid w:val="003022E1"/>
    <w:rsid w:val="00303F02"/>
    <w:rsid w:val="00304D8D"/>
    <w:rsid w:val="00305E29"/>
    <w:rsid w:val="00305E4A"/>
    <w:rsid w:val="003064EC"/>
    <w:rsid w:val="003065EF"/>
    <w:rsid w:val="0030747E"/>
    <w:rsid w:val="003117E1"/>
    <w:rsid w:val="00311CCA"/>
    <w:rsid w:val="00312688"/>
    <w:rsid w:val="00313FC3"/>
    <w:rsid w:val="00314625"/>
    <w:rsid w:val="003148E5"/>
    <w:rsid w:val="00314B0E"/>
    <w:rsid w:val="003164E6"/>
    <w:rsid w:val="00316701"/>
    <w:rsid w:val="003179DB"/>
    <w:rsid w:val="00321397"/>
    <w:rsid w:val="003215CC"/>
    <w:rsid w:val="003225A1"/>
    <w:rsid w:val="0032283D"/>
    <w:rsid w:val="00323809"/>
    <w:rsid w:val="0032394E"/>
    <w:rsid w:val="00323CBC"/>
    <w:rsid w:val="00323FDF"/>
    <w:rsid w:val="00324CAD"/>
    <w:rsid w:val="00325593"/>
    <w:rsid w:val="00325CAF"/>
    <w:rsid w:val="00326CB7"/>
    <w:rsid w:val="00327024"/>
    <w:rsid w:val="00327201"/>
    <w:rsid w:val="003272B0"/>
    <w:rsid w:val="0032751C"/>
    <w:rsid w:val="00327EA4"/>
    <w:rsid w:val="00330469"/>
    <w:rsid w:val="0033237E"/>
    <w:rsid w:val="0033244E"/>
    <w:rsid w:val="00332AB7"/>
    <w:rsid w:val="00332C34"/>
    <w:rsid w:val="00332EEA"/>
    <w:rsid w:val="003330E8"/>
    <w:rsid w:val="00334AB6"/>
    <w:rsid w:val="00334B05"/>
    <w:rsid w:val="00334B6A"/>
    <w:rsid w:val="003352D3"/>
    <w:rsid w:val="0033617A"/>
    <w:rsid w:val="003362C0"/>
    <w:rsid w:val="003371CD"/>
    <w:rsid w:val="00340359"/>
    <w:rsid w:val="00340998"/>
    <w:rsid w:val="003410C4"/>
    <w:rsid w:val="003419E2"/>
    <w:rsid w:val="00341BA0"/>
    <w:rsid w:val="00343D09"/>
    <w:rsid w:val="0034416E"/>
    <w:rsid w:val="003459F9"/>
    <w:rsid w:val="00346BC3"/>
    <w:rsid w:val="00347090"/>
    <w:rsid w:val="00347A17"/>
    <w:rsid w:val="00347B67"/>
    <w:rsid w:val="00351108"/>
    <w:rsid w:val="00351B4D"/>
    <w:rsid w:val="00351D53"/>
    <w:rsid w:val="00351D6F"/>
    <w:rsid w:val="003524C3"/>
    <w:rsid w:val="0035274C"/>
    <w:rsid w:val="00352D41"/>
    <w:rsid w:val="0035409D"/>
    <w:rsid w:val="00354167"/>
    <w:rsid w:val="003544AB"/>
    <w:rsid w:val="003545A2"/>
    <w:rsid w:val="00354CCA"/>
    <w:rsid w:val="0035576C"/>
    <w:rsid w:val="00355E4B"/>
    <w:rsid w:val="00356460"/>
    <w:rsid w:val="00356E99"/>
    <w:rsid w:val="00356EE3"/>
    <w:rsid w:val="00356FEC"/>
    <w:rsid w:val="0035701D"/>
    <w:rsid w:val="00357749"/>
    <w:rsid w:val="00361AB1"/>
    <w:rsid w:val="00361F41"/>
    <w:rsid w:val="003626D1"/>
    <w:rsid w:val="00362AFD"/>
    <w:rsid w:val="00363718"/>
    <w:rsid w:val="00363A84"/>
    <w:rsid w:val="00364672"/>
    <w:rsid w:val="00364BD2"/>
    <w:rsid w:val="00364D38"/>
    <w:rsid w:val="003657BD"/>
    <w:rsid w:val="00366146"/>
    <w:rsid w:val="003671D7"/>
    <w:rsid w:val="00370C79"/>
    <w:rsid w:val="00370D16"/>
    <w:rsid w:val="00370D19"/>
    <w:rsid w:val="00373C2F"/>
    <w:rsid w:val="00373F78"/>
    <w:rsid w:val="00374ABD"/>
    <w:rsid w:val="003777DE"/>
    <w:rsid w:val="003778A4"/>
    <w:rsid w:val="00380F30"/>
    <w:rsid w:val="00381542"/>
    <w:rsid w:val="00381B94"/>
    <w:rsid w:val="00382052"/>
    <w:rsid w:val="00382637"/>
    <w:rsid w:val="00382704"/>
    <w:rsid w:val="003828D6"/>
    <w:rsid w:val="00382C12"/>
    <w:rsid w:val="00383D1A"/>
    <w:rsid w:val="00383DE1"/>
    <w:rsid w:val="003841FE"/>
    <w:rsid w:val="0038477F"/>
    <w:rsid w:val="00384897"/>
    <w:rsid w:val="00385D6A"/>
    <w:rsid w:val="003865EA"/>
    <w:rsid w:val="003916B7"/>
    <w:rsid w:val="0039193B"/>
    <w:rsid w:val="00391C03"/>
    <w:rsid w:val="00392A39"/>
    <w:rsid w:val="00393CF3"/>
    <w:rsid w:val="00394054"/>
    <w:rsid w:val="00394D0B"/>
    <w:rsid w:val="003950D4"/>
    <w:rsid w:val="00395608"/>
    <w:rsid w:val="00395A7E"/>
    <w:rsid w:val="00396F31"/>
    <w:rsid w:val="003A01B2"/>
    <w:rsid w:val="003A0904"/>
    <w:rsid w:val="003A0BCB"/>
    <w:rsid w:val="003A12E3"/>
    <w:rsid w:val="003A2055"/>
    <w:rsid w:val="003A2261"/>
    <w:rsid w:val="003A255C"/>
    <w:rsid w:val="003A2B61"/>
    <w:rsid w:val="003A2C70"/>
    <w:rsid w:val="003A3C57"/>
    <w:rsid w:val="003A3EB1"/>
    <w:rsid w:val="003A42C0"/>
    <w:rsid w:val="003A4B6C"/>
    <w:rsid w:val="003A4F1E"/>
    <w:rsid w:val="003A516C"/>
    <w:rsid w:val="003A546E"/>
    <w:rsid w:val="003A6672"/>
    <w:rsid w:val="003A6996"/>
    <w:rsid w:val="003A70DC"/>
    <w:rsid w:val="003B05FB"/>
    <w:rsid w:val="003B08E5"/>
    <w:rsid w:val="003B0AFA"/>
    <w:rsid w:val="003B0B82"/>
    <w:rsid w:val="003B0C2E"/>
    <w:rsid w:val="003B1FF4"/>
    <w:rsid w:val="003B2C78"/>
    <w:rsid w:val="003B3318"/>
    <w:rsid w:val="003B38A5"/>
    <w:rsid w:val="003B4045"/>
    <w:rsid w:val="003B4286"/>
    <w:rsid w:val="003B5799"/>
    <w:rsid w:val="003B5F58"/>
    <w:rsid w:val="003B673A"/>
    <w:rsid w:val="003C05B1"/>
    <w:rsid w:val="003C09CF"/>
    <w:rsid w:val="003C0D52"/>
    <w:rsid w:val="003C1A31"/>
    <w:rsid w:val="003C26D2"/>
    <w:rsid w:val="003C2CB5"/>
    <w:rsid w:val="003C2CC8"/>
    <w:rsid w:val="003C2D17"/>
    <w:rsid w:val="003C2E59"/>
    <w:rsid w:val="003C2EF2"/>
    <w:rsid w:val="003C32C6"/>
    <w:rsid w:val="003C3C34"/>
    <w:rsid w:val="003C42C4"/>
    <w:rsid w:val="003C4C5D"/>
    <w:rsid w:val="003C69A2"/>
    <w:rsid w:val="003C7423"/>
    <w:rsid w:val="003C75B5"/>
    <w:rsid w:val="003C7766"/>
    <w:rsid w:val="003C7B8B"/>
    <w:rsid w:val="003D0676"/>
    <w:rsid w:val="003D17A2"/>
    <w:rsid w:val="003D1925"/>
    <w:rsid w:val="003D2740"/>
    <w:rsid w:val="003D2C3D"/>
    <w:rsid w:val="003D2CA9"/>
    <w:rsid w:val="003D3F84"/>
    <w:rsid w:val="003D4920"/>
    <w:rsid w:val="003D5729"/>
    <w:rsid w:val="003D5F05"/>
    <w:rsid w:val="003D5FA9"/>
    <w:rsid w:val="003D6491"/>
    <w:rsid w:val="003D6557"/>
    <w:rsid w:val="003D6CE4"/>
    <w:rsid w:val="003D74D8"/>
    <w:rsid w:val="003D7A61"/>
    <w:rsid w:val="003D7B13"/>
    <w:rsid w:val="003D7C78"/>
    <w:rsid w:val="003E0726"/>
    <w:rsid w:val="003E0740"/>
    <w:rsid w:val="003E1BD9"/>
    <w:rsid w:val="003E2BB0"/>
    <w:rsid w:val="003E2E55"/>
    <w:rsid w:val="003E3EC2"/>
    <w:rsid w:val="003E4268"/>
    <w:rsid w:val="003E45BC"/>
    <w:rsid w:val="003E4D21"/>
    <w:rsid w:val="003E5ABB"/>
    <w:rsid w:val="003E612A"/>
    <w:rsid w:val="003E6181"/>
    <w:rsid w:val="003E6A6A"/>
    <w:rsid w:val="003E6F9D"/>
    <w:rsid w:val="003E7222"/>
    <w:rsid w:val="003F06FE"/>
    <w:rsid w:val="003F0E97"/>
    <w:rsid w:val="003F161A"/>
    <w:rsid w:val="003F1791"/>
    <w:rsid w:val="003F190D"/>
    <w:rsid w:val="003F19BD"/>
    <w:rsid w:val="003F24DC"/>
    <w:rsid w:val="003F24E1"/>
    <w:rsid w:val="003F3692"/>
    <w:rsid w:val="003F38FB"/>
    <w:rsid w:val="003F3B0D"/>
    <w:rsid w:val="003F57F9"/>
    <w:rsid w:val="003F7490"/>
    <w:rsid w:val="003F7E75"/>
    <w:rsid w:val="004002E5"/>
    <w:rsid w:val="004005EF"/>
    <w:rsid w:val="0040130B"/>
    <w:rsid w:val="00401A04"/>
    <w:rsid w:val="00401D18"/>
    <w:rsid w:val="00401D48"/>
    <w:rsid w:val="00401FAB"/>
    <w:rsid w:val="004021FB"/>
    <w:rsid w:val="00402A7B"/>
    <w:rsid w:val="00402C90"/>
    <w:rsid w:val="0040352F"/>
    <w:rsid w:val="004053DD"/>
    <w:rsid w:val="00405AA3"/>
    <w:rsid w:val="00405F51"/>
    <w:rsid w:val="0040705A"/>
    <w:rsid w:val="00410CC2"/>
    <w:rsid w:val="00410E1F"/>
    <w:rsid w:val="00411A26"/>
    <w:rsid w:val="00411DEB"/>
    <w:rsid w:val="004126DE"/>
    <w:rsid w:val="0041280B"/>
    <w:rsid w:val="00412F75"/>
    <w:rsid w:val="00415C69"/>
    <w:rsid w:val="0041621A"/>
    <w:rsid w:val="00417295"/>
    <w:rsid w:val="00417663"/>
    <w:rsid w:val="004178CF"/>
    <w:rsid w:val="00420229"/>
    <w:rsid w:val="004215F8"/>
    <w:rsid w:val="004221B4"/>
    <w:rsid w:val="0042231D"/>
    <w:rsid w:val="004234C3"/>
    <w:rsid w:val="00423C56"/>
    <w:rsid w:val="00423E5B"/>
    <w:rsid w:val="00423E84"/>
    <w:rsid w:val="0042466B"/>
    <w:rsid w:val="004247A4"/>
    <w:rsid w:val="00424A8A"/>
    <w:rsid w:val="004256D6"/>
    <w:rsid w:val="00426C41"/>
    <w:rsid w:val="00427289"/>
    <w:rsid w:val="004303B8"/>
    <w:rsid w:val="004304D5"/>
    <w:rsid w:val="00430C78"/>
    <w:rsid w:val="00430E8C"/>
    <w:rsid w:val="004314BF"/>
    <w:rsid w:val="00432C6F"/>
    <w:rsid w:val="00432EF8"/>
    <w:rsid w:val="00433476"/>
    <w:rsid w:val="00433B88"/>
    <w:rsid w:val="004345E3"/>
    <w:rsid w:val="00434855"/>
    <w:rsid w:val="00435296"/>
    <w:rsid w:val="004358FA"/>
    <w:rsid w:val="00435B3C"/>
    <w:rsid w:val="0043654A"/>
    <w:rsid w:val="00436BC1"/>
    <w:rsid w:val="004371E3"/>
    <w:rsid w:val="004376D9"/>
    <w:rsid w:val="004376FE"/>
    <w:rsid w:val="00437BD3"/>
    <w:rsid w:val="004409F6"/>
    <w:rsid w:val="00441243"/>
    <w:rsid w:val="00441431"/>
    <w:rsid w:val="00441CFC"/>
    <w:rsid w:val="00442492"/>
    <w:rsid w:val="00442804"/>
    <w:rsid w:val="00443654"/>
    <w:rsid w:val="00443AE4"/>
    <w:rsid w:val="004451FC"/>
    <w:rsid w:val="00445E62"/>
    <w:rsid w:val="004461F2"/>
    <w:rsid w:val="004465E3"/>
    <w:rsid w:val="00447478"/>
    <w:rsid w:val="004502EB"/>
    <w:rsid w:val="004508E6"/>
    <w:rsid w:val="004513E2"/>
    <w:rsid w:val="004514AE"/>
    <w:rsid w:val="00451C8A"/>
    <w:rsid w:val="00452352"/>
    <w:rsid w:val="00452EE3"/>
    <w:rsid w:val="00454A66"/>
    <w:rsid w:val="00454B04"/>
    <w:rsid w:val="00454CF7"/>
    <w:rsid w:val="00454F4E"/>
    <w:rsid w:val="00455162"/>
    <w:rsid w:val="00455278"/>
    <w:rsid w:val="004552EB"/>
    <w:rsid w:val="0045652D"/>
    <w:rsid w:val="00457FF4"/>
    <w:rsid w:val="0046012D"/>
    <w:rsid w:val="004612E9"/>
    <w:rsid w:val="004621B7"/>
    <w:rsid w:val="00462DB7"/>
    <w:rsid w:val="00463A80"/>
    <w:rsid w:val="00463E78"/>
    <w:rsid w:val="004640B7"/>
    <w:rsid w:val="00464D84"/>
    <w:rsid w:val="00466740"/>
    <w:rsid w:val="00466AF3"/>
    <w:rsid w:val="00472A9A"/>
    <w:rsid w:val="00472D4C"/>
    <w:rsid w:val="00473FDE"/>
    <w:rsid w:val="00474A0B"/>
    <w:rsid w:val="00475EC3"/>
    <w:rsid w:val="00476BBA"/>
    <w:rsid w:val="004777B3"/>
    <w:rsid w:val="00480CF4"/>
    <w:rsid w:val="004812E1"/>
    <w:rsid w:val="0048383F"/>
    <w:rsid w:val="00486BDD"/>
    <w:rsid w:val="00487038"/>
    <w:rsid w:val="0048721E"/>
    <w:rsid w:val="00487F63"/>
    <w:rsid w:val="00490614"/>
    <w:rsid w:val="00490EA5"/>
    <w:rsid w:val="004910B1"/>
    <w:rsid w:val="004910F7"/>
    <w:rsid w:val="00491EB8"/>
    <w:rsid w:val="00492562"/>
    <w:rsid w:val="00493067"/>
    <w:rsid w:val="0049393E"/>
    <w:rsid w:val="00493D27"/>
    <w:rsid w:val="00493EE0"/>
    <w:rsid w:val="004942F5"/>
    <w:rsid w:val="004949BC"/>
    <w:rsid w:val="00494A20"/>
    <w:rsid w:val="00494AA4"/>
    <w:rsid w:val="004967A9"/>
    <w:rsid w:val="00496D0D"/>
    <w:rsid w:val="00497298"/>
    <w:rsid w:val="00497361"/>
    <w:rsid w:val="00497B2A"/>
    <w:rsid w:val="004A0C33"/>
    <w:rsid w:val="004A36AD"/>
    <w:rsid w:val="004A3A12"/>
    <w:rsid w:val="004A40DE"/>
    <w:rsid w:val="004A561F"/>
    <w:rsid w:val="004A66F3"/>
    <w:rsid w:val="004A6CF9"/>
    <w:rsid w:val="004A6F82"/>
    <w:rsid w:val="004B007C"/>
    <w:rsid w:val="004B00A6"/>
    <w:rsid w:val="004B046E"/>
    <w:rsid w:val="004B087C"/>
    <w:rsid w:val="004B09EB"/>
    <w:rsid w:val="004B1214"/>
    <w:rsid w:val="004B374B"/>
    <w:rsid w:val="004B4A7C"/>
    <w:rsid w:val="004B4AA1"/>
    <w:rsid w:val="004B526A"/>
    <w:rsid w:val="004B54FB"/>
    <w:rsid w:val="004B5ACF"/>
    <w:rsid w:val="004B60AF"/>
    <w:rsid w:val="004B7100"/>
    <w:rsid w:val="004B71E3"/>
    <w:rsid w:val="004B7479"/>
    <w:rsid w:val="004B7ADA"/>
    <w:rsid w:val="004C0B72"/>
    <w:rsid w:val="004C0C4D"/>
    <w:rsid w:val="004C2267"/>
    <w:rsid w:val="004C2E2F"/>
    <w:rsid w:val="004C3285"/>
    <w:rsid w:val="004C3B2F"/>
    <w:rsid w:val="004C44E1"/>
    <w:rsid w:val="004C4552"/>
    <w:rsid w:val="004C47CB"/>
    <w:rsid w:val="004C4ABC"/>
    <w:rsid w:val="004C5159"/>
    <w:rsid w:val="004C595C"/>
    <w:rsid w:val="004C5DA0"/>
    <w:rsid w:val="004C63F2"/>
    <w:rsid w:val="004C694F"/>
    <w:rsid w:val="004C6BBE"/>
    <w:rsid w:val="004C6CAD"/>
    <w:rsid w:val="004C7D3D"/>
    <w:rsid w:val="004C7F93"/>
    <w:rsid w:val="004D1413"/>
    <w:rsid w:val="004D1E13"/>
    <w:rsid w:val="004D2347"/>
    <w:rsid w:val="004D2D87"/>
    <w:rsid w:val="004D35DA"/>
    <w:rsid w:val="004D46B2"/>
    <w:rsid w:val="004D665C"/>
    <w:rsid w:val="004D6ADC"/>
    <w:rsid w:val="004D75BC"/>
    <w:rsid w:val="004D75ED"/>
    <w:rsid w:val="004D771E"/>
    <w:rsid w:val="004E0074"/>
    <w:rsid w:val="004E007F"/>
    <w:rsid w:val="004E0F7F"/>
    <w:rsid w:val="004E1692"/>
    <w:rsid w:val="004E1D95"/>
    <w:rsid w:val="004E236F"/>
    <w:rsid w:val="004E2A5D"/>
    <w:rsid w:val="004E4C80"/>
    <w:rsid w:val="004E4CF5"/>
    <w:rsid w:val="004E4EBC"/>
    <w:rsid w:val="004E579B"/>
    <w:rsid w:val="004E636B"/>
    <w:rsid w:val="004E6902"/>
    <w:rsid w:val="004E6913"/>
    <w:rsid w:val="004E73A5"/>
    <w:rsid w:val="004E7439"/>
    <w:rsid w:val="004F02CB"/>
    <w:rsid w:val="004F0926"/>
    <w:rsid w:val="004F0B4C"/>
    <w:rsid w:val="004F1187"/>
    <w:rsid w:val="004F140B"/>
    <w:rsid w:val="004F2018"/>
    <w:rsid w:val="004F2C08"/>
    <w:rsid w:val="004F3AE2"/>
    <w:rsid w:val="004F41BA"/>
    <w:rsid w:val="004F4D06"/>
    <w:rsid w:val="004F5104"/>
    <w:rsid w:val="004F511B"/>
    <w:rsid w:val="004F6097"/>
    <w:rsid w:val="004F63C9"/>
    <w:rsid w:val="004F710D"/>
    <w:rsid w:val="004F725A"/>
    <w:rsid w:val="004F7C73"/>
    <w:rsid w:val="0050046B"/>
    <w:rsid w:val="0050056B"/>
    <w:rsid w:val="005008B3"/>
    <w:rsid w:val="00501A93"/>
    <w:rsid w:val="00501DF7"/>
    <w:rsid w:val="005044BE"/>
    <w:rsid w:val="005047D1"/>
    <w:rsid w:val="00504A05"/>
    <w:rsid w:val="00504A18"/>
    <w:rsid w:val="00504F4D"/>
    <w:rsid w:val="00505CD9"/>
    <w:rsid w:val="00506BE4"/>
    <w:rsid w:val="0050726F"/>
    <w:rsid w:val="00507F6D"/>
    <w:rsid w:val="005109DE"/>
    <w:rsid w:val="00511862"/>
    <w:rsid w:val="00511AC5"/>
    <w:rsid w:val="00511AFB"/>
    <w:rsid w:val="00511F86"/>
    <w:rsid w:val="0051249D"/>
    <w:rsid w:val="005126A3"/>
    <w:rsid w:val="00513090"/>
    <w:rsid w:val="0051318E"/>
    <w:rsid w:val="005137E2"/>
    <w:rsid w:val="005139B6"/>
    <w:rsid w:val="005150C5"/>
    <w:rsid w:val="005159AE"/>
    <w:rsid w:val="005168A2"/>
    <w:rsid w:val="00517A83"/>
    <w:rsid w:val="00517ADB"/>
    <w:rsid w:val="00520926"/>
    <w:rsid w:val="00520E84"/>
    <w:rsid w:val="00520EBF"/>
    <w:rsid w:val="005211C2"/>
    <w:rsid w:val="00521400"/>
    <w:rsid w:val="005233BB"/>
    <w:rsid w:val="0052459D"/>
    <w:rsid w:val="00525DBD"/>
    <w:rsid w:val="00526A05"/>
    <w:rsid w:val="00526A3F"/>
    <w:rsid w:val="00526D25"/>
    <w:rsid w:val="00526E6A"/>
    <w:rsid w:val="00527011"/>
    <w:rsid w:val="00527C98"/>
    <w:rsid w:val="00527E37"/>
    <w:rsid w:val="00530652"/>
    <w:rsid w:val="005314AB"/>
    <w:rsid w:val="005318FF"/>
    <w:rsid w:val="0053231C"/>
    <w:rsid w:val="00532DCA"/>
    <w:rsid w:val="005336DC"/>
    <w:rsid w:val="005344E7"/>
    <w:rsid w:val="00534A7E"/>
    <w:rsid w:val="005352E7"/>
    <w:rsid w:val="00536015"/>
    <w:rsid w:val="0053645B"/>
    <w:rsid w:val="005365FE"/>
    <w:rsid w:val="005370BF"/>
    <w:rsid w:val="005375B0"/>
    <w:rsid w:val="005376D2"/>
    <w:rsid w:val="0054103B"/>
    <w:rsid w:val="0054151B"/>
    <w:rsid w:val="00541EEC"/>
    <w:rsid w:val="00542CE7"/>
    <w:rsid w:val="005434C1"/>
    <w:rsid w:val="005434CB"/>
    <w:rsid w:val="005456AC"/>
    <w:rsid w:val="005456B0"/>
    <w:rsid w:val="00545F82"/>
    <w:rsid w:val="00546429"/>
    <w:rsid w:val="005472F0"/>
    <w:rsid w:val="0054767C"/>
    <w:rsid w:val="005503FE"/>
    <w:rsid w:val="00550E7B"/>
    <w:rsid w:val="00551144"/>
    <w:rsid w:val="00552328"/>
    <w:rsid w:val="00552A08"/>
    <w:rsid w:val="005539D7"/>
    <w:rsid w:val="00554FB7"/>
    <w:rsid w:val="00555D28"/>
    <w:rsid w:val="00556B8A"/>
    <w:rsid w:val="00556F2D"/>
    <w:rsid w:val="00556FE9"/>
    <w:rsid w:val="0055756D"/>
    <w:rsid w:val="005577B6"/>
    <w:rsid w:val="0056072F"/>
    <w:rsid w:val="00561091"/>
    <w:rsid w:val="005612B0"/>
    <w:rsid w:val="00562216"/>
    <w:rsid w:val="00562E67"/>
    <w:rsid w:val="00562F65"/>
    <w:rsid w:val="00563666"/>
    <w:rsid w:val="00564365"/>
    <w:rsid w:val="00565ACE"/>
    <w:rsid w:val="00565E2E"/>
    <w:rsid w:val="005663E4"/>
    <w:rsid w:val="00566D87"/>
    <w:rsid w:val="00566DB6"/>
    <w:rsid w:val="00566E9D"/>
    <w:rsid w:val="00570DC8"/>
    <w:rsid w:val="005720F8"/>
    <w:rsid w:val="005725E5"/>
    <w:rsid w:val="00572ABA"/>
    <w:rsid w:val="00572B02"/>
    <w:rsid w:val="00573330"/>
    <w:rsid w:val="0057342F"/>
    <w:rsid w:val="005739E6"/>
    <w:rsid w:val="00573BC0"/>
    <w:rsid w:val="00574C4D"/>
    <w:rsid w:val="00575C5D"/>
    <w:rsid w:val="00576A5D"/>
    <w:rsid w:val="00576D52"/>
    <w:rsid w:val="0057726B"/>
    <w:rsid w:val="00577415"/>
    <w:rsid w:val="00580D77"/>
    <w:rsid w:val="005818BE"/>
    <w:rsid w:val="0058452F"/>
    <w:rsid w:val="00585152"/>
    <w:rsid w:val="00585E74"/>
    <w:rsid w:val="005860B8"/>
    <w:rsid w:val="00586BB6"/>
    <w:rsid w:val="00586EAC"/>
    <w:rsid w:val="005877A6"/>
    <w:rsid w:val="00587940"/>
    <w:rsid w:val="005879BD"/>
    <w:rsid w:val="0059042C"/>
    <w:rsid w:val="00590688"/>
    <w:rsid w:val="0059161B"/>
    <w:rsid w:val="00592342"/>
    <w:rsid w:val="00592686"/>
    <w:rsid w:val="005931BC"/>
    <w:rsid w:val="00593AB5"/>
    <w:rsid w:val="005966A2"/>
    <w:rsid w:val="00596ADA"/>
    <w:rsid w:val="00597695"/>
    <w:rsid w:val="00597C90"/>
    <w:rsid w:val="00597F14"/>
    <w:rsid w:val="005A08EF"/>
    <w:rsid w:val="005A1718"/>
    <w:rsid w:val="005A2191"/>
    <w:rsid w:val="005A2AB3"/>
    <w:rsid w:val="005A3234"/>
    <w:rsid w:val="005A3401"/>
    <w:rsid w:val="005A4821"/>
    <w:rsid w:val="005A506D"/>
    <w:rsid w:val="005A50E4"/>
    <w:rsid w:val="005A57C7"/>
    <w:rsid w:val="005A5F66"/>
    <w:rsid w:val="005A7FDD"/>
    <w:rsid w:val="005B0B12"/>
    <w:rsid w:val="005B2E3E"/>
    <w:rsid w:val="005B2F3E"/>
    <w:rsid w:val="005B3751"/>
    <w:rsid w:val="005B3E8A"/>
    <w:rsid w:val="005B4DD1"/>
    <w:rsid w:val="005B4F3E"/>
    <w:rsid w:val="005B5775"/>
    <w:rsid w:val="005B5CD4"/>
    <w:rsid w:val="005B7513"/>
    <w:rsid w:val="005C0412"/>
    <w:rsid w:val="005C063D"/>
    <w:rsid w:val="005C08C7"/>
    <w:rsid w:val="005C0C2A"/>
    <w:rsid w:val="005C1E74"/>
    <w:rsid w:val="005C1F90"/>
    <w:rsid w:val="005C3662"/>
    <w:rsid w:val="005C3C69"/>
    <w:rsid w:val="005C3CE6"/>
    <w:rsid w:val="005C4175"/>
    <w:rsid w:val="005C4492"/>
    <w:rsid w:val="005C48B6"/>
    <w:rsid w:val="005C4B58"/>
    <w:rsid w:val="005C4B96"/>
    <w:rsid w:val="005C4C42"/>
    <w:rsid w:val="005C5042"/>
    <w:rsid w:val="005C6A18"/>
    <w:rsid w:val="005C6AB7"/>
    <w:rsid w:val="005C7038"/>
    <w:rsid w:val="005C721B"/>
    <w:rsid w:val="005D0602"/>
    <w:rsid w:val="005D0FA7"/>
    <w:rsid w:val="005D2714"/>
    <w:rsid w:val="005D2EEE"/>
    <w:rsid w:val="005D317E"/>
    <w:rsid w:val="005D32E5"/>
    <w:rsid w:val="005D3358"/>
    <w:rsid w:val="005D3400"/>
    <w:rsid w:val="005D3C0D"/>
    <w:rsid w:val="005D5AF5"/>
    <w:rsid w:val="005D6880"/>
    <w:rsid w:val="005D68CC"/>
    <w:rsid w:val="005D732C"/>
    <w:rsid w:val="005D7421"/>
    <w:rsid w:val="005D7782"/>
    <w:rsid w:val="005E0DA5"/>
    <w:rsid w:val="005E13CA"/>
    <w:rsid w:val="005E28F9"/>
    <w:rsid w:val="005E2F1D"/>
    <w:rsid w:val="005E413B"/>
    <w:rsid w:val="005E5737"/>
    <w:rsid w:val="005E58FA"/>
    <w:rsid w:val="005E5F14"/>
    <w:rsid w:val="005E6242"/>
    <w:rsid w:val="005E6565"/>
    <w:rsid w:val="005E6A0E"/>
    <w:rsid w:val="005E7913"/>
    <w:rsid w:val="005F0745"/>
    <w:rsid w:val="005F0C9A"/>
    <w:rsid w:val="005F3237"/>
    <w:rsid w:val="005F4036"/>
    <w:rsid w:val="005F458D"/>
    <w:rsid w:val="005F50C4"/>
    <w:rsid w:val="005F512F"/>
    <w:rsid w:val="005F5214"/>
    <w:rsid w:val="005F54E9"/>
    <w:rsid w:val="005F5815"/>
    <w:rsid w:val="005F5B59"/>
    <w:rsid w:val="005F5B5A"/>
    <w:rsid w:val="005F5DC5"/>
    <w:rsid w:val="005F737B"/>
    <w:rsid w:val="005F7E26"/>
    <w:rsid w:val="006005E6"/>
    <w:rsid w:val="00601C25"/>
    <w:rsid w:val="00602374"/>
    <w:rsid w:val="0060357B"/>
    <w:rsid w:val="00603C8C"/>
    <w:rsid w:val="00604853"/>
    <w:rsid w:val="00604CFB"/>
    <w:rsid w:val="00605613"/>
    <w:rsid w:val="00605D20"/>
    <w:rsid w:val="00607398"/>
    <w:rsid w:val="00610703"/>
    <w:rsid w:val="00610BD6"/>
    <w:rsid w:val="006114FD"/>
    <w:rsid w:val="00611576"/>
    <w:rsid w:val="00611A42"/>
    <w:rsid w:val="00611C1A"/>
    <w:rsid w:val="00612E53"/>
    <w:rsid w:val="00612E75"/>
    <w:rsid w:val="006130C3"/>
    <w:rsid w:val="00613B15"/>
    <w:rsid w:val="00613DA5"/>
    <w:rsid w:val="0061466E"/>
    <w:rsid w:val="0061480D"/>
    <w:rsid w:val="00615610"/>
    <w:rsid w:val="00615A33"/>
    <w:rsid w:val="00617E0D"/>
    <w:rsid w:val="0062010D"/>
    <w:rsid w:val="0062175D"/>
    <w:rsid w:val="00621988"/>
    <w:rsid w:val="00621BEB"/>
    <w:rsid w:val="00622B09"/>
    <w:rsid w:val="00622E77"/>
    <w:rsid w:val="00623040"/>
    <w:rsid w:val="0062369A"/>
    <w:rsid w:val="00623A57"/>
    <w:rsid w:val="00623A6D"/>
    <w:rsid w:val="006240B5"/>
    <w:rsid w:val="00624A98"/>
    <w:rsid w:val="00625272"/>
    <w:rsid w:val="0062560D"/>
    <w:rsid w:val="0062569D"/>
    <w:rsid w:val="00626BA4"/>
    <w:rsid w:val="00626BB0"/>
    <w:rsid w:val="00626CF4"/>
    <w:rsid w:val="00627267"/>
    <w:rsid w:val="0062728C"/>
    <w:rsid w:val="00627786"/>
    <w:rsid w:val="00630A3A"/>
    <w:rsid w:val="00631780"/>
    <w:rsid w:val="00631920"/>
    <w:rsid w:val="006325BD"/>
    <w:rsid w:val="00632BDD"/>
    <w:rsid w:val="006331F6"/>
    <w:rsid w:val="0063360F"/>
    <w:rsid w:val="0063396A"/>
    <w:rsid w:val="00634559"/>
    <w:rsid w:val="00634719"/>
    <w:rsid w:val="00634D4E"/>
    <w:rsid w:val="00635770"/>
    <w:rsid w:val="00636794"/>
    <w:rsid w:val="006369C6"/>
    <w:rsid w:val="00637989"/>
    <w:rsid w:val="00637D71"/>
    <w:rsid w:val="0064023A"/>
    <w:rsid w:val="006417D7"/>
    <w:rsid w:val="006423FF"/>
    <w:rsid w:val="006427C5"/>
    <w:rsid w:val="00643065"/>
    <w:rsid w:val="00643F0D"/>
    <w:rsid w:val="006441C0"/>
    <w:rsid w:val="006445F9"/>
    <w:rsid w:val="006448EA"/>
    <w:rsid w:val="006474E8"/>
    <w:rsid w:val="00647E92"/>
    <w:rsid w:val="006507CB"/>
    <w:rsid w:val="00650B16"/>
    <w:rsid w:val="00650FB9"/>
    <w:rsid w:val="006516E1"/>
    <w:rsid w:val="006524CD"/>
    <w:rsid w:val="0065275F"/>
    <w:rsid w:val="00652AB6"/>
    <w:rsid w:val="00652BEE"/>
    <w:rsid w:val="00653548"/>
    <w:rsid w:val="00653D6B"/>
    <w:rsid w:val="00654EE4"/>
    <w:rsid w:val="00655408"/>
    <w:rsid w:val="0065610D"/>
    <w:rsid w:val="00656187"/>
    <w:rsid w:val="006576B1"/>
    <w:rsid w:val="00657838"/>
    <w:rsid w:val="00657D43"/>
    <w:rsid w:val="0066026D"/>
    <w:rsid w:val="006603F7"/>
    <w:rsid w:val="00660ACE"/>
    <w:rsid w:val="00660E65"/>
    <w:rsid w:val="00660F20"/>
    <w:rsid w:val="0066180F"/>
    <w:rsid w:val="00662A56"/>
    <w:rsid w:val="00663243"/>
    <w:rsid w:val="00663BE6"/>
    <w:rsid w:val="00664158"/>
    <w:rsid w:val="0066459B"/>
    <w:rsid w:val="00664A28"/>
    <w:rsid w:val="00666AB9"/>
    <w:rsid w:val="00667886"/>
    <w:rsid w:val="006703A3"/>
    <w:rsid w:val="006728A1"/>
    <w:rsid w:val="00672EA3"/>
    <w:rsid w:val="00672EE8"/>
    <w:rsid w:val="00674625"/>
    <w:rsid w:val="00674C20"/>
    <w:rsid w:val="00675094"/>
    <w:rsid w:val="00675245"/>
    <w:rsid w:val="00675A00"/>
    <w:rsid w:val="00675E7A"/>
    <w:rsid w:val="0067608D"/>
    <w:rsid w:val="00676200"/>
    <w:rsid w:val="0067627E"/>
    <w:rsid w:val="00676CB2"/>
    <w:rsid w:val="00680999"/>
    <w:rsid w:val="00680AB9"/>
    <w:rsid w:val="00680E16"/>
    <w:rsid w:val="006810D4"/>
    <w:rsid w:val="0068114D"/>
    <w:rsid w:val="00681460"/>
    <w:rsid w:val="00681A82"/>
    <w:rsid w:val="006821BA"/>
    <w:rsid w:val="0068260A"/>
    <w:rsid w:val="006840E3"/>
    <w:rsid w:val="00684549"/>
    <w:rsid w:val="00684F47"/>
    <w:rsid w:val="006853B4"/>
    <w:rsid w:val="00685B50"/>
    <w:rsid w:val="006871EC"/>
    <w:rsid w:val="00687F4D"/>
    <w:rsid w:val="00690059"/>
    <w:rsid w:val="006903E5"/>
    <w:rsid w:val="006913E7"/>
    <w:rsid w:val="00691507"/>
    <w:rsid w:val="00692682"/>
    <w:rsid w:val="00693200"/>
    <w:rsid w:val="006938A8"/>
    <w:rsid w:val="006940F8"/>
    <w:rsid w:val="006945F3"/>
    <w:rsid w:val="0069511E"/>
    <w:rsid w:val="0069622D"/>
    <w:rsid w:val="006964B8"/>
    <w:rsid w:val="0069693B"/>
    <w:rsid w:val="006A00BC"/>
    <w:rsid w:val="006A05DC"/>
    <w:rsid w:val="006A0BFE"/>
    <w:rsid w:val="006A0E6C"/>
    <w:rsid w:val="006A153F"/>
    <w:rsid w:val="006A1922"/>
    <w:rsid w:val="006A41F6"/>
    <w:rsid w:val="006A4DAB"/>
    <w:rsid w:val="006A5399"/>
    <w:rsid w:val="006A5A5B"/>
    <w:rsid w:val="006A6104"/>
    <w:rsid w:val="006A66E4"/>
    <w:rsid w:val="006A6BFC"/>
    <w:rsid w:val="006A7FDA"/>
    <w:rsid w:val="006B04FC"/>
    <w:rsid w:val="006B07FF"/>
    <w:rsid w:val="006B0CC6"/>
    <w:rsid w:val="006B14EB"/>
    <w:rsid w:val="006B1C88"/>
    <w:rsid w:val="006B27D8"/>
    <w:rsid w:val="006B2B6B"/>
    <w:rsid w:val="006B3EF4"/>
    <w:rsid w:val="006B420E"/>
    <w:rsid w:val="006B5672"/>
    <w:rsid w:val="006B5D50"/>
    <w:rsid w:val="006B732C"/>
    <w:rsid w:val="006B742C"/>
    <w:rsid w:val="006C06F8"/>
    <w:rsid w:val="006C0CB2"/>
    <w:rsid w:val="006C0D1E"/>
    <w:rsid w:val="006C209D"/>
    <w:rsid w:val="006C27EA"/>
    <w:rsid w:val="006C2960"/>
    <w:rsid w:val="006C2AE1"/>
    <w:rsid w:val="006C42F8"/>
    <w:rsid w:val="006C47A0"/>
    <w:rsid w:val="006C568B"/>
    <w:rsid w:val="006C572F"/>
    <w:rsid w:val="006C5D6F"/>
    <w:rsid w:val="006C63AF"/>
    <w:rsid w:val="006C7321"/>
    <w:rsid w:val="006C734D"/>
    <w:rsid w:val="006C781A"/>
    <w:rsid w:val="006C7C1B"/>
    <w:rsid w:val="006C7CF8"/>
    <w:rsid w:val="006D071A"/>
    <w:rsid w:val="006D1174"/>
    <w:rsid w:val="006D158D"/>
    <w:rsid w:val="006D1F50"/>
    <w:rsid w:val="006D262A"/>
    <w:rsid w:val="006D2800"/>
    <w:rsid w:val="006D3931"/>
    <w:rsid w:val="006D3D2D"/>
    <w:rsid w:val="006D4955"/>
    <w:rsid w:val="006D5B03"/>
    <w:rsid w:val="006D664E"/>
    <w:rsid w:val="006D69D7"/>
    <w:rsid w:val="006D7B3A"/>
    <w:rsid w:val="006E01AA"/>
    <w:rsid w:val="006E0CEC"/>
    <w:rsid w:val="006E1424"/>
    <w:rsid w:val="006E1F1B"/>
    <w:rsid w:val="006E283F"/>
    <w:rsid w:val="006E2EC3"/>
    <w:rsid w:val="006E342F"/>
    <w:rsid w:val="006E3A23"/>
    <w:rsid w:val="006E4135"/>
    <w:rsid w:val="006E4C37"/>
    <w:rsid w:val="006E6986"/>
    <w:rsid w:val="006E6D18"/>
    <w:rsid w:val="006E7A00"/>
    <w:rsid w:val="006E7F22"/>
    <w:rsid w:val="006F001B"/>
    <w:rsid w:val="006F0419"/>
    <w:rsid w:val="006F0C48"/>
    <w:rsid w:val="006F0E31"/>
    <w:rsid w:val="006F1BEF"/>
    <w:rsid w:val="006F4320"/>
    <w:rsid w:val="006F5BE9"/>
    <w:rsid w:val="006F61D6"/>
    <w:rsid w:val="006F6E31"/>
    <w:rsid w:val="006F6EF3"/>
    <w:rsid w:val="006F735D"/>
    <w:rsid w:val="006F7C69"/>
    <w:rsid w:val="006F7F26"/>
    <w:rsid w:val="0070020A"/>
    <w:rsid w:val="0070021E"/>
    <w:rsid w:val="00700308"/>
    <w:rsid w:val="0070093B"/>
    <w:rsid w:val="00700B27"/>
    <w:rsid w:val="00701294"/>
    <w:rsid w:val="007012BA"/>
    <w:rsid w:val="00702E0B"/>
    <w:rsid w:val="007035DE"/>
    <w:rsid w:val="00703AF1"/>
    <w:rsid w:val="00703E0D"/>
    <w:rsid w:val="00704BE5"/>
    <w:rsid w:val="00705B4E"/>
    <w:rsid w:val="007066AA"/>
    <w:rsid w:val="00706765"/>
    <w:rsid w:val="00706EE3"/>
    <w:rsid w:val="00707354"/>
    <w:rsid w:val="00707BEF"/>
    <w:rsid w:val="007105DC"/>
    <w:rsid w:val="00710DDD"/>
    <w:rsid w:val="00710E9A"/>
    <w:rsid w:val="00711682"/>
    <w:rsid w:val="00712527"/>
    <w:rsid w:val="00712F42"/>
    <w:rsid w:val="00712F98"/>
    <w:rsid w:val="007133DA"/>
    <w:rsid w:val="007145A8"/>
    <w:rsid w:val="0071492B"/>
    <w:rsid w:val="007152A0"/>
    <w:rsid w:val="007156DF"/>
    <w:rsid w:val="00715946"/>
    <w:rsid w:val="007168A2"/>
    <w:rsid w:val="00716DE9"/>
    <w:rsid w:val="0071765E"/>
    <w:rsid w:val="0071794E"/>
    <w:rsid w:val="00717EEB"/>
    <w:rsid w:val="00720060"/>
    <w:rsid w:val="0072070E"/>
    <w:rsid w:val="00720C02"/>
    <w:rsid w:val="00720FC0"/>
    <w:rsid w:val="0072103C"/>
    <w:rsid w:val="00721209"/>
    <w:rsid w:val="00721430"/>
    <w:rsid w:val="00722656"/>
    <w:rsid w:val="00722FFE"/>
    <w:rsid w:val="00723060"/>
    <w:rsid w:val="00723C9E"/>
    <w:rsid w:val="007243AB"/>
    <w:rsid w:val="00724BE2"/>
    <w:rsid w:val="00724D1A"/>
    <w:rsid w:val="0072523A"/>
    <w:rsid w:val="007259C9"/>
    <w:rsid w:val="00726AC4"/>
    <w:rsid w:val="00726FC4"/>
    <w:rsid w:val="007272C2"/>
    <w:rsid w:val="0072756B"/>
    <w:rsid w:val="00727915"/>
    <w:rsid w:val="00730828"/>
    <w:rsid w:val="00730CD5"/>
    <w:rsid w:val="00730E61"/>
    <w:rsid w:val="00731C27"/>
    <w:rsid w:val="00733953"/>
    <w:rsid w:val="00733E05"/>
    <w:rsid w:val="0073401C"/>
    <w:rsid w:val="007342B4"/>
    <w:rsid w:val="0073504D"/>
    <w:rsid w:val="007360C1"/>
    <w:rsid w:val="00736439"/>
    <w:rsid w:val="007378C0"/>
    <w:rsid w:val="0073791E"/>
    <w:rsid w:val="007405F0"/>
    <w:rsid w:val="00740730"/>
    <w:rsid w:val="00741065"/>
    <w:rsid w:val="00741E50"/>
    <w:rsid w:val="0074211C"/>
    <w:rsid w:val="00742742"/>
    <w:rsid w:val="00743DCC"/>
    <w:rsid w:val="00745681"/>
    <w:rsid w:val="00746270"/>
    <w:rsid w:val="00746546"/>
    <w:rsid w:val="0074670F"/>
    <w:rsid w:val="00746CE4"/>
    <w:rsid w:val="00747315"/>
    <w:rsid w:val="0074793A"/>
    <w:rsid w:val="007500AD"/>
    <w:rsid w:val="0075106A"/>
    <w:rsid w:val="00751BD6"/>
    <w:rsid w:val="00751C04"/>
    <w:rsid w:val="00751C6C"/>
    <w:rsid w:val="00751E7B"/>
    <w:rsid w:val="00753092"/>
    <w:rsid w:val="00754256"/>
    <w:rsid w:val="00754770"/>
    <w:rsid w:val="00754963"/>
    <w:rsid w:val="0075523B"/>
    <w:rsid w:val="0075531B"/>
    <w:rsid w:val="00755360"/>
    <w:rsid w:val="00755915"/>
    <w:rsid w:val="00755CD2"/>
    <w:rsid w:val="00755FFC"/>
    <w:rsid w:val="00756327"/>
    <w:rsid w:val="00756818"/>
    <w:rsid w:val="00757B00"/>
    <w:rsid w:val="00757D26"/>
    <w:rsid w:val="00757E18"/>
    <w:rsid w:val="00761166"/>
    <w:rsid w:val="0076168F"/>
    <w:rsid w:val="007620E5"/>
    <w:rsid w:val="00762601"/>
    <w:rsid w:val="00762907"/>
    <w:rsid w:val="00762A21"/>
    <w:rsid w:val="007639BD"/>
    <w:rsid w:val="00763D10"/>
    <w:rsid w:val="00763D58"/>
    <w:rsid w:val="00763E58"/>
    <w:rsid w:val="00764233"/>
    <w:rsid w:val="007650D0"/>
    <w:rsid w:val="00765660"/>
    <w:rsid w:val="007659D7"/>
    <w:rsid w:val="00765B62"/>
    <w:rsid w:val="00765E79"/>
    <w:rsid w:val="0076645D"/>
    <w:rsid w:val="00766950"/>
    <w:rsid w:val="00766E60"/>
    <w:rsid w:val="00767BE7"/>
    <w:rsid w:val="00767C91"/>
    <w:rsid w:val="00767EF1"/>
    <w:rsid w:val="0077007E"/>
    <w:rsid w:val="00770B3A"/>
    <w:rsid w:val="00770C4D"/>
    <w:rsid w:val="0077153C"/>
    <w:rsid w:val="007718BF"/>
    <w:rsid w:val="0077199F"/>
    <w:rsid w:val="0077282B"/>
    <w:rsid w:val="00773911"/>
    <w:rsid w:val="00773E4E"/>
    <w:rsid w:val="00774A7F"/>
    <w:rsid w:val="00774A81"/>
    <w:rsid w:val="00774EEE"/>
    <w:rsid w:val="00775A2A"/>
    <w:rsid w:val="00776CB9"/>
    <w:rsid w:val="0078195D"/>
    <w:rsid w:val="00781F10"/>
    <w:rsid w:val="00782A59"/>
    <w:rsid w:val="00782A82"/>
    <w:rsid w:val="00782B4B"/>
    <w:rsid w:val="00784137"/>
    <w:rsid w:val="00784B67"/>
    <w:rsid w:val="0078541C"/>
    <w:rsid w:val="00785727"/>
    <w:rsid w:val="007870EA"/>
    <w:rsid w:val="0078760D"/>
    <w:rsid w:val="00787780"/>
    <w:rsid w:val="00790C84"/>
    <w:rsid w:val="00790D8C"/>
    <w:rsid w:val="00791CFB"/>
    <w:rsid w:val="007929DD"/>
    <w:rsid w:val="00792E01"/>
    <w:rsid w:val="007930A9"/>
    <w:rsid w:val="00794D96"/>
    <w:rsid w:val="007961A1"/>
    <w:rsid w:val="00796553"/>
    <w:rsid w:val="007970A4"/>
    <w:rsid w:val="00797403"/>
    <w:rsid w:val="007A0800"/>
    <w:rsid w:val="007A11B3"/>
    <w:rsid w:val="007A156A"/>
    <w:rsid w:val="007A1ABD"/>
    <w:rsid w:val="007A2766"/>
    <w:rsid w:val="007A3978"/>
    <w:rsid w:val="007A4329"/>
    <w:rsid w:val="007A47F7"/>
    <w:rsid w:val="007A4C9D"/>
    <w:rsid w:val="007A4D8F"/>
    <w:rsid w:val="007A4F24"/>
    <w:rsid w:val="007A4FC3"/>
    <w:rsid w:val="007A4FFC"/>
    <w:rsid w:val="007A5024"/>
    <w:rsid w:val="007A5092"/>
    <w:rsid w:val="007A50D9"/>
    <w:rsid w:val="007A6792"/>
    <w:rsid w:val="007B0104"/>
    <w:rsid w:val="007B0CF9"/>
    <w:rsid w:val="007B10BF"/>
    <w:rsid w:val="007B1145"/>
    <w:rsid w:val="007B2BAE"/>
    <w:rsid w:val="007B35AB"/>
    <w:rsid w:val="007B4D81"/>
    <w:rsid w:val="007B5020"/>
    <w:rsid w:val="007B56A6"/>
    <w:rsid w:val="007B587B"/>
    <w:rsid w:val="007B5B5A"/>
    <w:rsid w:val="007B6B79"/>
    <w:rsid w:val="007B6CC0"/>
    <w:rsid w:val="007B6E82"/>
    <w:rsid w:val="007C0BA1"/>
    <w:rsid w:val="007C226D"/>
    <w:rsid w:val="007C275C"/>
    <w:rsid w:val="007C2A24"/>
    <w:rsid w:val="007C3C1F"/>
    <w:rsid w:val="007C42E0"/>
    <w:rsid w:val="007C4346"/>
    <w:rsid w:val="007C4C34"/>
    <w:rsid w:val="007C5068"/>
    <w:rsid w:val="007C544E"/>
    <w:rsid w:val="007C62F3"/>
    <w:rsid w:val="007C6E16"/>
    <w:rsid w:val="007C77C7"/>
    <w:rsid w:val="007C7E04"/>
    <w:rsid w:val="007D0249"/>
    <w:rsid w:val="007D1DB4"/>
    <w:rsid w:val="007D3142"/>
    <w:rsid w:val="007D433E"/>
    <w:rsid w:val="007D520A"/>
    <w:rsid w:val="007D6DEF"/>
    <w:rsid w:val="007D723D"/>
    <w:rsid w:val="007D7524"/>
    <w:rsid w:val="007E0971"/>
    <w:rsid w:val="007E1489"/>
    <w:rsid w:val="007E2AA2"/>
    <w:rsid w:val="007E33C7"/>
    <w:rsid w:val="007E4425"/>
    <w:rsid w:val="007E4FD2"/>
    <w:rsid w:val="007E5E1B"/>
    <w:rsid w:val="007E6874"/>
    <w:rsid w:val="007E76E0"/>
    <w:rsid w:val="007E7D89"/>
    <w:rsid w:val="007F0787"/>
    <w:rsid w:val="007F089C"/>
    <w:rsid w:val="007F1360"/>
    <w:rsid w:val="007F30C1"/>
    <w:rsid w:val="007F364A"/>
    <w:rsid w:val="007F385C"/>
    <w:rsid w:val="007F3C42"/>
    <w:rsid w:val="007F4126"/>
    <w:rsid w:val="007F415E"/>
    <w:rsid w:val="007F4AD3"/>
    <w:rsid w:val="007F55C4"/>
    <w:rsid w:val="007F658D"/>
    <w:rsid w:val="007F6FC1"/>
    <w:rsid w:val="008007F9"/>
    <w:rsid w:val="0080136A"/>
    <w:rsid w:val="00801502"/>
    <w:rsid w:val="00801511"/>
    <w:rsid w:val="00801AE8"/>
    <w:rsid w:val="00801D6C"/>
    <w:rsid w:val="00801DC4"/>
    <w:rsid w:val="008026C0"/>
    <w:rsid w:val="00802815"/>
    <w:rsid w:val="008037EE"/>
    <w:rsid w:val="008045D2"/>
    <w:rsid w:val="008047FB"/>
    <w:rsid w:val="00804B19"/>
    <w:rsid w:val="00805296"/>
    <w:rsid w:val="00805857"/>
    <w:rsid w:val="00806C0C"/>
    <w:rsid w:val="008073B5"/>
    <w:rsid w:val="00807841"/>
    <w:rsid w:val="00807D3E"/>
    <w:rsid w:val="00807F0F"/>
    <w:rsid w:val="00810035"/>
    <w:rsid w:val="0081037A"/>
    <w:rsid w:val="00811411"/>
    <w:rsid w:val="0081188B"/>
    <w:rsid w:val="00811B67"/>
    <w:rsid w:val="00811CEA"/>
    <w:rsid w:val="00813332"/>
    <w:rsid w:val="00814934"/>
    <w:rsid w:val="00815AEF"/>
    <w:rsid w:val="008166C0"/>
    <w:rsid w:val="00816945"/>
    <w:rsid w:val="00817CAC"/>
    <w:rsid w:val="008200A4"/>
    <w:rsid w:val="00820BF1"/>
    <w:rsid w:val="00820F9A"/>
    <w:rsid w:val="00822EA6"/>
    <w:rsid w:val="00822F15"/>
    <w:rsid w:val="0082330F"/>
    <w:rsid w:val="00824AC9"/>
    <w:rsid w:val="0082510E"/>
    <w:rsid w:val="0082573B"/>
    <w:rsid w:val="00825A26"/>
    <w:rsid w:val="00825AA6"/>
    <w:rsid w:val="008262DB"/>
    <w:rsid w:val="00827505"/>
    <w:rsid w:val="00827D6B"/>
    <w:rsid w:val="00830167"/>
    <w:rsid w:val="00830F36"/>
    <w:rsid w:val="00832787"/>
    <w:rsid w:val="00832CB3"/>
    <w:rsid w:val="008348A7"/>
    <w:rsid w:val="008348AB"/>
    <w:rsid w:val="00835876"/>
    <w:rsid w:val="00837964"/>
    <w:rsid w:val="00837FA6"/>
    <w:rsid w:val="00840376"/>
    <w:rsid w:val="00840B38"/>
    <w:rsid w:val="00841ECF"/>
    <w:rsid w:val="00842D59"/>
    <w:rsid w:val="0084301F"/>
    <w:rsid w:val="00843B5A"/>
    <w:rsid w:val="00843C01"/>
    <w:rsid w:val="00843D09"/>
    <w:rsid w:val="008449C4"/>
    <w:rsid w:val="00844CBE"/>
    <w:rsid w:val="008453F0"/>
    <w:rsid w:val="008454D4"/>
    <w:rsid w:val="008454F6"/>
    <w:rsid w:val="008457E5"/>
    <w:rsid w:val="00845C1F"/>
    <w:rsid w:val="00846ACB"/>
    <w:rsid w:val="00846E0C"/>
    <w:rsid w:val="008471F2"/>
    <w:rsid w:val="0084768C"/>
    <w:rsid w:val="00847EBF"/>
    <w:rsid w:val="008516D6"/>
    <w:rsid w:val="00852211"/>
    <w:rsid w:val="00852328"/>
    <w:rsid w:val="008523D7"/>
    <w:rsid w:val="008525CD"/>
    <w:rsid w:val="0085292E"/>
    <w:rsid w:val="00852932"/>
    <w:rsid w:val="00853075"/>
    <w:rsid w:val="00853AB1"/>
    <w:rsid w:val="00854543"/>
    <w:rsid w:val="008547F6"/>
    <w:rsid w:val="0085509F"/>
    <w:rsid w:val="008550FF"/>
    <w:rsid w:val="00855202"/>
    <w:rsid w:val="00855AFA"/>
    <w:rsid w:val="00855F1B"/>
    <w:rsid w:val="0085635F"/>
    <w:rsid w:val="0085719E"/>
    <w:rsid w:val="00857C5D"/>
    <w:rsid w:val="00857EFC"/>
    <w:rsid w:val="00860AE7"/>
    <w:rsid w:val="00860DD5"/>
    <w:rsid w:val="0086147F"/>
    <w:rsid w:val="008635BD"/>
    <w:rsid w:val="00863BCB"/>
    <w:rsid w:val="00863D3C"/>
    <w:rsid w:val="00864276"/>
    <w:rsid w:val="008652BF"/>
    <w:rsid w:val="00866AC9"/>
    <w:rsid w:val="00867268"/>
    <w:rsid w:val="00867984"/>
    <w:rsid w:val="00867DB9"/>
    <w:rsid w:val="0087063F"/>
    <w:rsid w:val="00870E9E"/>
    <w:rsid w:val="008712D7"/>
    <w:rsid w:val="00871673"/>
    <w:rsid w:val="0087239B"/>
    <w:rsid w:val="00872A31"/>
    <w:rsid w:val="00872FE4"/>
    <w:rsid w:val="00873B1B"/>
    <w:rsid w:val="00875616"/>
    <w:rsid w:val="0087587A"/>
    <w:rsid w:val="00875AF6"/>
    <w:rsid w:val="0087691A"/>
    <w:rsid w:val="00876C0F"/>
    <w:rsid w:val="00876CA9"/>
    <w:rsid w:val="00876D75"/>
    <w:rsid w:val="00877E7A"/>
    <w:rsid w:val="00880467"/>
    <w:rsid w:val="00880CD1"/>
    <w:rsid w:val="00880CEE"/>
    <w:rsid w:val="00881229"/>
    <w:rsid w:val="008812C6"/>
    <w:rsid w:val="008816D6"/>
    <w:rsid w:val="0088222A"/>
    <w:rsid w:val="00882667"/>
    <w:rsid w:val="00882B62"/>
    <w:rsid w:val="00883617"/>
    <w:rsid w:val="0088387D"/>
    <w:rsid w:val="00883B87"/>
    <w:rsid w:val="00883D8D"/>
    <w:rsid w:val="00884256"/>
    <w:rsid w:val="00884870"/>
    <w:rsid w:val="00885872"/>
    <w:rsid w:val="008860DC"/>
    <w:rsid w:val="0088660F"/>
    <w:rsid w:val="0088719C"/>
    <w:rsid w:val="008873F8"/>
    <w:rsid w:val="0088789F"/>
    <w:rsid w:val="00891022"/>
    <w:rsid w:val="008915D0"/>
    <w:rsid w:val="00891963"/>
    <w:rsid w:val="00891E9D"/>
    <w:rsid w:val="00891FE3"/>
    <w:rsid w:val="008924DF"/>
    <w:rsid w:val="0089337C"/>
    <w:rsid w:val="008939A4"/>
    <w:rsid w:val="00893BDA"/>
    <w:rsid w:val="00895028"/>
    <w:rsid w:val="00895E93"/>
    <w:rsid w:val="00895F1C"/>
    <w:rsid w:val="008961F8"/>
    <w:rsid w:val="008969D0"/>
    <w:rsid w:val="00896C93"/>
    <w:rsid w:val="008A0034"/>
    <w:rsid w:val="008A05E7"/>
    <w:rsid w:val="008A0CC2"/>
    <w:rsid w:val="008A1C64"/>
    <w:rsid w:val="008A2103"/>
    <w:rsid w:val="008A555C"/>
    <w:rsid w:val="008A6074"/>
    <w:rsid w:val="008A61D0"/>
    <w:rsid w:val="008A61FA"/>
    <w:rsid w:val="008A63FB"/>
    <w:rsid w:val="008A726D"/>
    <w:rsid w:val="008A7472"/>
    <w:rsid w:val="008A77E7"/>
    <w:rsid w:val="008A784E"/>
    <w:rsid w:val="008B0C62"/>
    <w:rsid w:val="008B134F"/>
    <w:rsid w:val="008B200F"/>
    <w:rsid w:val="008B3641"/>
    <w:rsid w:val="008B3C07"/>
    <w:rsid w:val="008B447C"/>
    <w:rsid w:val="008B45CA"/>
    <w:rsid w:val="008B5B60"/>
    <w:rsid w:val="008B666E"/>
    <w:rsid w:val="008B710D"/>
    <w:rsid w:val="008B7970"/>
    <w:rsid w:val="008C12C5"/>
    <w:rsid w:val="008C1874"/>
    <w:rsid w:val="008C1A95"/>
    <w:rsid w:val="008C1CCA"/>
    <w:rsid w:val="008C29E0"/>
    <w:rsid w:val="008C3775"/>
    <w:rsid w:val="008C40F3"/>
    <w:rsid w:val="008C49ED"/>
    <w:rsid w:val="008C51E0"/>
    <w:rsid w:val="008C581F"/>
    <w:rsid w:val="008C6368"/>
    <w:rsid w:val="008C64D2"/>
    <w:rsid w:val="008C66A8"/>
    <w:rsid w:val="008C7125"/>
    <w:rsid w:val="008C71F7"/>
    <w:rsid w:val="008C74F6"/>
    <w:rsid w:val="008C75D4"/>
    <w:rsid w:val="008C7604"/>
    <w:rsid w:val="008C771F"/>
    <w:rsid w:val="008D0B5C"/>
    <w:rsid w:val="008D120B"/>
    <w:rsid w:val="008D1230"/>
    <w:rsid w:val="008D195B"/>
    <w:rsid w:val="008D1A8F"/>
    <w:rsid w:val="008D1D86"/>
    <w:rsid w:val="008D2AEF"/>
    <w:rsid w:val="008D32D2"/>
    <w:rsid w:val="008D48F8"/>
    <w:rsid w:val="008D5282"/>
    <w:rsid w:val="008D5CDD"/>
    <w:rsid w:val="008D7A70"/>
    <w:rsid w:val="008E0420"/>
    <w:rsid w:val="008E04D4"/>
    <w:rsid w:val="008E051B"/>
    <w:rsid w:val="008E0615"/>
    <w:rsid w:val="008E0654"/>
    <w:rsid w:val="008E0C7D"/>
    <w:rsid w:val="008E0FE4"/>
    <w:rsid w:val="008E2A3D"/>
    <w:rsid w:val="008E3057"/>
    <w:rsid w:val="008E362B"/>
    <w:rsid w:val="008E3C98"/>
    <w:rsid w:val="008E4E3B"/>
    <w:rsid w:val="008E5D3D"/>
    <w:rsid w:val="008E6797"/>
    <w:rsid w:val="008E6A63"/>
    <w:rsid w:val="008E6FB5"/>
    <w:rsid w:val="008E7034"/>
    <w:rsid w:val="008F0E19"/>
    <w:rsid w:val="008F16C2"/>
    <w:rsid w:val="008F1D06"/>
    <w:rsid w:val="008F276B"/>
    <w:rsid w:val="008F2931"/>
    <w:rsid w:val="008F2B0D"/>
    <w:rsid w:val="008F53E4"/>
    <w:rsid w:val="008F6E29"/>
    <w:rsid w:val="008F7B09"/>
    <w:rsid w:val="009000D4"/>
    <w:rsid w:val="009005FC"/>
    <w:rsid w:val="00900F6F"/>
    <w:rsid w:val="00901B15"/>
    <w:rsid w:val="009020E9"/>
    <w:rsid w:val="00902116"/>
    <w:rsid w:val="0090271D"/>
    <w:rsid w:val="00902A12"/>
    <w:rsid w:val="00904976"/>
    <w:rsid w:val="00904FA8"/>
    <w:rsid w:val="0090673A"/>
    <w:rsid w:val="0090762A"/>
    <w:rsid w:val="0090770E"/>
    <w:rsid w:val="009078FA"/>
    <w:rsid w:val="00907B3B"/>
    <w:rsid w:val="00907C75"/>
    <w:rsid w:val="0091038F"/>
    <w:rsid w:val="0091055D"/>
    <w:rsid w:val="00910A0C"/>
    <w:rsid w:val="009127DD"/>
    <w:rsid w:val="00912A89"/>
    <w:rsid w:val="00914EA1"/>
    <w:rsid w:val="0091525A"/>
    <w:rsid w:val="009159D5"/>
    <w:rsid w:val="00920306"/>
    <w:rsid w:val="009209DF"/>
    <w:rsid w:val="00921785"/>
    <w:rsid w:val="00921A60"/>
    <w:rsid w:val="00921C3C"/>
    <w:rsid w:val="0092233F"/>
    <w:rsid w:val="009223B2"/>
    <w:rsid w:val="00922441"/>
    <w:rsid w:val="00924344"/>
    <w:rsid w:val="00924382"/>
    <w:rsid w:val="009243C6"/>
    <w:rsid w:val="00924B17"/>
    <w:rsid w:val="00924DEE"/>
    <w:rsid w:val="00925B05"/>
    <w:rsid w:val="009267B5"/>
    <w:rsid w:val="009267BB"/>
    <w:rsid w:val="0092740C"/>
    <w:rsid w:val="0092777D"/>
    <w:rsid w:val="00927AC1"/>
    <w:rsid w:val="00930869"/>
    <w:rsid w:val="00930885"/>
    <w:rsid w:val="009308D6"/>
    <w:rsid w:val="00932EC8"/>
    <w:rsid w:val="00933055"/>
    <w:rsid w:val="009334F0"/>
    <w:rsid w:val="00933E83"/>
    <w:rsid w:val="00933F5A"/>
    <w:rsid w:val="009342BE"/>
    <w:rsid w:val="0093444D"/>
    <w:rsid w:val="00935632"/>
    <w:rsid w:val="0093621E"/>
    <w:rsid w:val="009362F5"/>
    <w:rsid w:val="00937132"/>
    <w:rsid w:val="009371D2"/>
    <w:rsid w:val="009379A3"/>
    <w:rsid w:val="0094096F"/>
    <w:rsid w:val="00941991"/>
    <w:rsid w:val="00941B87"/>
    <w:rsid w:val="00941EB2"/>
    <w:rsid w:val="00942BEA"/>
    <w:rsid w:val="00943493"/>
    <w:rsid w:val="00943CA9"/>
    <w:rsid w:val="00943F27"/>
    <w:rsid w:val="009449DB"/>
    <w:rsid w:val="00945108"/>
    <w:rsid w:val="0094534C"/>
    <w:rsid w:val="00947381"/>
    <w:rsid w:val="00947722"/>
    <w:rsid w:val="00947ACC"/>
    <w:rsid w:val="009505BD"/>
    <w:rsid w:val="00950AD6"/>
    <w:rsid w:val="00952330"/>
    <w:rsid w:val="00952359"/>
    <w:rsid w:val="00952C85"/>
    <w:rsid w:val="009534B5"/>
    <w:rsid w:val="00953C62"/>
    <w:rsid w:val="009540FC"/>
    <w:rsid w:val="009542E2"/>
    <w:rsid w:val="009544ED"/>
    <w:rsid w:val="009554F1"/>
    <w:rsid w:val="00955D0E"/>
    <w:rsid w:val="00956C4C"/>
    <w:rsid w:val="0095753D"/>
    <w:rsid w:val="00957628"/>
    <w:rsid w:val="00957BCE"/>
    <w:rsid w:val="00957C6E"/>
    <w:rsid w:val="009602E9"/>
    <w:rsid w:val="009606BC"/>
    <w:rsid w:val="00960C05"/>
    <w:rsid w:val="00960EA6"/>
    <w:rsid w:val="00961083"/>
    <w:rsid w:val="009612A8"/>
    <w:rsid w:val="0096142F"/>
    <w:rsid w:val="00961EF2"/>
    <w:rsid w:val="0096321A"/>
    <w:rsid w:val="00963E7C"/>
    <w:rsid w:val="00963F72"/>
    <w:rsid w:val="00965413"/>
    <w:rsid w:val="0096624F"/>
    <w:rsid w:val="00970BD7"/>
    <w:rsid w:val="00971E9B"/>
    <w:rsid w:val="0097248E"/>
    <w:rsid w:val="00972655"/>
    <w:rsid w:val="009732C4"/>
    <w:rsid w:val="0097348D"/>
    <w:rsid w:val="009750AF"/>
    <w:rsid w:val="00975D67"/>
    <w:rsid w:val="00977B81"/>
    <w:rsid w:val="00980B25"/>
    <w:rsid w:val="00980D1A"/>
    <w:rsid w:val="00980F19"/>
    <w:rsid w:val="009816E3"/>
    <w:rsid w:val="00982711"/>
    <w:rsid w:val="00982757"/>
    <w:rsid w:val="00982A09"/>
    <w:rsid w:val="00982E3D"/>
    <w:rsid w:val="00983140"/>
    <w:rsid w:val="009831B4"/>
    <w:rsid w:val="00983955"/>
    <w:rsid w:val="00983AE3"/>
    <w:rsid w:val="0098400B"/>
    <w:rsid w:val="00984CDB"/>
    <w:rsid w:val="009855EA"/>
    <w:rsid w:val="0098755A"/>
    <w:rsid w:val="0098756A"/>
    <w:rsid w:val="0098756B"/>
    <w:rsid w:val="009876D0"/>
    <w:rsid w:val="00987CB1"/>
    <w:rsid w:val="00991239"/>
    <w:rsid w:val="00991426"/>
    <w:rsid w:val="009915FB"/>
    <w:rsid w:val="0099162F"/>
    <w:rsid w:val="00991D10"/>
    <w:rsid w:val="009926C8"/>
    <w:rsid w:val="009931D5"/>
    <w:rsid w:val="00993407"/>
    <w:rsid w:val="00993640"/>
    <w:rsid w:val="009936D6"/>
    <w:rsid w:val="009937CC"/>
    <w:rsid w:val="00993FD3"/>
    <w:rsid w:val="00994DCA"/>
    <w:rsid w:val="0099506A"/>
    <w:rsid w:val="009959C7"/>
    <w:rsid w:val="009968AC"/>
    <w:rsid w:val="00997818"/>
    <w:rsid w:val="00997D17"/>
    <w:rsid w:val="009A0574"/>
    <w:rsid w:val="009A09B4"/>
    <w:rsid w:val="009A09D6"/>
    <w:rsid w:val="009A2059"/>
    <w:rsid w:val="009A211E"/>
    <w:rsid w:val="009A27F3"/>
    <w:rsid w:val="009A4E27"/>
    <w:rsid w:val="009A502D"/>
    <w:rsid w:val="009A516C"/>
    <w:rsid w:val="009A51A5"/>
    <w:rsid w:val="009A57A1"/>
    <w:rsid w:val="009A5BC9"/>
    <w:rsid w:val="009A6D71"/>
    <w:rsid w:val="009A7430"/>
    <w:rsid w:val="009A7AD4"/>
    <w:rsid w:val="009B0DEE"/>
    <w:rsid w:val="009B0FDC"/>
    <w:rsid w:val="009B0FFF"/>
    <w:rsid w:val="009B22BA"/>
    <w:rsid w:val="009B2A25"/>
    <w:rsid w:val="009B2D7F"/>
    <w:rsid w:val="009B41EB"/>
    <w:rsid w:val="009B54F9"/>
    <w:rsid w:val="009B5D16"/>
    <w:rsid w:val="009B64AA"/>
    <w:rsid w:val="009B7D37"/>
    <w:rsid w:val="009B7D56"/>
    <w:rsid w:val="009C0387"/>
    <w:rsid w:val="009C091C"/>
    <w:rsid w:val="009C2C46"/>
    <w:rsid w:val="009C32C0"/>
    <w:rsid w:val="009C33CA"/>
    <w:rsid w:val="009C3572"/>
    <w:rsid w:val="009C4BD3"/>
    <w:rsid w:val="009C5D8F"/>
    <w:rsid w:val="009C6404"/>
    <w:rsid w:val="009C6C06"/>
    <w:rsid w:val="009C74CB"/>
    <w:rsid w:val="009C757B"/>
    <w:rsid w:val="009C7FA3"/>
    <w:rsid w:val="009D0C31"/>
    <w:rsid w:val="009D21EE"/>
    <w:rsid w:val="009D2CFC"/>
    <w:rsid w:val="009D311D"/>
    <w:rsid w:val="009D3CD2"/>
    <w:rsid w:val="009D3FDF"/>
    <w:rsid w:val="009D5B06"/>
    <w:rsid w:val="009D6179"/>
    <w:rsid w:val="009D655C"/>
    <w:rsid w:val="009D67E2"/>
    <w:rsid w:val="009D73B3"/>
    <w:rsid w:val="009D7AB8"/>
    <w:rsid w:val="009E024F"/>
    <w:rsid w:val="009E1210"/>
    <w:rsid w:val="009E164A"/>
    <w:rsid w:val="009E193D"/>
    <w:rsid w:val="009E1F93"/>
    <w:rsid w:val="009E232B"/>
    <w:rsid w:val="009E3131"/>
    <w:rsid w:val="009E3269"/>
    <w:rsid w:val="009E3544"/>
    <w:rsid w:val="009E38A6"/>
    <w:rsid w:val="009E4449"/>
    <w:rsid w:val="009E453F"/>
    <w:rsid w:val="009E6887"/>
    <w:rsid w:val="009F0189"/>
    <w:rsid w:val="009F0351"/>
    <w:rsid w:val="009F043F"/>
    <w:rsid w:val="009F0941"/>
    <w:rsid w:val="009F1247"/>
    <w:rsid w:val="009F1BAB"/>
    <w:rsid w:val="009F1BBB"/>
    <w:rsid w:val="009F3426"/>
    <w:rsid w:val="009F36B5"/>
    <w:rsid w:val="009F4523"/>
    <w:rsid w:val="009F463F"/>
    <w:rsid w:val="009F54AF"/>
    <w:rsid w:val="009F56C0"/>
    <w:rsid w:val="009F60E7"/>
    <w:rsid w:val="009F6707"/>
    <w:rsid w:val="00A00A79"/>
    <w:rsid w:val="00A01329"/>
    <w:rsid w:val="00A01B41"/>
    <w:rsid w:val="00A01CC0"/>
    <w:rsid w:val="00A0359F"/>
    <w:rsid w:val="00A03B87"/>
    <w:rsid w:val="00A0464E"/>
    <w:rsid w:val="00A0470E"/>
    <w:rsid w:val="00A04B83"/>
    <w:rsid w:val="00A04E90"/>
    <w:rsid w:val="00A05428"/>
    <w:rsid w:val="00A055BB"/>
    <w:rsid w:val="00A05624"/>
    <w:rsid w:val="00A05AE6"/>
    <w:rsid w:val="00A05F03"/>
    <w:rsid w:val="00A06839"/>
    <w:rsid w:val="00A07108"/>
    <w:rsid w:val="00A074B6"/>
    <w:rsid w:val="00A07A7A"/>
    <w:rsid w:val="00A10F3E"/>
    <w:rsid w:val="00A12808"/>
    <w:rsid w:val="00A12DE1"/>
    <w:rsid w:val="00A145DC"/>
    <w:rsid w:val="00A1644B"/>
    <w:rsid w:val="00A164E9"/>
    <w:rsid w:val="00A16C3C"/>
    <w:rsid w:val="00A17575"/>
    <w:rsid w:val="00A17FE1"/>
    <w:rsid w:val="00A200A6"/>
    <w:rsid w:val="00A214E8"/>
    <w:rsid w:val="00A22A76"/>
    <w:rsid w:val="00A23200"/>
    <w:rsid w:val="00A2342D"/>
    <w:rsid w:val="00A2381C"/>
    <w:rsid w:val="00A243E1"/>
    <w:rsid w:val="00A24BD6"/>
    <w:rsid w:val="00A25231"/>
    <w:rsid w:val="00A25632"/>
    <w:rsid w:val="00A259C0"/>
    <w:rsid w:val="00A26953"/>
    <w:rsid w:val="00A27BBD"/>
    <w:rsid w:val="00A308B7"/>
    <w:rsid w:val="00A30BE1"/>
    <w:rsid w:val="00A30C74"/>
    <w:rsid w:val="00A3242E"/>
    <w:rsid w:val="00A34428"/>
    <w:rsid w:val="00A34E8F"/>
    <w:rsid w:val="00A35CF1"/>
    <w:rsid w:val="00A3649D"/>
    <w:rsid w:val="00A369E1"/>
    <w:rsid w:val="00A36EEB"/>
    <w:rsid w:val="00A37007"/>
    <w:rsid w:val="00A3704C"/>
    <w:rsid w:val="00A37147"/>
    <w:rsid w:val="00A372DA"/>
    <w:rsid w:val="00A377CB"/>
    <w:rsid w:val="00A41104"/>
    <w:rsid w:val="00A41BB1"/>
    <w:rsid w:val="00A42474"/>
    <w:rsid w:val="00A42D03"/>
    <w:rsid w:val="00A43757"/>
    <w:rsid w:val="00A44C88"/>
    <w:rsid w:val="00A454A1"/>
    <w:rsid w:val="00A45BFD"/>
    <w:rsid w:val="00A4614D"/>
    <w:rsid w:val="00A4665F"/>
    <w:rsid w:val="00A47C1C"/>
    <w:rsid w:val="00A50EFE"/>
    <w:rsid w:val="00A51075"/>
    <w:rsid w:val="00A51170"/>
    <w:rsid w:val="00A511E7"/>
    <w:rsid w:val="00A519BF"/>
    <w:rsid w:val="00A5266C"/>
    <w:rsid w:val="00A53656"/>
    <w:rsid w:val="00A536DB"/>
    <w:rsid w:val="00A53865"/>
    <w:rsid w:val="00A54049"/>
    <w:rsid w:val="00A54596"/>
    <w:rsid w:val="00A548DB"/>
    <w:rsid w:val="00A54CAD"/>
    <w:rsid w:val="00A54D79"/>
    <w:rsid w:val="00A55CEC"/>
    <w:rsid w:val="00A55F6C"/>
    <w:rsid w:val="00A56B4F"/>
    <w:rsid w:val="00A5765B"/>
    <w:rsid w:val="00A60D43"/>
    <w:rsid w:val="00A61156"/>
    <w:rsid w:val="00A612CA"/>
    <w:rsid w:val="00A61C1C"/>
    <w:rsid w:val="00A61F8F"/>
    <w:rsid w:val="00A6222A"/>
    <w:rsid w:val="00A625B9"/>
    <w:rsid w:val="00A6334B"/>
    <w:rsid w:val="00A638D4"/>
    <w:rsid w:val="00A63FE6"/>
    <w:rsid w:val="00A64B48"/>
    <w:rsid w:val="00A666B7"/>
    <w:rsid w:val="00A673B4"/>
    <w:rsid w:val="00A67F01"/>
    <w:rsid w:val="00A70D78"/>
    <w:rsid w:val="00A70FAF"/>
    <w:rsid w:val="00A7124C"/>
    <w:rsid w:val="00A71A6F"/>
    <w:rsid w:val="00A730AE"/>
    <w:rsid w:val="00A739B2"/>
    <w:rsid w:val="00A7411D"/>
    <w:rsid w:val="00A743EE"/>
    <w:rsid w:val="00A74E5B"/>
    <w:rsid w:val="00A74ED2"/>
    <w:rsid w:val="00A753EF"/>
    <w:rsid w:val="00A754E0"/>
    <w:rsid w:val="00A75B7B"/>
    <w:rsid w:val="00A75F7C"/>
    <w:rsid w:val="00A77CFF"/>
    <w:rsid w:val="00A80458"/>
    <w:rsid w:val="00A8096F"/>
    <w:rsid w:val="00A80A28"/>
    <w:rsid w:val="00A813C6"/>
    <w:rsid w:val="00A819C0"/>
    <w:rsid w:val="00A82028"/>
    <w:rsid w:val="00A8276D"/>
    <w:rsid w:val="00A83E37"/>
    <w:rsid w:val="00A84B6E"/>
    <w:rsid w:val="00A84D36"/>
    <w:rsid w:val="00A85112"/>
    <w:rsid w:val="00A85134"/>
    <w:rsid w:val="00A857C2"/>
    <w:rsid w:val="00A85EAA"/>
    <w:rsid w:val="00A863FB"/>
    <w:rsid w:val="00A86D93"/>
    <w:rsid w:val="00A87283"/>
    <w:rsid w:val="00A87C1E"/>
    <w:rsid w:val="00A9000C"/>
    <w:rsid w:val="00A9056F"/>
    <w:rsid w:val="00A932D1"/>
    <w:rsid w:val="00A93337"/>
    <w:rsid w:val="00A93D7E"/>
    <w:rsid w:val="00A956E0"/>
    <w:rsid w:val="00A96031"/>
    <w:rsid w:val="00A96396"/>
    <w:rsid w:val="00A96ECA"/>
    <w:rsid w:val="00A96FD9"/>
    <w:rsid w:val="00A971C6"/>
    <w:rsid w:val="00AA0373"/>
    <w:rsid w:val="00AA0900"/>
    <w:rsid w:val="00AA0E77"/>
    <w:rsid w:val="00AA1D7C"/>
    <w:rsid w:val="00AA295E"/>
    <w:rsid w:val="00AA3A06"/>
    <w:rsid w:val="00AA4A41"/>
    <w:rsid w:val="00AA4AE1"/>
    <w:rsid w:val="00AA536B"/>
    <w:rsid w:val="00AA5DD2"/>
    <w:rsid w:val="00AA61E8"/>
    <w:rsid w:val="00AA6493"/>
    <w:rsid w:val="00AA6664"/>
    <w:rsid w:val="00AA69C4"/>
    <w:rsid w:val="00AA7394"/>
    <w:rsid w:val="00AA7496"/>
    <w:rsid w:val="00AB08A7"/>
    <w:rsid w:val="00AB0B86"/>
    <w:rsid w:val="00AB128A"/>
    <w:rsid w:val="00AB2CB5"/>
    <w:rsid w:val="00AB2EEB"/>
    <w:rsid w:val="00AB33B2"/>
    <w:rsid w:val="00AB3758"/>
    <w:rsid w:val="00AB3B8A"/>
    <w:rsid w:val="00AB4000"/>
    <w:rsid w:val="00AB4CFF"/>
    <w:rsid w:val="00AB6A45"/>
    <w:rsid w:val="00AB6CFB"/>
    <w:rsid w:val="00AB7643"/>
    <w:rsid w:val="00AB7B36"/>
    <w:rsid w:val="00AC0017"/>
    <w:rsid w:val="00AC06C3"/>
    <w:rsid w:val="00AC0B3C"/>
    <w:rsid w:val="00AC1722"/>
    <w:rsid w:val="00AC177C"/>
    <w:rsid w:val="00AC20C4"/>
    <w:rsid w:val="00AC2B29"/>
    <w:rsid w:val="00AC471F"/>
    <w:rsid w:val="00AC4C14"/>
    <w:rsid w:val="00AC5106"/>
    <w:rsid w:val="00AC55F0"/>
    <w:rsid w:val="00AC5893"/>
    <w:rsid w:val="00AC595A"/>
    <w:rsid w:val="00AC5BBE"/>
    <w:rsid w:val="00AC6436"/>
    <w:rsid w:val="00AC7221"/>
    <w:rsid w:val="00AC7C27"/>
    <w:rsid w:val="00AD0738"/>
    <w:rsid w:val="00AD0D0E"/>
    <w:rsid w:val="00AD0D29"/>
    <w:rsid w:val="00AD136D"/>
    <w:rsid w:val="00AD1B50"/>
    <w:rsid w:val="00AD20DC"/>
    <w:rsid w:val="00AD2653"/>
    <w:rsid w:val="00AD2A4C"/>
    <w:rsid w:val="00AD4299"/>
    <w:rsid w:val="00AD6316"/>
    <w:rsid w:val="00AD69F1"/>
    <w:rsid w:val="00AD7C9A"/>
    <w:rsid w:val="00AE03DE"/>
    <w:rsid w:val="00AE0F31"/>
    <w:rsid w:val="00AE119F"/>
    <w:rsid w:val="00AE13FB"/>
    <w:rsid w:val="00AE152A"/>
    <w:rsid w:val="00AE24A6"/>
    <w:rsid w:val="00AE2B49"/>
    <w:rsid w:val="00AE3D7D"/>
    <w:rsid w:val="00AE57DF"/>
    <w:rsid w:val="00AE58D0"/>
    <w:rsid w:val="00AE75FF"/>
    <w:rsid w:val="00AE776A"/>
    <w:rsid w:val="00AE795C"/>
    <w:rsid w:val="00AF0541"/>
    <w:rsid w:val="00AF0577"/>
    <w:rsid w:val="00AF1F1F"/>
    <w:rsid w:val="00AF2AE3"/>
    <w:rsid w:val="00AF3384"/>
    <w:rsid w:val="00AF3EE3"/>
    <w:rsid w:val="00AF4095"/>
    <w:rsid w:val="00AF52EE"/>
    <w:rsid w:val="00AF548B"/>
    <w:rsid w:val="00AF5639"/>
    <w:rsid w:val="00AF56BB"/>
    <w:rsid w:val="00AF625A"/>
    <w:rsid w:val="00AF7156"/>
    <w:rsid w:val="00AF7ECC"/>
    <w:rsid w:val="00B00135"/>
    <w:rsid w:val="00B00D15"/>
    <w:rsid w:val="00B0157C"/>
    <w:rsid w:val="00B01CF1"/>
    <w:rsid w:val="00B034F0"/>
    <w:rsid w:val="00B04B68"/>
    <w:rsid w:val="00B05191"/>
    <w:rsid w:val="00B05334"/>
    <w:rsid w:val="00B05388"/>
    <w:rsid w:val="00B05CD5"/>
    <w:rsid w:val="00B06CD1"/>
    <w:rsid w:val="00B06D74"/>
    <w:rsid w:val="00B070AE"/>
    <w:rsid w:val="00B07987"/>
    <w:rsid w:val="00B07BBD"/>
    <w:rsid w:val="00B07C99"/>
    <w:rsid w:val="00B07FC4"/>
    <w:rsid w:val="00B102CD"/>
    <w:rsid w:val="00B10CA4"/>
    <w:rsid w:val="00B11CE9"/>
    <w:rsid w:val="00B128A6"/>
    <w:rsid w:val="00B12BDC"/>
    <w:rsid w:val="00B12C99"/>
    <w:rsid w:val="00B14572"/>
    <w:rsid w:val="00B14CFA"/>
    <w:rsid w:val="00B16E2F"/>
    <w:rsid w:val="00B20296"/>
    <w:rsid w:val="00B2169B"/>
    <w:rsid w:val="00B21EEC"/>
    <w:rsid w:val="00B225D4"/>
    <w:rsid w:val="00B23197"/>
    <w:rsid w:val="00B268A2"/>
    <w:rsid w:val="00B273B4"/>
    <w:rsid w:val="00B27820"/>
    <w:rsid w:val="00B27E83"/>
    <w:rsid w:val="00B3001C"/>
    <w:rsid w:val="00B30085"/>
    <w:rsid w:val="00B3080E"/>
    <w:rsid w:val="00B31499"/>
    <w:rsid w:val="00B31565"/>
    <w:rsid w:val="00B31CEA"/>
    <w:rsid w:val="00B32FBF"/>
    <w:rsid w:val="00B3311E"/>
    <w:rsid w:val="00B3498B"/>
    <w:rsid w:val="00B34E4C"/>
    <w:rsid w:val="00B35692"/>
    <w:rsid w:val="00B35724"/>
    <w:rsid w:val="00B35D91"/>
    <w:rsid w:val="00B36AE0"/>
    <w:rsid w:val="00B36AF9"/>
    <w:rsid w:val="00B36C66"/>
    <w:rsid w:val="00B37438"/>
    <w:rsid w:val="00B3782F"/>
    <w:rsid w:val="00B40267"/>
    <w:rsid w:val="00B40436"/>
    <w:rsid w:val="00B40F32"/>
    <w:rsid w:val="00B41043"/>
    <w:rsid w:val="00B41745"/>
    <w:rsid w:val="00B42297"/>
    <w:rsid w:val="00B425C8"/>
    <w:rsid w:val="00B42712"/>
    <w:rsid w:val="00B42C03"/>
    <w:rsid w:val="00B44374"/>
    <w:rsid w:val="00B446AE"/>
    <w:rsid w:val="00B4485B"/>
    <w:rsid w:val="00B44D8E"/>
    <w:rsid w:val="00B4560B"/>
    <w:rsid w:val="00B4663C"/>
    <w:rsid w:val="00B47081"/>
    <w:rsid w:val="00B470D1"/>
    <w:rsid w:val="00B4760E"/>
    <w:rsid w:val="00B5022D"/>
    <w:rsid w:val="00B50481"/>
    <w:rsid w:val="00B5064E"/>
    <w:rsid w:val="00B51407"/>
    <w:rsid w:val="00B51B80"/>
    <w:rsid w:val="00B51D64"/>
    <w:rsid w:val="00B52290"/>
    <w:rsid w:val="00B52903"/>
    <w:rsid w:val="00B533D2"/>
    <w:rsid w:val="00B53760"/>
    <w:rsid w:val="00B54616"/>
    <w:rsid w:val="00B55680"/>
    <w:rsid w:val="00B5585F"/>
    <w:rsid w:val="00B55E35"/>
    <w:rsid w:val="00B5779F"/>
    <w:rsid w:val="00B57926"/>
    <w:rsid w:val="00B57F0C"/>
    <w:rsid w:val="00B57F6B"/>
    <w:rsid w:val="00B6084D"/>
    <w:rsid w:val="00B60916"/>
    <w:rsid w:val="00B60D51"/>
    <w:rsid w:val="00B60E2D"/>
    <w:rsid w:val="00B6114E"/>
    <w:rsid w:val="00B6164D"/>
    <w:rsid w:val="00B61747"/>
    <w:rsid w:val="00B6229C"/>
    <w:rsid w:val="00B626F4"/>
    <w:rsid w:val="00B62B30"/>
    <w:rsid w:val="00B63AF7"/>
    <w:rsid w:val="00B63E83"/>
    <w:rsid w:val="00B65B34"/>
    <w:rsid w:val="00B6736E"/>
    <w:rsid w:val="00B67CD6"/>
    <w:rsid w:val="00B67E95"/>
    <w:rsid w:val="00B7180D"/>
    <w:rsid w:val="00B71B94"/>
    <w:rsid w:val="00B71BB7"/>
    <w:rsid w:val="00B72546"/>
    <w:rsid w:val="00B72F37"/>
    <w:rsid w:val="00B7317B"/>
    <w:rsid w:val="00B73B40"/>
    <w:rsid w:val="00B7405F"/>
    <w:rsid w:val="00B747DA"/>
    <w:rsid w:val="00B74C05"/>
    <w:rsid w:val="00B7540D"/>
    <w:rsid w:val="00B7557D"/>
    <w:rsid w:val="00B75C0E"/>
    <w:rsid w:val="00B75C98"/>
    <w:rsid w:val="00B76863"/>
    <w:rsid w:val="00B76D9D"/>
    <w:rsid w:val="00B800C2"/>
    <w:rsid w:val="00B80B41"/>
    <w:rsid w:val="00B8133C"/>
    <w:rsid w:val="00B825B9"/>
    <w:rsid w:val="00B825FC"/>
    <w:rsid w:val="00B831A2"/>
    <w:rsid w:val="00B83E82"/>
    <w:rsid w:val="00B85294"/>
    <w:rsid w:val="00B85335"/>
    <w:rsid w:val="00B85EE8"/>
    <w:rsid w:val="00B85F20"/>
    <w:rsid w:val="00B861F8"/>
    <w:rsid w:val="00B8637F"/>
    <w:rsid w:val="00B86FCE"/>
    <w:rsid w:val="00B8707A"/>
    <w:rsid w:val="00B87604"/>
    <w:rsid w:val="00B90197"/>
    <w:rsid w:val="00B90AA5"/>
    <w:rsid w:val="00B9131D"/>
    <w:rsid w:val="00B917C4"/>
    <w:rsid w:val="00B92731"/>
    <w:rsid w:val="00B93243"/>
    <w:rsid w:val="00B93546"/>
    <w:rsid w:val="00B9378C"/>
    <w:rsid w:val="00B93C22"/>
    <w:rsid w:val="00B93FA7"/>
    <w:rsid w:val="00B94552"/>
    <w:rsid w:val="00B951BB"/>
    <w:rsid w:val="00B9596F"/>
    <w:rsid w:val="00B9643B"/>
    <w:rsid w:val="00B970A7"/>
    <w:rsid w:val="00B975C9"/>
    <w:rsid w:val="00B976AE"/>
    <w:rsid w:val="00BA02E4"/>
    <w:rsid w:val="00BA0FAD"/>
    <w:rsid w:val="00BA26F8"/>
    <w:rsid w:val="00BA2FE3"/>
    <w:rsid w:val="00BA351A"/>
    <w:rsid w:val="00BA40E8"/>
    <w:rsid w:val="00BA410F"/>
    <w:rsid w:val="00BA526D"/>
    <w:rsid w:val="00BA590B"/>
    <w:rsid w:val="00BA5C06"/>
    <w:rsid w:val="00BA68F9"/>
    <w:rsid w:val="00BA6C02"/>
    <w:rsid w:val="00BA7CB9"/>
    <w:rsid w:val="00BA7F14"/>
    <w:rsid w:val="00BB0121"/>
    <w:rsid w:val="00BB03C3"/>
    <w:rsid w:val="00BB0430"/>
    <w:rsid w:val="00BB0E99"/>
    <w:rsid w:val="00BB1FAB"/>
    <w:rsid w:val="00BB21F9"/>
    <w:rsid w:val="00BB2279"/>
    <w:rsid w:val="00BB3EF9"/>
    <w:rsid w:val="00BB4550"/>
    <w:rsid w:val="00BB5921"/>
    <w:rsid w:val="00BB6954"/>
    <w:rsid w:val="00BB7819"/>
    <w:rsid w:val="00BB7C11"/>
    <w:rsid w:val="00BB7E70"/>
    <w:rsid w:val="00BC02A7"/>
    <w:rsid w:val="00BC042F"/>
    <w:rsid w:val="00BC1984"/>
    <w:rsid w:val="00BC19CF"/>
    <w:rsid w:val="00BC1C9F"/>
    <w:rsid w:val="00BC2926"/>
    <w:rsid w:val="00BC2B7A"/>
    <w:rsid w:val="00BC4B31"/>
    <w:rsid w:val="00BC4F55"/>
    <w:rsid w:val="00BC52BF"/>
    <w:rsid w:val="00BC5CAF"/>
    <w:rsid w:val="00BC6FF1"/>
    <w:rsid w:val="00BC78F5"/>
    <w:rsid w:val="00BC7CAE"/>
    <w:rsid w:val="00BC7E94"/>
    <w:rsid w:val="00BD09FA"/>
    <w:rsid w:val="00BD2894"/>
    <w:rsid w:val="00BD2CAC"/>
    <w:rsid w:val="00BD3C36"/>
    <w:rsid w:val="00BD3D0F"/>
    <w:rsid w:val="00BD48D4"/>
    <w:rsid w:val="00BD4B69"/>
    <w:rsid w:val="00BD5028"/>
    <w:rsid w:val="00BD58CB"/>
    <w:rsid w:val="00BD5976"/>
    <w:rsid w:val="00BD6B00"/>
    <w:rsid w:val="00BD6BA2"/>
    <w:rsid w:val="00BD6EE8"/>
    <w:rsid w:val="00BD6F9F"/>
    <w:rsid w:val="00BD78E2"/>
    <w:rsid w:val="00BD7F16"/>
    <w:rsid w:val="00BE01AB"/>
    <w:rsid w:val="00BE1247"/>
    <w:rsid w:val="00BE1E61"/>
    <w:rsid w:val="00BE23CA"/>
    <w:rsid w:val="00BE23D1"/>
    <w:rsid w:val="00BE25F9"/>
    <w:rsid w:val="00BE2829"/>
    <w:rsid w:val="00BE3795"/>
    <w:rsid w:val="00BE37F6"/>
    <w:rsid w:val="00BE37FE"/>
    <w:rsid w:val="00BE4123"/>
    <w:rsid w:val="00BE4182"/>
    <w:rsid w:val="00BE4D57"/>
    <w:rsid w:val="00BE4E4C"/>
    <w:rsid w:val="00BE4F05"/>
    <w:rsid w:val="00BE560A"/>
    <w:rsid w:val="00BE5790"/>
    <w:rsid w:val="00BE647D"/>
    <w:rsid w:val="00BE6E88"/>
    <w:rsid w:val="00BE7BAE"/>
    <w:rsid w:val="00BF0EB3"/>
    <w:rsid w:val="00BF1576"/>
    <w:rsid w:val="00BF1585"/>
    <w:rsid w:val="00BF291F"/>
    <w:rsid w:val="00BF51BB"/>
    <w:rsid w:val="00BF5842"/>
    <w:rsid w:val="00BF5EAE"/>
    <w:rsid w:val="00BF64AC"/>
    <w:rsid w:val="00BF768B"/>
    <w:rsid w:val="00BF7957"/>
    <w:rsid w:val="00C0225F"/>
    <w:rsid w:val="00C02BEA"/>
    <w:rsid w:val="00C034FB"/>
    <w:rsid w:val="00C03571"/>
    <w:rsid w:val="00C035FC"/>
    <w:rsid w:val="00C04292"/>
    <w:rsid w:val="00C044C4"/>
    <w:rsid w:val="00C049C8"/>
    <w:rsid w:val="00C04A3F"/>
    <w:rsid w:val="00C04ECD"/>
    <w:rsid w:val="00C05372"/>
    <w:rsid w:val="00C06075"/>
    <w:rsid w:val="00C0731D"/>
    <w:rsid w:val="00C074A2"/>
    <w:rsid w:val="00C0764B"/>
    <w:rsid w:val="00C077DB"/>
    <w:rsid w:val="00C078A3"/>
    <w:rsid w:val="00C07AFE"/>
    <w:rsid w:val="00C07B35"/>
    <w:rsid w:val="00C10330"/>
    <w:rsid w:val="00C109E6"/>
    <w:rsid w:val="00C12E74"/>
    <w:rsid w:val="00C1300C"/>
    <w:rsid w:val="00C1317C"/>
    <w:rsid w:val="00C13566"/>
    <w:rsid w:val="00C139F8"/>
    <w:rsid w:val="00C13B52"/>
    <w:rsid w:val="00C13E98"/>
    <w:rsid w:val="00C14C81"/>
    <w:rsid w:val="00C14D44"/>
    <w:rsid w:val="00C151F5"/>
    <w:rsid w:val="00C152B6"/>
    <w:rsid w:val="00C16776"/>
    <w:rsid w:val="00C1721B"/>
    <w:rsid w:val="00C1796D"/>
    <w:rsid w:val="00C17BCF"/>
    <w:rsid w:val="00C213AF"/>
    <w:rsid w:val="00C22415"/>
    <w:rsid w:val="00C225B4"/>
    <w:rsid w:val="00C2347E"/>
    <w:rsid w:val="00C30162"/>
    <w:rsid w:val="00C30267"/>
    <w:rsid w:val="00C30633"/>
    <w:rsid w:val="00C30AC0"/>
    <w:rsid w:val="00C30EE5"/>
    <w:rsid w:val="00C311F2"/>
    <w:rsid w:val="00C31699"/>
    <w:rsid w:val="00C31998"/>
    <w:rsid w:val="00C31CD0"/>
    <w:rsid w:val="00C32F0D"/>
    <w:rsid w:val="00C332D2"/>
    <w:rsid w:val="00C33347"/>
    <w:rsid w:val="00C33408"/>
    <w:rsid w:val="00C33424"/>
    <w:rsid w:val="00C339DD"/>
    <w:rsid w:val="00C353CD"/>
    <w:rsid w:val="00C354B0"/>
    <w:rsid w:val="00C357A8"/>
    <w:rsid w:val="00C358F2"/>
    <w:rsid w:val="00C36129"/>
    <w:rsid w:val="00C3681E"/>
    <w:rsid w:val="00C36EE6"/>
    <w:rsid w:val="00C36FFB"/>
    <w:rsid w:val="00C3785B"/>
    <w:rsid w:val="00C40AC9"/>
    <w:rsid w:val="00C41784"/>
    <w:rsid w:val="00C4201A"/>
    <w:rsid w:val="00C4218C"/>
    <w:rsid w:val="00C42519"/>
    <w:rsid w:val="00C43A86"/>
    <w:rsid w:val="00C43F40"/>
    <w:rsid w:val="00C44183"/>
    <w:rsid w:val="00C44EB9"/>
    <w:rsid w:val="00C45CC5"/>
    <w:rsid w:val="00C47E81"/>
    <w:rsid w:val="00C50217"/>
    <w:rsid w:val="00C50254"/>
    <w:rsid w:val="00C50FCB"/>
    <w:rsid w:val="00C510D3"/>
    <w:rsid w:val="00C513DD"/>
    <w:rsid w:val="00C51B3A"/>
    <w:rsid w:val="00C51BCE"/>
    <w:rsid w:val="00C51C54"/>
    <w:rsid w:val="00C51E86"/>
    <w:rsid w:val="00C528A3"/>
    <w:rsid w:val="00C52AF1"/>
    <w:rsid w:val="00C52F7F"/>
    <w:rsid w:val="00C54FC6"/>
    <w:rsid w:val="00C55068"/>
    <w:rsid w:val="00C55130"/>
    <w:rsid w:val="00C55918"/>
    <w:rsid w:val="00C55F62"/>
    <w:rsid w:val="00C570EA"/>
    <w:rsid w:val="00C60228"/>
    <w:rsid w:val="00C603D7"/>
    <w:rsid w:val="00C608BF"/>
    <w:rsid w:val="00C60B2C"/>
    <w:rsid w:val="00C6237A"/>
    <w:rsid w:val="00C628C4"/>
    <w:rsid w:val="00C62E94"/>
    <w:rsid w:val="00C63CBD"/>
    <w:rsid w:val="00C63E75"/>
    <w:rsid w:val="00C6598F"/>
    <w:rsid w:val="00C65B27"/>
    <w:rsid w:val="00C65E0B"/>
    <w:rsid w:val="00C663E3"/>
    <w:rsid w:val="00C665E4"/>
    <w:rsid w:val="00C6696D"/>
    <w:rsid w:val="00C67343"/>
    <w:rsid w:val="00C7059A"/>
    <w:rsid w:val="00C71558"/>
    <w:rsid w:val="00C71C91"/>
    <w:rsid w:val="00C71D22"/>
    <w:rsid w:val="00C71EF5"/>
    <w:rsid w:val="00C72627"/>
    <w:rsid w:val="00C748E3"/>
    <w:rsid w:val="00C74C73"/>
    <w:rsid w:val="00C75894"/>
    <w:rsid w:val="00C75B8F"/>
    <w:rsid w:val="00C766E1"/>
    <w:rsid w:val="00C7677B"/>
    <w:rsid w:val="00C76EEE"/>
    <w:rsid w:val="00C804D4"/>
    <w:rsid w:val="00C80631"/>
    <w:rsid w:val="00C80A58"/>
    <w:rsid w:val="00C818F6"/>
    <w:rsid w:val="00C83240"/>
    <w:rsid w:val="00C83F3C"/>
    <w:rsid w:val="00C84138"/>
    <w:rsid w:val="00C8480A"/>
    <w:rsid w:val="00C866D4"/>
    <w:rsid w:val="00C86BCA"/>
    <w:rsid w:val="00C86DB5"/>
    <w:rsid w:val="00C86E4E"/>
    <w:rsid w:val="00C86F35"/>
    <w:rsid w:val="00C9015D"/>
    <w:rsid w:val="00C9195C"/>
    <w:rsid w:val="00C92067"/>
    <w:rsid w:val="00C92076"/>
    <w:rsid w:val="00C9272D"/>
    <w:rsid w:val="00C92C95"/>
    <w:rsid w:val="00C93C5F"/>
    <w:rsid w:val="00C93D57"/>
    <w:rsid w:val="00C955C7"/>
    <w:rsid w:val="00C95710"/>
    <w:rsid w:val="00C9706A"/>
    <w:rsid w:val="00C974DF"/>
    <w:rsid w:val="00C97C05"/>
    <w:rsid w:val="00CA42CD"/>
    <w:rsid w:val="00CA4BB4"/>
    <w:rsid w:val="00CA5AFC"/>
    <w:rsid w:val="00CA6A45"/>
    <w:rsid w:val="00CA6B62"/>
    <w:rsid w:val="00CA7241"/>
    <w:rsid w:val="00CA7851"/>
    <w:rsid w:val="00CB0E17"/>
    <w:rsid w:val="00CB0EFD"/>
    <w:rsid w:val="00CB0FDC"/>
    <w:rsid w:val="00CB10ED"/>
    <w:rsid w:val="00CB141E"/>
    <w:rsid w:val="00CB33FB"/>
    <w:rsid w:val="00CB3577"/>
    <w:rsid w:val="00CB4079"/>
    <w:rsid w:val="00CB50E7"/>
    <w:rsid w:val="00CB5432"/>
    <w:rsid w:val="00CB5819"/>
    <w:rsid w:val="00CB6689"/>
    <w:rsid w:val="00CB68C8"/>
    <w:rsid w:val="00CB7321"/>
    <w:rsid w:val="00CB74D5"/>
    <w:rsid w:val="00CC0317"/>
    <w:rsid w:val="00CC19AF"/>
    <w:rsid w:val="00CC2978"/>
    <w:rsid w:val="00CC2C11"/>
    <w:rsid w:val="00CC31AE"/>
    <w:rsid w:val="00CC3917"/>
    <w:rsid w:val="00CC4F01"/>
    <w:rsid w:val="00CC5CD3"/>
    <w:rsid w:val="00CC6CA3"/>
    <w:rsid w:val="00CC7E98"/>
    <w:rsid w:val="00CD0145"/>
    <w:rsid w:val="00CD0E4F"/>
    <w:rsid w:val="00CD1276"/>
    <w:rsid w:val="00CD22C6"/>
    <w:rsid w:val="00CD2386"/>
    <w:rsid w:val="00CD25C0"/>
    <w:rsid w:val="00CD27CE"/>
    <w:rsid w:val="00CD2DEC"/>
    <w:rsid w:val="00CD2F44"/>
    <w:rsid w:val="00CD375B"/>
    <w:rsid w:val="00CD392C"/>
    <w:rsid w:val="00CD3C4C"/>
    <w:rsid w:val="00CD3F1F"/>
    <w:rsid w:val="00CD456B"/>
    <w:rsid w:val="00CD48FE"/>
    <w:rsid w:val="00CD54FE"/>
    <w:rsid w:val="00CD5773"/>
    <w:rsid w:val="00CD70A3"/>
    <w:rsid w:val="00CE01C7"/>
    <w:rsid w:val="00CE1AD4"/>
    <w:rsid w:val="00CE3BD9"/>
    <w:rsid w:val="00CE490C"/>
    <w:rsid w:val="00CE53B1"/>
    <w:rsid w:val="00CE56B7"/>
    <w:rsid w:val="00CE572A"/>
    <w:rsid w:val="00CE5820"/>
    <w:rsid w:val="00CE65FD"/>
    <w:rsid w:val="00CF0B45"/>
    <w:rsid w:val="00CF0C43"/>
    <w:rsid w:val="00CF2143"/>
    <w:rsid w:val="00CF301C"/>
    <w:rsid w:val="00CF313D"/>
    <w:rsid w:val="00CF398D"/>
    <w:rsid w:val="00CF39D7"/>
    <w:rsid w:val="00CF46DA"/>
    <w:rsid w:val="00CF4C5C"/>
    <w:rsid w:val="00CF53AC"/>
    <w:rsid w:val="00CF6493"/>
    <w:rsid w:val="00CF6549"/>
    <w:rsid w:val="00CF6CAF"/>
    <w:rsid w:val="00CF6D60"/>
    <w:rsid w:val="00D01844"/>
    <w:rsid w:val="00D01ABC"/>
    <w:rsid w:val="00D01D8E"/>
    <w:rsid w:val="00D028F2"/>
    <w:rsid w:val="00D02F92"/>
    <w:rsid w:val="00D035B1"/>
    <w:rsid w:val="00D036B8"/>
    <w:rsid w:val="00D03989"/>
    <w:rsid w:val="00D044DE"/>
    <w:rsid w:val="00D045EA"/>
    <w:rsid w:val="00D04926"/>
    <w:rsid w:val="00D04C49"/>
    <w:rsid w:val="00D0514A"/>
    <w:rsid w:val="00D0525C"/>
    <w:rsid w:val="00D078B1"/>
    <w:rsid w:val="00D10D73"/>
    <w:rsid w:val="00D112DD"/>
    <w:rsid w:val="00D114A9"/>
    <w:rsid w:val="00D11F27"/>
    <w:rsid w:val="00D12557"/>
    <w:rsid w:val="00D12FB0"/>
    <w:rsid w:val="00D13C52"/>
    <w:rsid w:val="00D13F81"/>
    <w:rsid w:val="00D141AB"/>
    <w:rsid w:val="00D161A9"/>
    <w:rsid w:val="00D16E8A"/>
    <w:rsid w:val="00D1743B"/>
    <w:rsid w:val="00D1767C"/>
    <w:rsid w:val="00D1782E"/>
    <w:rsid w:val="00D17AC4"/>
    <w:rsid w:val="00D20B84"/>
    <w:rsid w:val="00D20CCE"/>
    <w:rsid w:val="00D20E2F"/>
    <w:rsid w:val="00D210E5"/>
    <w:rsid w:val="00D21152"/>
    <w:rsid w:val="00D21FFC"/>
    <w:rsid w:val="00D22672"/>
    <w:rsid w:val="00D228DA"/>
    <w:rsid w:val="00D230C7"/>
    <w:rsid w:val="00D25695"/>
    <w:rsid w:val="00D26EDF"/>
    <w:rsid w:val="00D271CE"/>
    <w:rsid w:val="00D27470"/>
    <w:rsid w:val="00D27964"/>
    <w:rsid w:val="00D27A2B"/>
    <w:rsid w:val="00D3042B"/>
    <w:rsid w:val="00D31BCA"/>
    <w:rsid w:val="00D323D6"/>
    <w:rsid w:val="00D32634"/>
    <w:rsid w:val="00D32B04"/>
    <w:rsid w:val="00D33A4B"/>
    <w:rsid w:val="00D33E3F"/>
    <w:rsid w:val="00D34F1C"/>
    <w:rsid w:val="00D35070"/>
    <w:rsid w:val="00D354D8"/>
    <w:rsid w:val="00D355BA"/>
    <w:rsid w:val="00D35C47"/>
    <w:rsid w:val="00D40108"/>
    <w:rsid w:val="00D404FD"/>
    <w:rsid w:val="00D410F9"/>
    <w:rsid w:val="00D412D2"/>
    <w:rsid w:val="00D42073"/>
    <w:rsid w:val="00D4255D"/>
    <w:rsid w:val="00D426D7"/>
    <w:rsid w:val="00D426EA"/>
    <w:rsid w:val="00D42EDF"/>
    <w:rsid w:val="00D43493"/>
    <w:rsid w:val="00D436FE"/>
    <w:rsid w:val="00D438E0"/>
    <w:rsid w:val="00D43C21"/>
    <w:rsid w:val="00D440A5"/>
    <w:rsid w:val="00D44B43"/>
    <w:rsid w:val="00D44BF4"/>
    <w:rsid w:val="00D4563F"/>
    <w:rsid w:val="00D45C4E"/>
    <w:rsid w:val="00D46599"/>
    <w:rsid w:val="00D46E35"/>
    <w:rsid w:val="00D47587"/>
    <w:rsid w:val="00D475BF"/>
    <w:rsid w:val="00D4764C"/>
    <w:rsid w:val="00D500CD"/>
    <w:rsid w:val="00D5093A"/>
    <w:rsid w:val="00D52E87"/>
    <w:rsid w:val="00D5305C"/>
    <w:rsid w:val="00D53B5C"/>
    <w:rsid w:val="00D54AD5"/>
    <w:rsid w:val="00D54E2E"/>
    <w:rsid w:val="00D5509F"/>
    <w:rsid w:val="00D57380"/>
    <w:rsid w:val="00D604DE"/>
    <w:rsid w:val="00D60761"/>
    <w:rsid w:val="00D617E7"/>
    <w:rsid w:val="00D61AAA"/>
    <w:rsid w:val="00D627F3"/>
    <w:rsid w:val="00D64219"/>
    <w:rsid w:val="00D646B4"/>
    <w:rsid w:val="00D64F01"/>
    <w:rsid w:val="00D657A2"/>
    <w:rsid w:val="00D657D5"/>
    <w:rsid w:val="00D660FA"/>
    <w:rsid w:val="00D67042"/>
    <w:rsid w:val="00D678E5"/>
    <w:rsid w:val="00D6796D"/>
    <w:rsid w:val="00D7017A"/>
    <w:rsid w:val="00D7093F"/>
    <w:rsid w:val="00D70DEC"/>
    <w:rsid w:val="00D723DD"/>
    <w:rsid w:val="00D72AAB"/>
    <w:rsid w:val="00D72F96"/>
    <w:rsid w:val="00D7334E"/>
    <w:rsid w:val="00D73C3D"/>
    <w:rsid w:val="00D73FD7"/>
    <w:rsid w:val="00D74D9D"/>
    <w:rsid w:val="00D74FEA"/>
    <w:rsid w:val="00D7583F"/>
    <w:rsid w:val="00D762D5"/>
    <w:rsid w:val="00D7666C"/>
    <w:rsid w:val="00D77C65"/>
    <w:rsid w:val="00D803F1"/>
    <w:rsid w:val="00D80977"/>
    <w:rsid w:val="00D810F8"/>
    <w:rsid w:val="00D81AC1"/>
    <w:rsid w:val="00D81FC7"/>
    <w:rsid w:val="00D82589"/>
    <w:rsid w:val="00D825C7"/>
    <w:rsid w:val="00D82E6F"/>
    <w:rsid w:val="00D83651"/>
    <w:rsid w:val="00D837E1"/>
    <w:rsid w:val="00D84190"/>
    <w:rsid w:val="00D84823"/>
    <w:rsid w:val="00D8565A"/>
    <w:rsid w:val="00D85BD9"/>
    <w:rsid w:val="00D86E0A"/>
    <w:rsid w:val="00D879D2"/>
    <w:rsid w:val="00D87AB7"/>
    <w:rsid w:val="00D87C67"/>
    <w:rsid w:val="00D87F11"/>
    <w:rsid w:val="00D9018D"/>
    <w:rsid w:val="00D9079E"/>
    <w:rsid w:val="00D90DD0"/>
    <w:rsid w:val="00D9232A"/>
    <w:rsid w:val="00D942C8"/>
    <w:rsid w:val="00D944EC"/>
    <w:rsid w:val="00D953E4"/>
    <w:rsid w:val="00D96230"/>
    <w:rsid w:val="00D96EE6"/>
    <w:rsid w:val="00D96FB0"/>
    <w:rsid w:val="00D9700D"/>
    <w:rsid w:val="00D978FA"/>
    <w:rsid w:val="00DA1257"/>
    <w:rsid w:val="00DA2F17"/>
    <w:rsid w:val="00DA34BB"/>
    <w:rsid w:val="00DA3D72"/>
    <w:rsid w:val="00DA4DA9"/>
    <w:rsid w:val="00DA4DB7"/>
    <w:rsid w:val="00DA74B5"/>
    <w:rsid w:val="00DA7871"/>
    <w:rsid w:val="00DB01D6"/>
    <w:rsid w:val="00DB0365"/>
    <w:rsid w:val="00DB04C4"/>
    <w:rsid w:val="00DB10DC"/>
    <w:rsid w:val="00DB14CC"/>
    <w:rsid w:val="00DB2C86"/>
    <w:rsid w:val="00DB49BD"/>
    <w:rsid w:val="00DB5140"/>
    <w:rsid w:val="00DB5820"/>
    <w:rsid w:val="00DB6282"/>
    <w:rsid w:val="00DB7100"/>
    <w:rsid w:val="00DB725E"/>
    <w:rsid w:val="00DB7E64"/>
    <w:rsid w:val="00DB7ECB"/>
    <w:rsid w:val="00DC06D4"/>
    <w:rsid w:val="00DC071D"/>
    <w:rsid w:val="00DC0B5F"/>
    <w:rsid w:val="00DC0D4E"/>
    <w:rsid w:val="00DC0D58"/>
    <w:rsid w:val="00DC148E"/>
    <w:rsid w:val="00DC1863"/>
    <w:rsid w:val="00DC1B15"/>
    <w:rsid w:val="00DC1E49"/>
    <w:rsid w:val="00DC22AE"/>
    <w:rsid w:val="00DC3504"/>
    <w:rsid w:val="00DC3A84"/>
    <w:rsid w:val="00DC3B25"/>
    <w:rsid w:val="00DC57FB"/>
    <w:rsid w:val="00DC5B23"/>
    <w:rsid w:val="00DC5CE0"/>
    <w:rsid w:val="00DC7966"/>
    <w:rsid w:val="00DC7A4F"/>
    <w:rsid w:val="00DC7DAC"/>
    <w:rsid w:val="00DD0147"/>
    <w:rsid w:val="00DD056D"/>
    <w:rsid w:val="00DD12F9"/>
    <w:rsid w:val="00DD169A"/>
    <w:rsid w:val="00DD2332"/>
    <w:rsid w:val="00DD262A"/>
    <w:rsid w:val="00DD2E18"/>
    <w:rsid w:val="00DD309E"/>
    <w:rsid w:val="00DD3C18"/>
    <w:rsid w:val="00DD4E02"/>
    <w:rsid w:val="00DD58FE"/>
    <w:rsid w:val="00DD5F00"/>
    <w:rsid w:val="00DD7BD2"/>
    <w:rsid w:val="00DE0B33"/>
    <w:rsid w:val="00DE1101"/>
    <w:rsid w:val="00DE140A"/>
    <w:rsid w:val="00DE14E6"/>
    <w:rsid w:val="00DE1C61"/>
    <w:rsid w:val="00DE2F92"/>
    <w:rsid w:val="00DE39F0"/>
    <w:rsid w:val="00DE3CC6"/>
    <w:rsid w:val="00DE4CAB"/>
    <w:rsid w:val="00DE5AD4"/>
    <w:rsid w:val="00DE6208"/>
    <w:rsid w:val="00DE677C"/>
    <w:rsid w:val="00DE74CB"/>
    <w:rsid w:val="00DE7903"/>
    <w:rsid w:val="00DF0D90"/>
    <w:rsid w:val="00DF2DE9"/>
    <w:rsid w:val="00DF3660"/>
    <w:rsid w:val="00DF41B6"/>
    <w:rsid w:val="00DF5018"/>
    <w:rsid w:val="00DF5585"/>
    <w:rsid w:val="00DF5A25"/>
    <w:rsid w:val="00DF6FD7"/>
    <w:rsid w:val="00DF7087"/>
    <w:rsid w:val="00DF71AB"/>
    <w:rsid w:val="00DF75F2"/>
    <w:rsid w:val="00DF7B5E"/>
    <w:rsid w:val="00E00AA8"/>
    <w:rsid w:val="00E02B0B"/>
    <w:rsid w:val="00E02E87"/>
    <w:rsid w:val="00E02EC4"/>
    <w:rsid w:val="00E0318D"/>
    <w:rsid w:val="00E0349B"/>
    <w:rsid w:val="00E037F0"/>
    <w:rsid w:val="00E0385E"/>
    <w:rsid w:val="00E048D6"/>
    <w:rsid w:val="00E05000"/>
    <w:rsid w:val="00E06A9A"/>
    <w:rsid w:val="00E06C6A"/>
    <w:rsid w:val="00E06C8C"/>
    <w:rsid w:val="00E06CB0"/>
    <w:rsid w:val="00E06F11"/>
    <w:rsid w:val="00E06FFB"/>
    <w:rsid w:val="00E07F5D"/>
    <w:rsid w:val="00E10797"/>
    <w:rsid w:val="00E109E2"/>
    <w:rsid w:val="00E111E0"/>
    <w:rsid w:val="00E1271A"/>
    <w:rsid w:val="00E131BE"/>
    <w:rsid w:val="00E1404A"/>
    <w:rsid w:val="00E14227"/>
    <w:rsid w:val="00E142A1"/>
    <w:rsid w:val="00E1485E"/>
    <w:rsid w:val="00E15449"/>
    <w:rsid w:val="00E15D2C"/>
    <w:rsid w:val="00E15D76"/>
    <w:rsid w:val="00E15F98"/>
    <w:rsid w:val="00E16910"/>
    <w:rsid w:val="00E17748"/>
    <w:rsid w:val="00E2108B"/>
    <w:rsid w:val="00E21415"/>
    <w:rsid w:val="00E2229B"/>
    <w:rsid w:val="00E22803"/>
    <w:rsid w:val="00E22B89"/>
    <w:rsid w:val="00E22ECC"/>
    <w:rsid w:val="00E25356"/>
    <w:rsid w:val="00E258AA"/>
    <w:rsid w:val="00E260DE"/>
    <w:rsid w:val="00E271F2"/>
    <w:rsid w:val="00E27AE4"/>
    <w:rsid w:val="00E27B4C"/>
    <w:rsid w:val="00E27C9B"/>
    <w:rsid w:val="00E30AFE"/>
    <w:rsid w:val="00E3144E"/>
    <w:rsid w:val="00E31523"/>
    <w:rsid w:val="00E31AD2"/>
    <w:rsid w:val="00E340CD"/>
    <w:rsid w:val="00E34B91"/>
    <w:rsid w:val="00E40315"/>
    <w:rsid w:val="00E41222"/>
    <w:rsid w:val="00E41B17"/>
    <w:rsid w:val="00E420BB"/>
    <w:rsid w:val="00E43239"/>
    <w:rsid w:val="00E43970"/>
    <w:rsid w:val="00E44A35"/>
    <w:rsid w:val="00E44C95"/>
    <w:rsid w:val="00E450E2"/>
    <w:rsid w:val="00E45A16"/>
    <w:rsid w:val="00E45D3E"/>
    <w:rsid w:val="00E45DC4"/>
    <w:rsid w:val="00E4678E"/>
    <w:rsid w:val="00E479ED"/>
    <w:rsid w:val="00E517D0"/>
    <w:rsid w:val="00E5181E"/>
    <w:rsid w:val="00E51FAC"/>
    <w:rsid w:val="00E520BD"/>
    <w:rsid w:val="00E524A6"/>
    <w:rsid w:val="00E52718"/>
    <w:rsid w:val="00E537A2"/>
    <w:rsid w:val="00E54792"/>
    <w:rsid w:val="00E55EDB"/>
    <w:rsid w:val="00E56052"/>
    <w:rsid w:val="00E56249"/>
    <w:rsid w:val="00E563A3"/>
    <w:rsid w:val="00E56620"/>
    <w:rsid w:val="00E56DB2"/>
    <w:rsid w:val="00E57428"/>
    <w:rsid w:val="00E5748E"/>
    <w:rsid w:val="00E57491"/>
    <w:rsid w:val="00E574D4"/>
    <w:rsid w:val="00E57DC7"/>
    <w:rsid w:val="00E601EC"/>
    <w:rsid w:val="00E60909"/>
    <w:rsid w:val="00E61373"/>
    <w:rsid w:val="00E61534"/>
    <w:rsid w:val="00E63AFE"/>
    <w:rsid w:val="00E6414F"/>
    <w:rsid w:val="00E64391"/>
    <w:rsid w:val="00E644AF"/>
    <w:rsid w:val="00E64664"/>
    <w:rsid w:val="00E64E0B"/>
    <w:rsid w:val="00E6510B"/>
    <w:rsid w:val="00E66160"/>
    <w:rsid w:val="00E662EC"/>
    <w:rsid w:val="00E662FD"/>
    <w:rsid w:val="00E66590"/>
    <w:rsid w:val="00E66965"/>
    <w:rsid w:val="00E67219"/>
    <w:rsid w:val="00E674E7"/>
    <w:rsid w:val="00E70C27"/>
    <w:rsid w:val="00E725BA"/>
    <w:rsid w:val="00E7298E"/>
    <w:rsid w:val="00E72BF6"/>
    <w:rsid w:val="00E73623"/>
    <w:rsid w:val="00E73E2C"/>
    <w:rsid w:val="00E75575"/>
    <w:rsid w:val="00E75B7D"/>
    <w:rsid w:val="00E771C8"/>
    <w:rsid w:val="00E77B6E"/>
    <w:rsid w:val="00E77FDA"/>
    <w:rsid w:val="00E80203"/>
    <w:rsid w:val="00E814BA"/>
    <w:rsid w:val="00E824BC"/>
    <w:rsid w:val="00E82857"/>
    <w:rsid w:val="00E82C32"/>
    <w:rsid w:val="00E82D26"/>
    <w:rsid w:val="00E83111"/>
    <w:rsid w:val="00E83156"/>
    <w:rsid w:val="00E83C10"/>
    <w:rsid w:val="00E83CC8"/>
    <w:rsid w:val="00E84771"/>
    <w:rsid w:val="00E84C2B"/>
    <w:rsid w:val="00E852E8"/>
    <w:rsid w:val="00E90314"/>
    <w:rsid w:val="00E9058F"/>
    <w:rsid w:val="00E90D20"/>
    <w:rsid w:val="00E90E1C"/>
    <w:rsid w:val="00E91523"/>
    <w:rsid w:val="00E91D29"/>
    <w:rsid w:val="00E9259D"/>
    <w:rsid w:val="00E926D3"/>
    <w:rsid w:val="00E92DD0"/>
    <w:rsid w:val="00E95E2B"/>
    <w:rsid w:val="00E95F4D"/>
    <w:rsid w:val="00E960E6"/>
    <w:rsid w:val="00E96F35"/>
    <w:rsid w:val="00EA07B1"/>
    <w:rsid w:val="00EA09BC"/>
    <w:rsid w:val="00EA0F48"/>
    <w:rsid w:val="00EA1DB4"/>
    <w:rsid w:val="00EA2B1D"/>
    <w:rsid w:val="00EA2F38"/>
    <w:rsid w:val="00EA43B1"/>
    <w:rsid w:val="00EA50A0"/>
    <w:rsid w:val="00EA582F"/>
    <w:rsid w:val="00EA6139"/>
    <w:rsid w:val="00EB0E59"/>
    <w:rsid w:val="00EB1758"/>
    <w:rsid w:val="00EB21CC"/>
    <w:rsid w:val="00EB26E2"/>
    <w:rsid w:val="00EB2BDF"/>
    <w:rsid w:val="00EB2CB1"/>
    <w:rsid w:val="00EB30A7"/>
    <w:rsid w:val="00EB34C0"/>
    <w:rsid w:val="00EB3915"/>
    <w:rsid w:val="00EB4130"/>
    <w:rsid w:val="00EB44CC"/>
    <w:rsid w:val="00EB455E"/>
    <w:rsid w:val="00EB5E86"/>
    <w:rsid w:val="00EB6623"/>
    <w:rsid w:val="00EB67B1"/>
    <w:rsid w:val="00EB6BB3"/>
    <w:rsid w:val="00EB7BC2"/>
    <w:rsid w:val="00EC18CB"/>
    <w:rsid w:val="00EC1C74"/>
    <w:rsid w:val="00EC1F09"/>
    <w:rsid w:val="00EC38B3"/>
    <w:rsid w:val="00EC396E"/>
    <w:rsid w:val="00EC45F5"/>
    <w:rsid w:val="00EC4F0A"/>
    <w:rsid w:val="00EC550F"/>
    <w:rsid w:val="00EC5632"/>
    <w:rsid w:val="00EC5773"/>
    <w:rsid w:val="00EC6BDE"/>
    <w:rsid w:val="00EC76E5"/>
    <w:rsid w:val="00EC78A0"/>
    <w:rsid w:val="00ED0C54"/>
    <w:rsid w:val="00ED2F34"/>
    <w:rsid w:val="00ED3688"/>
    <w:rsid w:val="00ED3BFF"/>
    <w:rsid w:val="00ED4BEE"/>
    <w:rsid w:val="00ED4E0B"/>
    <w:rsid w:val="00ED536A"/>
    <w:rsid w:val="00ED5473"/>
    <w:rsid w:val="00ED60E8"/>
    <w:rsid w:val="00ED674F"/>
    <w:rsid w:val="00ED6984"/>
    <w:rsid w:val="00ED6FEB"/>
    <w:rsid w:val="00ED76D1"/>
    <w:rsid w:val="00EE01B6"/>
    <w:rsid w:val="00EE0286"/>
    <w:rsid w:val="00EE2961"/>
    <w:rsid w:val="00EE2AA0"/>
    <w:rsid w:val="00EE364C"/>
    <w:rsid w:val="00EE3F14"/>
    <w:rsid w:val="00EE438E"/>
    <w:rsid w:val="00EE5AD2"/>
    <w:rsid w:val="00EE5D0C"/>
    <w:rsid w:val="00EE5EA8"/>
    <w:rsid w:val="00EE64C1"/>
    <w:rsid w:val="00EE6896"/>
    <w:rsid w:val="00EE756B"/>
    <w:rsid w:val="00EF0E4C"/>
    <w:rsid w:val="00EF14E9"/>
    <w:rsid w:val="00EF1A49"/>
    <w:rsid w:val="00EF25F5"/>
    <w:rsid w:val="00EF3CB9"/>
    <w:rsid w:val="00EF4AEA"/>
    <w:rsid w:val="00EF60DE"/>
    <w:rsid w:val="00F0112B"/>
    <w:rsid w:val="00F01244"/>
    <w:rsid w:val="00F012FD"/>
    <w:rsid w:val="00F036B0"/>
    <w:rsid w:val="00F049E1"/>
    <w:rsid w:val="00F05ACD"/>
    <w:rsid w:val="00F06CB9"/>
    <w:rsid w:val="00F0729B"/>
    <w:rsid w:val="00F07F5D"/>
    <w:rsid w:val="00F100E2"/>
    <w:rsid w:val="00F10483"/>
    <w:rsid w:val="00F10DF5"/>
    <w:rsid w:val="00F1155E"/>
    <w:rsid w:val="00F129B9"/>
    <w:rsid w:val="00F14030"/>
    <w:rsid w:val="00F1410D"/>
    <w:rsid w:val="00F14177"/>
    <w:rsid w:val="00F14822"/>
    <w:rsid w:val="00F15C20"/>
    <w:rsid w:val="00F16642"/>
    <w:rsid w:val="00F17281"/>
    <w:rsid w:val="00F203CC"/>
    <w:rsid w:val="00F20544"/>
    <w:rsid w:val="00F20B90"/>
    <w:rsid w:val="00F20F79"/>
    <w:rsid w:val="00F21E28"/>
    <w:rsid w:val="00F22864"/>
    <w:rsid w:val="00F23328"/>
    <w:rsid w:val="00F2394B"/>
    <w:rsid w:val="00F2406F"/>
    <w:rsid w:val="00F24AC8"/>
    <w:rsid w:val="00F24C2A"/>
    <w:rsid w:val="00F24CC1"/>
    <w:rsid w:val="00F24DAE"/>
    <w:rsid w:val="00F2507C"/>
    <w:rsid w:val="00F25D23"/>
    <w:rsid w:val="00F25E5D"/>
    <w:rsid w:val="00F26AC7"/>
    <w:rsid w:val="00F26D0F"/>
    <w:rsid w:val="00F26EB7"/>
    <w:rsid w:val="00F27019"/>
    <w:rsid w:val="00F31007"/>
    <w:rsid w:val="00F31DB2"/>
    <w:rsid w:val="00F32610"/>
    <w:rsid w:val="00F32E2F"/>
    <w:rsid w:val="00F33772"/>
    <w:rsid w:val="00F33D0D"/>
    <w:rsid w:val="00F33D85"/>
    <w:rsid w:val="00F340C9"/>
    <w:rsid w:val="00F34134"/>
    <w:rsid w:val="00F34703"/>
    <w:rsid w:val="00F34B46"/>
    <w:rsid w:val="00F34D34"/>
    <w:rsid w:val="00F36C41"/>
    <w:rsid w:val="00F37352"/>
    <w:rsid w:val="00F40FAC"/>
    <w:rsid w:val="00F41C5E"/>
    <w:rsid w:val="00F4212B"/>
    <w:rsid w:val="00F4361B"/>
    <w:rsid w:val="00F43698"/>
    <w:rsid w:val="00F4379B"/>
    <w:rsid w:val="00F43BC0"/>
    <w:rsid w:val="00F43CE4"/>
    <w:rsid w:val="00F4411B"/>
    <w:rsid w:val="00F447F2"/>
    <w:rsid w:val="00F45CCF"/>
    <w:rsid w:val="00F45F1A"/>
    <w:rsid w:val="00F476B0"/>
    <w:rsid w:val="00F519E0"/>
    <w:rsid w:val="00F51E0B"/>
    <w:rsid w:val="00F52026"/>
    <w:rsid w:val="00F52281"/>
    <w:rsid w:val="00F52C8B"/>
    <w:rsid w:val="00F54528"/>
    <w:rsid w:val="00F54E88"/>
    <w:rsid w:val="00F55A0A"/>
    <w:rsid w:val="00F55F30"/>
    <w:rsid w:val="00F569DF"/>
    <w:rsid w:val="00F56B60"/>
    <w:rsid w:val="00F56E14"/>
    <w:rsid w:val="00F57BF8"/>
    <w:rsid w:val="00F603A7"/>
    <w:rsid w:val="00F6171F"/>
    <w:rsid w:val="00F6198E"/>
    <w:rsid w:val="00F61EC4"/>
    <w:rsid w:val="00F627D3"/>
    <w:rsid w:val="00F6314D"/>
    <w:rsid w:val="00F63C2F"/>
    <w:rsid w:val="00F63FC5"/>
    <w:rsid w:val="00F63FCC"/>
    <w:rsid w:val="00F64A61"/>
    <w:rsid w:val="00F64D19"/>
    <w:rsid w:val="00F66462"/>
    <w:rsid w:val="00F664DC"/>
    <w:rsid w:val="00F6690A"/>
    <w:rsid w:val="00F67196"/>
    <w:rsid w:val="00F67497"/>
    <w:rsid w:val="00F70D15"/>
    <w:rsid w:val="00F71EAF"/>
    <w:rsid w:val="00F72121"/>
    <w:rsid w:val="00F7234E"/>
    <w:rsid w:val="00F72CE7"/>
    <w:rsid w:val="00F72DF9"/>
    <w:rsid w:val="00F73ACB"/>
    <w:rsid w:val="00F73FB6"/>
    <w:rsid w:val="00F7428A"/>
    <w:rsid w:val="00F75BE9"/>
    <w:rsid w:val="00F76231"/>
    <w:rsid w:val="00F76699"/>
    <w:rsid w:val="00F76890"/>
    <w:rsid w:val="00F77765"/>
    <w:rsid w:val="00F77B50"/>
    <w:rsid w:val="00F77CAC"/>
    <w:rsid w:val="00F82303"/>
    <w:rsid w:val="00F82C6F"/>
    <w:rsid w:val="00F83802"/>
    <w:rsid w:val="00F84062"/>
    <w:rsid w:val="00F8443B"/>
    <w:rsid w:val="00F84454"/>
    <w:rsid w:val="00F863DD"/>
    <w:rsid w:val="00F878CC"/>
    <w:rsid w:val="00F9105E"/>
    <w:rsid w:val="00F912BC"/>
    <w:rsid w:val="00F916ED"/>
    <w:rsid w:val="00F91B2C"/>
    <w:rsid w:val="00F92ECC"/>
    <w:rsid w:val="00F940E9"/>
    <w:rsid w:val="00F94390"/>
    <w:rsid w:val="00F94AE0"/>
    <w:rsid w:val="00F9524A"/>
    <w:rsid w:val="00F95DF3"/>
    <w:rsid w:val="00F9641D"/>
    <w:rsid w:val="00F966FC"/>
    <w:rsid w:val="00F979A3"/>
    <w:rsid w:val="00F97D72"/>
    <w:rsid w:val="00FA028D"/>
    <w:rsid w:val="00FA0697"/>
    <w:rsid w:val="00FA119E"/>
    <w:rsid w:val="00FA1B82"/>
    <w:rsid w:val="00FA1BC4"/>
    <w:rsid w:val="00FA348E"/>
    <w:rsid w:val="00FA5CE1"/>
    <w:rsid w:val="00FA5FDC"/>
    <w:rsid w:val="00FA6250"/>
    <w:rsid w:val="00FA62A4"/>
    <w:rsid w:val="00FA6862"/>
    <w:rsid w:val="00FA6F5E"/>
    <w:rsid w:val="00FB0C7C"/>
    <w:rsid w:val="00FB251D"/>
    <w:rsid w:val="00FB2F59"/>
    <w:rsid w:val="00FB2FF3"/>
    <w:rsid w:val="00FB3309"/>
    <w:rsid w:val="00FB3387"/>
    <w:rsid w:val="00FB443A"/>
    <w:rsid w:val="00FB5247"/>
    <w:rsid w:val="00FB55D7"/>
    <w:rsid w:val="00FB6F9A"/>
    <w:rsid w:val="00FB7C55"/>
    <w:rsid w:val="00FC07D9"/>
    <w:rsid w:val="00FC0D09"/>
    <w:rsid w:val="00FC1474"/>
    <w:rsid w:val="00FC19D8"/>
    <w:rsid w:val="00FC1D0A"/>
    <w:rsid w:val="00FC1E38"/>
    <w:rsid w:val="00FC1EAB"/>
    <w:rsid w:val="00FC23BD"/>
    <w:rsid w:val="00FC3037"/>
    <w:rsid w:val="00FC3271"/>
    <w:rsid w:val="00FC38B1"/>
    <w:rsid w:val="00FC3E1A"/>
    <w:rsid w:val="00FC3EAC"/>
    <w:rsid w:val="00FC5D4D"/>
    <w:rsid w:val="00FC6C9C"/>
    <w:rsid w:val="00FD0727"/>
    <w:rsid w:val="00FD1405"/>
    <w:rsid w:val="00FD15AA"/>
    <w:rsid w:val="00FD190A"/>
    <w:rsid w:val="00FD24D4"/>
    <w:rsid w:val="00FD31BE"/>
    <w:rsid w:val="00FD31D9"/>
    <w:rsid w:val="00FD41D7"/>
    <w:rsid w:val="00FD4225"/>
    <w:rsid w:val="00FD50E9"/>
    <w:rsid w:val="00FD540B"/>
    <w:rsid w:val="00FD5779"/>
    <w:rsid w:val="00FD5C34"/>
    <w:rsid w:val="00FD63BB"/>
    <w:rsid w:val="00FD6DA5"/>
    <w:rsid w:val="00FD6F22"/>
    <w:rsid w:val="00FD6FB2"/>
    <w:rsid w:val="00FD7A01"/>
    <w:rsid w:val="00FE0E34"/>
    <w:rsid w:val="00FE0E84"/>
    <w:rsid w:val="00FE0F3A"/>
    <w:rsid w:val="00FE1ADF"/>
    <w:rsid w:val="00FE1F18"/>
    <w:rsid w:val="00FE2463"/>
    <w:rsid w:val="00FE284C"/>
    <w:rsid w:val="00FE2ADE"/>
    <w:rsid w:val="00FE2DC1"/>
    <w:rsid w:val="00FE3801"/>
    <w:rsid w:val="00FE390E"/>
    <w:rsid w:val="00FE3E7D"/>
    <w:rsid w:val="00FE5BA4"/>
    <w:rsid w:val="00FE6664"/>
    <w:rsid w:val="00FE6C42"/>
    <w:rsid w:val="00FE7B01"/>
    <w:rsid w:val="00FF1126"/>
    <w:rsid w:val="00FF3245"/>
    <w:rsid w:val="00FF4F50"/>
    <w:rsid w:val="00FF55A5"/>
    <w:rsid w:val="00FF6BBF"/>
    <w:rsid w:val="00FF7537"/>
    <w:rsid w:val="00FF7D00"/>
    <w:rsid w:val="00FF7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4"/>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Bullet"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C3917"/>
    <w:rPr>
      <w:rFonts w:ascii="Times New Roman" w:hAnsi="Times New Roman"/>
      <w:sz w:val="24"/>
      <w:lang w:val="en-GB"/>
    </w:rPr>
  </w:style>
  <w:style w:type="paragraph" w:styleId="1">
    <w:name w:val="heading 1"/>
    <w:basedOn w:val="a0"/>
    <w:next w:val="a0"/>
    <w:link w:val="1Char1"/>
    <w:uiPriority w:val="9"/>
    <w:qFormat/>
    <w:rsid w:val="00CC3917"/>
    <w:pPr>
      <w:keepNext/>
      <w:spacing w:before="240" w:after="60"/>
      <w:outlineLvl w:val="0"/>
    </w:pPr>
    <w:rPr>
      <w:rFonts w:ascii="Cambria" w:eastAsia="MS Gothic" w:hAnsi="Cambria"/>
      <w:b/>
      <w:bCs/>
      <w:kern w:val="32"/>
      <w:sz w:val="32"/>
      <w:szCs w:val="32"/>
    </w:rPr>
  </w:style>
  <w:style w:type="paragraph" w:styleId="3">
    <w:name w:val="heading 3"/>
    <w:basedOn w:val="a0"/>
    <w:next w:val="a0"/>
    <w:link w:val="3Char"/>
    <w:uiPriority w:val="9"/>
    <w:semiHidden/>
    <w:unhideWhenUsed/>
    <w:qFormat/>
    <w:rsid w:val="00CC3917"/>
    <w:pPr>
      <w:keepNext/>
      <w:spacing w:before="240" w:after="60"/>
      <w:outlineLvl w:val="2"/>
    </w:pPr>
    <w:rPr>
      <w:rFonts w:ascii="Cambria" w:eastAsia="MS Gothic"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ocumentLabel">
    <w:name w:val="Document Label"/>
    <w:basedOn w:val="a0"/>
    <w:rsid w:val="001D44D7"/>
    <w:pPr>
      <w:keepNext/>
      <w:keepLines/>
      <w:overflowPunct w:val="0"/>
      <w:autoSpaceDE w:val="0"/>
      <w:autoSpaceDN w:val="0"/>
      <w:adjustRightInd w:val="0"/>
      <w:spacing w:before="240" w:after="360"/>
      <w:textAlignment w:val="baseline"/>
    </w:pPr>
    <w:rPr>
      <w:b/>
      <w:kern w:val="28"/>
      <w:sz w:val="36"/>
      <w:szCs w:val="20"/>
      <w:lang w:val="en-US"/>
    </w:rPr>
  </w:style>
  <w:style w:type="paragraph" w:customStyle="1" w:styleId="a4">
    <w:name w:val="Ετικέτα εγγράφου"/>
    <w:basedOn w:val="a0"/>
    <w:rsid w:val="001D44D7"/>
    <w:pPr>
      <w:widowControl w:val="0"/>
      <w:overflowPunct w:val="0"/>
      <w:autoSpaceDE w:val="0"/>
      <w:autoSpaceDN w:val="0"/>
      <w:adjustRightInd w:val="0"/>
      <w:textAlignment w:val="baseline"/>
    </w:pPr>
    <w:rPr>
      <w:kern w:val="28"/>
      <w:szCs w:val="20"/>
    </w:rPr>
  </w:style>
  <w:style w:type="paragraph" w:styleId="a5">
    <w:name w:val="footer"/>
    <w:basedOn w:val="a0"/>
    <w:link w:val="Char"/>
    <w:uiPriority w:val="99"/>
    <w:rsid w:val="001D44D7"/>
    <w:pPr>
      <w:tabs>
        <w:tab w:val="center" w:pos="4536"/>
        <w:tab w:val="right" w:pos="9072"/>
      </w:tabs>
      <w:overflowPunct w:val="0"/>
      <w:autoSpaceDE w:val="0"/>
      <w:autoSpaceDN w:val="0"/>
      <w:adjustRightInd w:val="0"/>
      <w:textAlignment w:val="baseline"/>
    </w:pPr>
    <w:rPr>
      <w:sz w:val="20"/>
      <w:szCs w:val="20"/>
    </w:rPr>
  </w:style>
  <w:style w:type="character" w:customStyle="1" w:styleId="Char">
    <w:name w:val="Υποσέλιδο Char"/>
    <w:basedOn w:val="a1"/>
    <w:link w:val="a5"/>
    <w:uiPriority w:val="99"/>
    <w:rsid w:val="001D44D7"/>
  </w:style>
  <w:style w:type="character" w:customStyle="1" w:styleId="1Char">
    <w:name w:val="Επικεφαλίδα 1 Char"/>
    <w:aliases w:val="h1 Char"/>
    <w:basedOn w:val="a1"/>
    <w:rsid w:val="00CC3917"/>
    <w:rPr>
      <w:rFonts w:asciiTheme="majorHAnsi" w:eastAsiaTheme="majorEastAsia" w:hAnsiTheme="majorHAnsi" w:cstheme="majorBidi"/>
      <w:b/>
      <w:bCs/>
      <w:kern w:val="32"/>
      <w:sz w:val="32"/>
      <w:szCs w:val="32"/>
      <w:lang w:val="en-GB"/>
    </w:rPr>
  </w:style>
  <w:style w:type="character" w:customStyle="1" w:styleId="3Char">
    <w:name w:val="Επικεφαλίδα 3 Char"/>
    <w:basedOn w:val="a1"/>
    <w:link w:val="3"/>
    <w:uiPriority w:val="9"/>
    <w:semiHidden/>
    <w:rsid w:val="00CC3917"/>
    <w:rPr>
      <w:rFonts w:ascii="Cambria" w:eastAsia="MS Gothic" w:hAnsi="Cambria"/>
      <w:b/>
      <w:bCs/>
      <w:sz w:val="26"/>
      <w:szCs w:val="26"/>
      <w:lang w:val="en-GB"/>
    </w:rPr>
  </w:style>
  <w:style w:type="paragraph" w:styleId="Web">
    <w:name w:val="Normal (Web)"/>
    <w:basedOn w:val="a0"/>
    <w:link w:val="WebChar"/>
    <w:rsid w:val="00CC3917"/>
    <w:pPr>
      <w:spacing w:before="100" w:beforeAutospacing="1" w:after="100" w:afterAutospacing="1"/>
    </w:pPr>
    <w:rPr>
      <w:lang w:val="el-GR"/>
    </w:rPr>
  </w:style>
  <w:style w:type="paragraph" w:styleId="a6">
    <w:name w:val="Balloon Text"/>
    <w:basedOn w:val="a0"/>
    <w:link w:val="Char0"/>
    <w:rsid w:val="00CC3917"/>
    <w:rPr>
      <w:rFonts w:ascii="Tahoma" w:hAnsi="Tahoma" w:cs="Tahoma"/>
      <w:sz w:val="16"/>
      <w:szCs w:val="16"/>
    </w:rPr>
  </w:style>
  <w:style w:type="character" w:customStyle="1" w:styleId="Char0">
    <w:name w:val="Κείμενο πλαισίου Char"/>
    <w:basedOn w:val="a1"/>
    <w:link w:val="a6"/>
    <w:rsid w:val="00CC3917"/>
    <w:rPr>
      <w:rFonts w:ascii="Tahoma" w:hAnsi="Tahoma" w:cs="Tahoma"/>
      <w:sz w:val="16"/>
      <w:szCs w:val="16"/>
      <w:lang w:val="en-GB"/>
    </w:rPr>
  </w:style>
  <w:style w:type="paragraph" w:styleId="a7">
    <w:name w:val="Document Map"/>
    <w:basedOn w:val="a0"/>
    <w:link w:val="Char1"/>
    <w:rsid w:val="00CC3917"/>
    <w:pPr>
      <w:shd w:val="clear" w:color="auto" w:fill="000080"/>
    </w:pPr>
    <w:rPr>
      <w:rFonts w:ascii="Tahoma" w:hAnsi="Tahoma" w:cs="Tahoma"/>
      <w:sz w:val="20"/>
      <w:szCs w:val="20"/>
    </w:rPr>
  </w:style>
  <w:style w:type="character" w:customStyle="1" w:styleId="Char1">
    <w:name w:val="Χάρτης εγγράφου Char"/>
    <w:basedOn w:val="a1"/>
    <w:link w:val="a7"/>
    <w:rsid w:val="00CC3917"/>
    <w:rPr>
      <w:rFonts w:ascii="Tahoma" w:hAnsi="Tahoma" w:cs="Tahoma"/>
      <w:sz w:val="20"/>
      <w:szCs w:val="20"/>
      <w:shd w:val="clear" w:color="auto" w:fill="000080"/>
      <w:lang w:val="en-GB"/>
    </w:rPr>
  </w:style>
  <w:style w:type="paragraph" w:customStyle="1" w:styleId="CharCharCharCharCharCharCharChar">
    <w:name w:val="Char Char Char Char Char Char Char Char"/>
    <w:basedOn w:val="a0"/>
    <w:rsid w:val="00CC3917"/>
    <w:pPr>
      <w:spacing w:after="160" w:line="240" w:lineRule="exact"/>
    </w:pPr>
    <w:rPr>
      <w:rFonts w:ascii="Tahoma" w:hAnsi="Tahoma"/>
      <w:sz w:val="20"/>
      <w:szCs w:val="20"/>
      <w:lang w:val="en-US" w:eastAsia="en-US"/>
    </w:rPr>
  </w:style>
  <w:style w:type="paragraph" w:styleId="a8">
    <w:name w:val="header"/>
    <w:basedOn w:val="a0"/>
    <w:link w:val="Char2"/>
    <w:rsid w:val="00CC3917"/>
    <w:pPr>
      <w:tabs>
        <w:tab w:val="center" w:pos="4320"/>
        <w:tab w:val="right" w:pos="8640"/>
      </w:tabs>
    </w:pPr>
  </w:style>
  <w:style w:type="character" w:customStyle="1" w:styleId="Char2">
    <w:name w:val="Κεφαλίδα Char"/>
    <w:basedOn w:val="a1"/>
    <w:link w:val="a8"/>
    <w:rsid w:val="00CC3917"/>
    <w:rPr>
      <w:rFonts w:ascii="Times New Roman" w:hAnsi="Times New Roman"/>
      <w:sz w:val="24"/>
      <w:lang w:val="en-GB"/>
    </w:rPr>
  </w:style>
  <w:style w:type="paragraph" w:customStyle="1" w:styleId="CharCharCharCharCharCharCharChar1CharCharChar2CharCharCharCharCharChar">
    <w:name w:val="Char Char Char Char Char Char Char Char1 Char Char Char2 Char Char Char Char Char Char"/>
    <w:basedOn w:val="a0"/>
    <w:rsid w:val="00CC3917"/>
    <w:pPr>
      <w:spacing w:after="160" w:line="240" w:lineRule="exact"/>
    </w:pPr>
    <w:rPr>
      <w:rFonts w:ascii="Tahoma" w:hAnsi="Tahoma"/>
      <w:sz w:val="20"/>
      <w:szCs w:val="20"/>
      <w:lang w:val="en-US" w:eastAsia="en-US"/>
    </w:rPr>
  </w:style>
  <w:style w:type="paragraph" w:styleId="a9">
    <w:name w:val="Body Text"/>
    <w:basedOn w:val="a0"/>
    <w:link w:val="Char3"/>
    <w:rsid w:val="00CC3917"/>
    <w:pPr>
      <w:spacing w:after="200" w:line="288" w:lineRule="auto"/>
      <w:ind w:left="624"/>
      <w:jc w:val="both"/>
    </w:pPr>
    <w:rPr>
      <w:rFonts w:ascii="CG Times" w:hAnsi="CG Times"/>
      <w:sz w:val="22"/>
      <w:szCs w:val="20"/>
    </w:rPr>
  </w:style>
  <w:style w:type="character" w:customStyle="1" w:styleId="Char3">
    <w:name w:val="Σώμα κειμένου Char"/>
    <w:basedOn w:val="a1"/>
    <w:link w:val="a9"/>
    <w:rsid w:val="00CC3917"/>
    <w:rPr>
      <w:rFonts w:ascii="CG Times" w:hAnsi="CG Times"/>
      <w:szCs w:val="20"/>
      <w:lang w:val="en-GB"/>
    </w:rPr>
  </w:style>
  <w:style w:type="paragraph" w:customStyle="1" w:styleId="CharChar">
    <w:name w:val="Char Char"/>
    <w:basedOn w:val="a0"/>
    <w:rsid w:val="00CC3917"/>
    <w:pPr>
      <w:spacing w:after="160" w:line="240" w:lineRule="exact"/>
    </w:pPr>
    <w:rPr>
      <w:rFonts w:ascii="Tahoma" w:hAnsi="Tahoma"/>
      <w:sz w:val="20"/>
      <w:szCs w:val="20"/>
      <w:lang w:val="en-US" w:eastAsia="en-US"/>
    </w:rPr>
  </w:style>
  <w:style w:type="paragraph" w:customStyle="1" w:styleId="Char10">
    <w:name w:val="Char1"/>
    <w:basedOn w:val="a0"/>
    <w:rsid w:val="00CC3917"/>
    <w:pPr>
      <w:spacing w:after="160" w:line="240" w:lineRule="exact"/>
    </w:pPr>
    <w:rPr>
      <w:rFonts w:ascii="Tahoma" w:hAnsi="Tahoma"/>
      <w:sz w:val="20"/>
      <w:szCs w:val="20"/>
      <w:lang w:val="en-US" w:eastAsia="en-US"/>
    </w:rPr>
  </w:style>
  <w:style w:type="character" w:styleId="aa">
    <w:name w:val="Strong"/>
    <w:qFormat/>
    <w:rsid w:val="00CC3917"/>
    <w:rPr>
      <w:b/>
      <w:bCs/>
    </w:rPr>
  </w:style>
  <w:style w:type="paragraph" w:customStyle="1" w:styleId="Char1CharCharCharCharCharCharCharCharCharCharCharCharCharCharCharCharCharCharCharCharCharCharCharChar">
    <w:name w:val="Char1 Char Char Char Char Char Char Char Char Char Char Char Char Char Char Char Char Char Char Char Char Char Char Char Char"/>
    <w:basedOn w:val="a0"/>
    <w:rsid w:val="00CC3917"/>
    <w:pPr>
      <w:spacing w:after="160" w:line="240" w:lineRule="exact"/>
    </w:pPr>
    <w:rPr>
      <w:rFonts w:ascii="Tahoma" w:hAnsi="Tahoma"/>
      <w:sz w:val="20"/>
      <w:szCs w:val="20"/>
      <w:lang w:val="en-US" w:eastAsia="en-US"/>
    </w:rPr>
  </w:style>
  <w:style w:type="paragraph" w:customStyle="1" w:styleId="Char1CharCharCharCharCharCharCharCharCharCharCharCharCharCharCharCharCharCharCharCharCharCharChar">
    <w:name w:val="Char1 Char Char Char Char Char Char Char Char Char Char Char Char Char Char Char Char Char Char Char Char Char Char Char"/>
    <w:basedOn w:val="a0"/>
    <w:rsid w:val="00CC3917"/>
    <w:pPr>
      <w:spacing w:after="160" w:line="240" w:lineRule="exact"/>
    </w:pPr>
    <w:rPr>
      <w:rFonts w:ascii="Tahoma" w:hAnsi="Tahoma"/>
      <w:sz w:val="20"/>
      <w:szCs w:val="20"/>
      <w:lang w:val="en-US" w:eastAsia="en-US"/>
    </w:rPr>
  </w:style>
  <w:style w:type="character" w:styleId="ab">
    <w:name w:val="Emphasis"/>
    <w:qFormat/>
    <w:rsid w:val="00CC3917"/>
    <w:rPr>
      <w:i/>
      <w:iCs/>
      <w:sz w:val="20"/>
    </w:rPr>
  </w:style>
  <w:style w:type="paragraph" w:customStyle="1" w:styleId="CharCharCharCharCharCharCharChar1CharCharChar">
    <w:name w:val="Char Char Char Char Char Char Char Char1 Char Char Char"/>
    <w:basedOn w:val="a0"/>
    <w:rsid w:val="00CC3917"/>
    <w:pPr>
      <w:spacing w:after="160" w:line="240" w:lineRule="exact"/>
    </w:pPr>
    <w:rPr>
      <w:rFonts w:ascii="Tahoma" w:hAnsi="Tahoma"/>
      <w:sz w:val="20"/>
      <w:szCs w:val="20"/>
      <w:lang w:val="en-US" w:eastAsia="en-US"/>
    </w:rPr>
  </w:style>
  <w:style w:type="character" w:styleId="ac">
    <w:name w:val="page number"/>
    <w:rsid w:val="00CC3917"/>
  </w:style>
  <w:style w:type="paragraph" w:customStyle="1" w:styleId="CharCharCharCharCharCharCharChar1CharCharChar1">
    <w:name w:val="Char Char Char Char Char Char Char Char1 Char Char Char1"/>
    <w:basedOn w:val="a0"/>
    <w:rsid w:val="00CC3917"/>
    <w:pPr>
      <w:spacing w:after="160" w:line="240" w:lineRule="exact"/>
    </w:pPr>
    <w:rPr>
      <w:rFonts w:ascii="Tahoma" w:hAnsi="Tahoma"/>
      <w:sz w:val="20"/>
      <w:szCs w:val="20"/>
      <w:lang w:val="en-US" w:eastAsia="en-US"/>
    </w:rPr>
  </w:style>
  <w:style w:type="paragraph" w:customStyle="1" w:styleId="CharCharCharCharCharCharCharChar1CharCharCharCharCharCharCharCharCharCharCharCharCharCharCharCharCharCharCharCharCharCharCharCharCharCharCharCharCharCharCharCharCharChar">
    <w:name w:val="Char Char Char Char Char Char Char Char1 Char Char Char Char Char Char Char Char Char Char Char Char Char Char Char Char Char Char Char Char Char Char Char Char Char Char Char Char Char Char Char Char Char Char"/>
    <w:basedOn w:val="a0"/>
    <w:rsid w:val="00CC3917"/>
    <w:pPr>
      <w:spacing w:after="160" w:line="240" w:lineRule="exact"/>
    </w:pPr>
    <w:rPr>
      <w:rFonts w:ascii="Tahoma" w:hAnsi="Tahoma"/>
      <w:sz w:val="20"/>
      <w:szCs w:val="20"/>
      <w:lang w:val="en-US" w:eastAsia="en-US"/>
    </w:rPr>
  </w:style>
  <w:style w:type="paragraph" w:customStyle="1" w:styleId="Char2CharCharCharCharChar">
    <w:name w:val="Char2 Char Char Char Char Char"/>
    <w:basedOn w:val="a0"/>
    <w:rsid w:val="00CC3917"/>
    <w:pPr>
      <w:spacing w:after="160" w:line="240" w:lineRule="exact"/>
    </w:pPr>
    <w:rPr>
      <w:rFonts w:ascii="Tahoma" w:hAnsi="Tahoma"/>
      <w:sz w:val="20"/>
      <w:szCs w:val="20"/>
      <w:lang w:val="en-US" w:eastAsia="en-US"/>
    </w:rPr>
  </w:style>
  <w:style w:type="paragraph" w:styleId="ad">
    <w:name w:val="footnote text"/>
    <w:basedOn w:val="a0"/>
    <w:link w:val="Char4"/>
    <w:rsid w:val="00CC3917"/>
    <w:rPr>
      <w:sz w:val="20"/>
      <w:szCs w:val="20"/>
    </w:rPr>
  </w:style>
  <w:style w:type="character" w:customStyle="1" w:styleId="Char4">
    <w:name w:val="Κείμενο υποσημείωσης Char"/>
    <w:basedOn w:val="a1"/>
    <w:link w:val="ad"/>
    <w:rsid w:val="00CC3917"/>
    <w:rPr>
      <w:rFonts w:ascii="Times New Roman" w:hAnsi="Times New Roman"/>
      <w:sz w:val="20"/>
      <w:szCs w:val="20"/>
      <w:lang w:val="en-GB"/>
    </w:rPr>
  </w:style>
  <w:style w:type="character" w:styleId="ae">
    <w:name w:val="footnote reference"/>
    <w:rsid w:val="00CC3917"/>
    <w:rPr>
      <w:vertAlign w:val="superscript"/>
    </w:rPr>
  </w:style>
  <w:style w:type="paragraph" w:customStyle="1" w:styleId="Char2CharCharCharCharCharCharCharChar1">
    <w:name w:val="Char2 Char Char Char Char Char Char Char Char1"/>
    <w:basedOn w:val="a0"/>
    <w:rsid w:val="00CC3917"/>
    <w:pPr>
      <w:spacing w:after="160" w:line="240" w:lineRule="exact"/>
    </w:pPr>
    <w:rPr>
      <w:rFonts w:ascii="Tahoma" w:hAnsi="Tahoma"/>
      <w:sz w:val="20"/>
      <w:szCs w:val="20"/>
      <w:lang w:val="en-US" w:eastAsia="en-US"/>
    </w:rPr>
  </w:style>
  <w:style w:type="paragraph" w:customStyle="1" w:styleId="CharCharCharCharCharCharCharCharCharChar1CharCharChar">
    <w:name w:val="Char Char Char Char Char Char Char Char Char Char1 Char Char Char"/>
    <w:basedOn w:val="a0"/>
    <w:rsid w:val="00CC3917"/>
    <w:pPr>
      <w:spacing w:after="160" w:line="240" w:lineRule="exact"/>
    </w:pPr>
    <w:rPr>
      <w:rFonts w:ascii="Tahoma" w:hAnsi="Tahoma"/>
      <w:sz w:val="20"/>
      <w:szCs w:val="20"/>
      <w:lang w:val="en-US" w:eastAsia="en-US"/>
    </w:rPr>
  </w:style>
  <w:style w:type="paragraph" w:customStyle="1" w:styleId="Char2CharCharCharCharCharCharCharCharCharCharCharCharCharCharCharCharChar">
    <w:name w:val="Char2 Char Char Char Char Char Char Char Char Char Char Char Char Char Char Char Char Char"/>
    <w:basedOn w:val="a0"/>
    <w:rsid w:val="00CC3917"/>
    <w:pPr>
      <w:spacing w:after="160" w:line="240" w:lineRule="exact"/>
    </w:pPr>
    <w:rPr>
      <w:rFonts w:ascii="Tahoma" w:hAnsi="Tahoma"/>
      <w:sz w:val="20"/>
      <w:szCs w:val="20"/>
      <w:lang w:val="en-US" w:eastAsia="en-US"/>
    </w:rPr>
  </w:style>
  <w:style w:type="paragraph" w:customStyle="1" w:styleId="CharCharCharCharCharCharCharChar1CharCharChar2CharCharCharCharCharChar1">
    <w:name w:val="Char Char Char Char Char Char Char Char1 Char Char Char2 Char Char Char Char Char Char1"/>
    <w:basedOn w:val="a0"/>
    <w:rsid w:val="00CC3917"/>
    <w:pPr>
      <w:spacing w:after="160" w:line="240" w:lineRule="exact"/>
    </w:pPr>
    <w:rPr>
      <w:rFonts w:ascii="Tahoma" w:hAnsi="Tahoma"/>
      <w:sz w:val="20"/>
      <w:szCs w:val="20"/>
      <w:lang w:val="en-US" w:eastAsia="en-US"/>
    </w:rPr>
  </w:style>
  <w:style w:type="character" w:customStyle="1" w:styleId="1Char1">
    <w:name w:val="Επικεφαλίδα 1 Char1"/>
    <w:link w:val="1"/>
    <w:uiPriority w:val="9"/>
    <w:rsid w:val="00CC3917"/>
    <w:rPr>
      <w:rFonts w:ascii="Cambria" w:eastAsia="MS Gothic" w:hAnsi="Cambria"/>
      <w:b/>
      <w:bCs/>
      <w:kern w:val="32"/>
      <w:sz w:val="32"/>
      <w:szCs w:val="32"/>
      <w:lang w:val="en-GB"/>
    </w:rPr>
  </w:style>
  <w:style w:type="paragraph" w:styleId="a">
    <w:name w:val="List Bullet"/>
    <w:basedOn w:val="a0"/>
    <w:qFormat/>
    <w:rsid w:val="00CC3917"/>
    <w:pPr>
      <w:numPr>
        <w:numId w:val="1"/>
      </w:numPr>
      <w:tabs>
        <w:tab w:val="clear" w:pos="720"/>
        <w:tab w:val="num" w:pos="360"/>
      </w:tabs>
      <w:spacing w:after="240"/>
      <w:ind w:left="0" w:firstLine="0"/>
    </w:pPr>
    <w:rPr>
      <w:rFonts w:eastAsia="MS Mincho"/>
      <w:szCs w:val="20"/>
      <w:lang w:val="en-US" w:eastAsia="ja-JP"/>
    </w:rPr>
  </w:style>
  <w:style w:type="paragraph" w:customStyle="1" w:styleId="SCDocID">
    <w:name w:val="S&amp;C DocID"/>
    <w:basedOn w:val="a0"/>
    <w:next w:val="a5"/>
    <w:link w:val="SCDocIDChar"/>
    <w:rsid w:val="00CC3917"/>
    <w:rPr>
      <w:sz w:val="16"/>
    </w:rPr>
  </w:style>
  <w:style w:type="character" w:customStyle="1" w:styleId="WebChar">
    <w:name w:val="Κανονικό (Web) Char"/>
    <w:link w:val="Web"/>
    <w:rsid w:val="00CC3917"/>
    <w:rPr>
      <w:rFonts w:ascii="Times New Roman" w:hAnsi="Times New Roman"/>
      <w:sz w:val="24"/>
    </w:rPr>
  </w:style>
  <w:style w:type="character" w:customStyle="1" w:styleId="SCDocIDChar">
    <w:name w:val="S&amp;C DocID Char"/>
    <w:link w:val="SCDocID"/>
    <w:rsid w:val="00CC3917"/>
    <w:rPr>
      <w:rFonts w:ascii="Times New Roman" w:hAnsi="Times New Roman"/>
      <w:sz w:val="16"/>
      <w:lang w:val="en-GB"/>
    </w:rPr>
  </w:style>
  <w:style w:type="paragraph" w:customStyle="1" w:styleId="Default">
    <w:name w:val="Default"/>
    <w:rsid w:val="00CC3917"/>
    <w:pPr>
      <w:autoSpaceDE w:val="0"/>
      <w:autoSpaceDN w:val="0"/>
      <w:adjustRightInd w:val="0"/>
    </w:pPr>
    <w:rPr>
      <w:rFonts w:ascii="Times New Roman" w:hAnsi="Times New Roman"/>
      <w:color w:val="000000"/>
      <w:sz w:val="24"/>
      <w:lang w:val="en-US" w:eastAsia="ja-JP"/>
    </w:rPr>
  </w:style>
  <w:style w:type="character" w:styleId="-">
    <w:name w:val="Hyperlink"/>
    <w:uiPriority w:val="99"/>
    <w:unhideWhenUsed/>
    <w:rsid w:val="00CC3917"/>
    <w:rPr>
      <w:color w:val="0000FF"/>
      <w:u w:val="single"/>
    </w:rPr>
  </w:style>
  <w:style w:type="character" w:styleId="af">
    <w:name w:val="annotation reference"/>
    <w:uiPriority w:val="99"/>
    <w:unhideWhenUsed/>
    <w:rsid w:val="00CC3917"/>
    <w:rPr>
      <w:sz w:val="16"/>
      <w:szCs w:val="16"/>
    </w:rPr>
  </w:style>
  <w:style w:type="paragraph" w:styleId="af0">
    <w:name w:val="annotation text"/>
    <w:basedOn w:val="a0"/>
    <w:link w:val="Char5"/>
    <w:uiPriority w:val="99"/>
    <w:unhideWhenUsed/>
    <w:rsid w:val="00CC3917"/>
    <w:rPr>
      <w:sz w:val="20"/>
      <w:szCs w:val="20"/>
    </w:rPr>
  </w:style>
  <w:style w:type="character" w:customStyle="1" w:styleId="Char5">
    <w:name w:val="Κείμενο σχολίου Char"/>
    <w:basedOn w:val="a1"/>
    <w:link w:val="af0"/>
    <w:uiPriority w:val="99"/>
    <w:rsid w:val="00CC3917"/>
    <w:rPr>
      <w:rFonts w:ascii="Times New Roman" w:hAnsi="Times New Roman"/>
      <w:sz w:val="20"/>
      <w:szCs w:val="20"/>
      <w:lang w:val="en-GB"/>
    </w:rPr>
  </w:style>
  <w:style w:type="paragraph" w:styleId="af1">
    <w:name w:val="annotation subject"/>
    <w:basedOn w:val="af0"/>
    <w:next w:val="af0"/>
    <w:link w:val="Char6"/>
    <w:uiPriority w:val="99"/>
    <w:unhideWhenUsed/>
    <w:rsid w:val="00CC3917"/>
    <w:rPr>
      <w:b/>
      <w:bCs/>
    </w:rPr>
  </w:style>
  <w:style w:type="character" w:customStyle="1" w:styleId="Char6">
    <w:name w:val="Θέμα σχολίου Char"/>
    <w:basedOn w:val="Char5"/>
    <w:link w:val="af1"/>
    <w:uiPriority w:val="99"/>
    <w:rsid w:val="00CC3917"/>
    <w:rPr>
      <w:rFonts w:ascii="Times New Roman" w:hAnsi="Times New Roman"/>
      <w:b/>
      <w:bCs/>
      <w:sz w:val="20"/>
      <w:szCs w:val="20"/>
      <w:lang w:val="en-GB"/>
    </w:rPr>
  </w:style>
  <w:style w:type="paragraph" w:customStyle="1" w:styleId="Heading-Level3">
    <w:name w:val="Heading - Level 3"/>
    <w:next w:val="a9"/>
    <w:rsid w:val="00CC3917"/>
    <w:pPr>
      <w:keepNext/>
      <w:keepLines/>
      <w:widowControl w:val="0"/>
      <w:autoSpaceDE w:val="0"/>
      <w:autoSpaceDN w:val="0"/>
      <w:adjustRightInd w:val="0"/>
      <w:spacing w:before="80" w:after="120"/>
    </w:pPr>
    <w:rPr>
      <w:rFonts w:ascii="Arial" w:hAnsi="Arial" w:cs="Arial"/>
      <w:b/>
      <w:bCs/>
      <w:kern w:val="2"/>
      <w:sz w:val="21"/>
      <w:szCs w:val="21"/>
      <w:lang w:val="en-GB"/>
    </w:rPr>
  </w:style>
  <w:style w:type="paragraph" w:styleId="af2">
    <w:name w:val="List Paragraph"/>
    <w:basedOn w:val="a0"/>
    <w:uiPriority w:val="34"/>
    <w:qFormat/>
    <w:rsid w:val="00CC3917"/>
    <w:pPr>
      <w:ind w:left="720"/>
    </w:pPr>
    <w:rPr>
      <w:rFonts w:ascii="Calibri" w:eastAsia="Calibri" w:hAnsi="Calibri" w:cs="Calibri"/>
      <w:sz w:val="22"/>
      <w:szCs w:val="22"/>
      <w:lang w:val="en-US" w:eastAsia="en-US"/>
    </w:rPr>
  </w:style>
  <w:style w:type="paragraph" w:customStyle="1" w:styleId="BulletL1">
    <w:name w:val="BulletL1"/>
    <w:basedOn w:val="a0"/>
    <w:rsid w:val="00CC3917"/>
    <w:pPr>
      <w:numPr>
        <w:numId w:val="2"/>
      </w:numPr>
      <w:spacing w:before="240" w:line="260" w:lineRule="atLeast"/>
      <w:jc w:val="both"/>
    </w:pPr>
    <w:rPr>
      <w:rFonts w:eastAsia="Calibri"/>
      <w:sz w:val="20"/>
      <w:szCs w:val="22"/>
      <w:lang w:eastAsia="en-US"/>
    </w:rPr>
  </w:style>
  <w:style w:type="paragraph" w:customStyle="1" w:styleId="BulletL2">
    <w:name w:val="BulletL2"/>
    <w:basedOn w:val="a0"/>
    <w:rsid w:val="00CC3917"/>
    <w:pPr>
      <w:numPr>
        <w:ilvl w:val="1"/>
        <w:numId w:val="2"/>
      </w:numPr>
      <w:spacing w:before="240" w:line="260" w:lineRule="atLeast"/>
      <w:jc w:val="both"/>
    </w:pPr>
    <w:rPr>
      <w:rFonts w:eastAsia="Calibri"/>
      <w:sz w:val="20"/>
      <w:szCs w:val="22"/>
      <w:lang w:eastAsia="en-US"/>
    </w:rPr>
  </w:style>
  <w:style w:type="paragraph" w:customStyle="1" w:styleId="BulletL3">
    <w:name w:val="BulletL3"/>
    <w:basedOn w:val="a0"/>
    <w:rsid w:val="00CC3917"/>
    <w:pPr>
      <w:numPr>
        <w:ilvl w:val="2"/>
        <w:numId w:val="2"/>
      </w:numPr>
      <w:spacing w:before="240" w:line="260" w:lineRule="atLeast"/>
      <w:jc w:val="both"/>
    </w:pPr>
    <w:rPr>
      <w:rFonts w:eastAsia="Calibri"/>
      <w:sz w:val="20"/>
      <w:szCs w:val="22"/>
      <w:lang w:eastAsia="en-US"/>
    </w:rPr>
  </w:style>
  <w:style w:type="paragraph" w:customStyle="1" w:styleId="BulletL4">
    <w:name w:val="BulletL4"/>
    <w:basedOn w:val="a0"/>
    <w:rsid w:val="00CC3917"/>
    <w:pPr>
      <w:numPr>
        <w:ilvl w:val="3"/>
        <w:numId w:val="2"/>
      </w:numPr>
      <w:spacing w:before="240" w:line="260" w:lineRule="atLeast"/>
      <w:jc w:val="both"/>
    </w:pPr>
    <w:rPr>
      <w:rFonts w:eastAsia="Calibri"/>
      <w:sz w:val="20"/>
      <w:szCs w:val="22"/>
      <w:lang w:eastAsia="en-US"/>
    </w:rPr>
  </w:style>
  <w:style w:type="paragraph" w:customStyle="1" w:styleId="BulletL5">
    <w:name w:val="BulletL5"/>
    <w:basedOn w:val="a0"/>
    <w:rsid w:val="00CC3917"/>
    <w:pPr>
      <w:numPr>
        <w:ilvl w:val="4"/>
        <w:numId w:val="2"/>
      </w:numPr>
      <w:spacing w:before="240" w:line="260" w:lineRule="atLeast"/>
      <w:jc w:val="both"/>
    </w:pPr>
    <w:rPr>
      <w:rFonts w:eastAsia="Calibri"/>
      <w:sz w:val="20"/>
      <w:szCs w:val="22"/>
      <w:lang w:eastAsia="en-US"/>
    </w:rPr>
  </w:style>
  <w:style w:type="paragraph" w:customStyle="1" w:styleId="BulletL6">
    <w:name w:val="BulletL6"/>
    <w:basedOn w:val="a0"/>
    <w:rsid w:val="00CC3917"/>
    <w:pPr>
      <w:numPr>
        <w:ilvl w:val="5"/>
        <w:numId w:val="2"/>
      </w:numPr>
      <w:spacing w:before="240" w:line="260" w:lineRule="atLeast"/>
      <w:jc w:val="both"/>
    </w:pPr>
    <w:rPr>
      <w:rFonts w:eastAsia="Calibri"/>
      <w:sz w:val="20"/>
      <w:szCs w:val="22"/>
      <w:lang w:eastAsia="en-US"/>
    </w:rPr>
  </w:style>
  <w:style w:type="paragraph" w:customStyle="1" w:styleId="BulletL7">
    <w:name w:val="BulletL7"/>
    <w:basedOn w:val="a0"/>
    <w:rsid w:val="00CC3917"/>
    <w:pPr>
      <w:numPr>
        <w:ilvl w:val="6"/>
        <w:numId w:val="2"/>
      </w:numPr>
      <w:spacing w:before="240" w:line="260" w:lineRule="atLeast"/>
      <w:jc w:val="both"/>
    </w:pPr>
    <w:rPr>
      <w:rFonts w:eastAsia="Calibri"/>
      <w:sz w:val="20"/>
      <w:szCs w:val="22"/>
      <w:lang w:eastAsia="en-US"/>
    </w:rPr>
  </w:style>
  <w:style w:type="paragraph" w:customStyle="1" w:styleId="BulletL8">
    <w:name w:val="BulletL8"/>
    <w:basedOn w:val="a0"/>
    <w:rsid w:val="00CC3917"/>
    <w:pPr>
      <w:numPr>
        <w:ilvl w:val="7"/>
        <w:numId w:val="2"/>
      </w:numPr>
      <w:spacing w:before="240" w:line="260" w:lineRule="atLeast"/>
      <w:jc w:val="both"/>
    </w:pPr>
    <w:rPr>
      <w:rFonts w:eastAsia="Calibri"/>
      <w:sz w:val="20"/>
      <w:szCs w:val="22"/>
      <w:lang w:eastAsia="en-US"/>
    </w:rPr>
  </w:style>
  <w:style w:type="paragraph" w:customStyle="1" w:styleId="BulletL9">
    <w:name w:val="BulletL9"/>
    <w:basedOn w:val="a0"/>
    <w:rsid w:val="00CC3917"/>
    <w:pPr>
      <w:numPr>
        <w:ilvl w:val="8"/>
        <w:numId w:val="2"/>
      </w:numPr>
      <w:spacing w:before="240" w:line="260" w:lineRule="atLeast"/>
      <w:jc w:val="both"/>
    </w:pPr>
    <w:rPr>
      <w:rFonts w:eastAsia="Calibri"/>
      <w:sz w:val="20"/>
      <w:szCs w:val="22"/>
      <w:lang w:eastAsia="en-US"/>
    </w:rPr>
  </w:style>
  <w:style w:type="paragraph" w:customStyle="1" w:styleId="DocText">
    <w:name w:val="DocText"/>
    <w:basedOn w:val="a0"/>
    <w:rsid w:val="00CC3917"/>
    <w:pPr>
      <w:numPr>
        <w:numId w:val="3"/>
      </w:numPr>
      <w:spacing w:before="240" w:line="260" w:lineRule="atLeast"/>
      <w:jc w:val="both"/>
    </w:pPr>
    <w:rPr>
      <w:rFonts w:eastAsia="Calibri"/>
      <w:sz w:val="20"/>
      <w:szCs w:val="22"/>
      <w:lang w:eastAsia="en-US"/>
    </w:rPr>
  </w:style>
  <w:style w:type="paragraph" w:customStyle="1" w:styleId="DocTextL1">
    <w:name w:val="DocTextL1"/>
    <w:basedOn w:val="DocText"/>
    <w:rsid w:val="00CC3917"/>
    <w:pPr>
      <w:numPr>
        <w:ilvl w:val="1"/>
      </w:numPr>
    </w:pPr>
  </w:style>
  <w:style w:type="paragraph" w:customStyle="1" w:styleId="DocTextL2">
    <w:name w:val="DocTextL2"/>
    <w:basedOn w:val="DocText"/>
    <w:rsid w:val="00CC3917"/>
    <w:pPr>
      <w:numPr>
        <w:ilvl w:val="2"/>
      </w:numPr>
    </w:pPr>
  </w:style>
  <w:style w:type="paragraph" w:customStyle="1" w:styleId="DocTextL3">
    <w:name w:val="DocTextL3"/>
    <w:basedOn w:val="DocText"/>
    <w:rsid w:val="00CC3917"/>
    <w:pPr>
      <w:numPr>
        <w:ilvl w:val="3"/>
      </w:numPr>
    </w:pPr>
  </w:style>
  <w:style w:type="paragraph" w:customStyle="1" w:styleId="DocTextL4">
    <w:name w:val="DocTextL4"/>
    <w:basedOn w:val="DocText"/>
    <w:rsid w:val="00CC3917"/>
    <w:pPr>
      <w:numPr>
        <w:ilvl w:val="4"/>
      </w:numPr>
    </w:pPr>
  </w:style>
  <w:style w:type="paragraph" w:customStyle="1" w:styleId="DocTextL5">
    <w:name w:val="DocTextL5"/>
    <w:basedOn w:val="DocText"/>
    <w:rsid w:val="00CC3917"/>
    <w:pPr>
      <w:numPr>
        <w:ilvl w:val="5"/>
      </w:numPr>
    </w:pPr>
  </w:style>
  <w:style w:type="paragraph" w:customStyle="1" w:styleId="DocTextL6">
    <w:name w:val="DocTextL6"/>
    <w:basedOn w:val="DocText"/>
    <w:rsid w:val="00CC3917"/>
    <w:pPr>
      <w:numPr>
        <w:ilvl w:val="6"/>
      </w:numPr>
    </w:pPr>
  </w:style>
  <w:style w:type="paragraph" w:customStyle="1" w:styleId="DocTextL7">
    <w:name w:val="DocTextL7"/>
    <w:basedOn w:val="DocText"/>
    <w:rsid w:val="00CC3917"/>
    <w:pPr>
      <w:numPr>
        <w:ilvl w:val="7"/>
      </w:numPr>
    </w:pPr>
  </w:style>
  <w:style w:type="paragraph" w:customStyle="1" w:styleId="DocTextL8">
    <w:name w:val="DocTextL8"/>
    <w:basedOn w:val="DocText"/>
    <w:rsid w:val="00CC3917"/>
    <w:pPr>
      <w:numPr>
        <w:ilvl w:val="8"/>
      </w:numPr>
    </w:pPr>
  </w:style>
  <w:style w:type="paragraph" w:styleId="af3">
    <w:name w:val="Revision"/>
    <w:hidden/>
    <w:uiPriority w:val="99"/>
    <w:semiHidden/>
    <w:rsid w:val="00CC3917"/>
    <w:rPr>
      <w:rFonts w:ascii="Times New Roman" w:hAnsi="Times New Roman"/>
      <w:sz w:val="24"/>
      <w:lang w:val="en-GB"/>
    </w:rPr>
  </w:style>
  <w:style w:type="paragraph" w:customStyle="1" w:styleId="KATERINA4">
    <w:name w:val="KATERINA4"/>
    <w:basedOn w:val="a0"/>
    <w:rsid w:val="00CC3917"/>
    <w:pPr>
      <w:ind w:firstLine="624"/>
      <w:jc w:val="both"/>
    </w:pPr>
    <w:rPr>
      <w:szCs w:val="20"/>
      <w:lang w:val="el-GR" w:eastAsia="ja-JP"/>
    </w:rPr>
  </w:style>
  <w:style w:type="paragraph" w:customStyle="1" w:styleId="KATERINA1">
    <w:name w:val="KATERINA1"/>
    <w:basedOn w:val="af4"/>
    <w:rsid w:val="00CC3917"/>
    <w:pPr>
      <w:contextualSpacing w:val="0"/>
      <w:jc w:val="both"/>
    </w:pPr>
    <w:rPr>
      <w:rFonts w:ascii="Times New Roman" w:hAnsi="Times New Roman"/>
      <w:spacing w:val="0"/>
      <w:kern w:val="0"/>
      <w:sz w:val="24"/>
      <w:szCs w:val="20"/>
      <w:lang w:val="en-US" w:eastAsia="ja-JP"/>
    </w:rPr>
  </w:style>
  <w:style w:type="paragraph" w:styleId="af4">
    <w:name w:val="Title"/>
    <w:basedOn w:val="a0"/>
    <w:next w:val="a0"/>
    <w:link w:val="Char7"/>
    <w:uiPriority w:val="10"/>
    <w:qFormat/>
    <w:rsid w:val="00CC3917"/>
    <w:pPr>
      <w:contextualSpacing/>
    </w:pPr>
    <w:rPr>
      <w:rFonts w:ascii="Cambria" w:hAnsi="Cambria"/>
      <w:spacing w:val="-10"/>
      <w:kern w:val="28"/>
      <w:sz w:val="56"/>
      <w:szCs w:val="56"/>
    </w:rPr>
  </w:style>
  <w:style w:type="character" w:customStyle="1" w:styleId="Char7">
    <w:name w:val="Τίτλος Char"/>
    <w:basedOn w:val="a1"/>
    <w:link w:val="af4"/>
    <w:uiPriority w:val="10"/>
    <w:rsid w:val="00CC3917"/>
    <w:rPr>
      <w:rFonts w:ascii="Cambria" w:hAnsi="Cambria"/>
      <w:spacing w:val="-10"/>
      <w:kern w:val="28"/>
      <w:sz w:val="56"/>
      <w:szCs w:val="56"/>
      <w:lang w:val="en-GB"/>
    </w:rPr>
  </w:style>
  <w:style w:type="paragraph" w:customStyle="1" w:styleId="FreeForm">
    <w:name w:val="Free Form"/>
    <w:rsid w:val="00CC3917"/>
    <w:rPr>
      <w:rFonts w:ascii="Helvetica" w:eastAsia="ヒラギノ角ゴ Pro W3" w:hAnsi="Helvetica"/>
      <w:color w:val="000000"/>
      <w:sz w:val="24"/>
      <w:szCs w:val="20"/>
      <w:lang w:val="en-US"/>
    </w:rPr>
  </w:style>
  <w:style w:type="paragraph" w:customStyle="1" w:styleId="katerina40">
    <w:name w:val="katerina4"/>
    <w:basedOn w:val="a0"/>
    <w:rsid w:val="00D01ABC"/>
    <w:pPr>
      <w:spacing w:before="100" w:beforeAutospacing="1" w:after="100" w:afterAutospacing="1"/>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4"/>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Bullet"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C3917"/>
    <w:rPr>
      <w:rFonts w:ascii="Times New Roman" w:hAnsi="Times New Roman"/>
      <w:sz w:val="24"/>
      <w:lang w:val="en-GB"/>
    </w:rPr>
  </w:style>
  <w:style w:type="paragraph" w:styleId="1">
    <w:name w:val="heading 1"/>
    <w:basedOn w:val="a0"/>
    <w:next w:val="a0"/>
    <w:link w:val="1Char1"/>
    <w:uiPriority w:val="9"/>
    <w:qFormat/>
    <w:rsid w:val="00CC3917"/>
    <w:pPr>
      <w:keepNext/>
      <w:spacing w:before="240" w:after="60"/>
      <w:outlineLvl w:val="0"/>
    </w:pPr>
    <w:rPr>
      <w:rFonts w:ascii="Cambria" w:eastAsia="MS Gothic" w:hAnsi="Cambria"/>
      <w:b/>
      <w:bCs/>
      <w:kern w:val="32"/>
      <w:sz w:val="32"/>
      <w:szCs w:val="32"/>
    </w:rPr>
  </w:style>
  <w:style w:type="paragraph" w:styleId="3">
    <w:name w:val="heading 3"/>
    <w:basedOn w:val="a0"/>
    <w:next w:val="a0"/>
    <w:link w:val="3Char"/>
    <w:uiPriority w:val="9"/>
    <w:semiHidden/>
    <w:unhideWhenUsed/>
    <w:qFormat/>
    <w:rsid w:val="00CC3917"/>
    <w:pPr>
      <w:keepNext/>
      <w:spacing w:before="240" w:after="60"/>
      <w:outlineLvl w:val="2"/>
    </w:pPr>
    <w:rPr>
      <w:rFonts w:ascii="Cambria" w:eastAsia="MS Gothic"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ocumentLabel">
    <w:name w:val="Document Label"/>
    <w:basedOn w:val="a0"/>
    <w:rsid w:val="001D44D7"/>
    <w:pPr>
      <w:keepNext/>
      <w:keepLines/>
      <w:overflowPunct w:val="0"/>
      <w:autoSpaceDE w:val="0"/>
      <w:autoSpaceDN w:val="0"/>
      <w:adjustRightInd w:val="0"/>
      <w:spacing w:before="240" w:after="360"/>
      <w:textAlignment w:val="baseline"/>
    </w:pPr>
    <w:rPr>
      <w:b/>
      <w:kern w:val="28"/>
      <w:sz w:val="36"/>
      <w:szCs w:val="20"/>
      <w:lang w:val="en-US"/>
    </w:rPr>
  </w:style>
  <w:style w:type="paragraph" w:customStyle="1" w:styleId="a4">
    <w:name w:val="Ετικέτα εγγράφου"/>
    <w:basedOn w:val="a0"/>
    <w:rsid w:val="001D44D7"/>
    <w:pPr>
      <w:widowControl w:val="0"/>
      <w:overflowPunct w:val="0"/>
      <w:autoSpaceDE w:val="0"/>
      <w:autoSpaceDN w:val="0"/>
      <w:adjustRightInd w:val="0"/>
      <w:textAlignment w:val="baseline"/>
    </w:pPr>
    <w:rPr>
      <w:kern w:val="28"/>
      <w:szCs w:val="20"/>
    </w:rPr>
  </w:style>
  <w:style w:type="paragraph" w:styleId="a5">
    <w:name w:val="footer"/>
    <w:basedOn w:val="a0"/>
    <w:link w:val="Char"/>
    <w:uiPriority w:val="99"/>
    <w:rsid w:val="001D44D7"/>
    <w:pPr>
      <w:tabs>
        <w:tab w:val="center" w:pos="4536"/>
        <w:tab w:val="right" w:pos="9072"/>
      </w:tabs>
      <w:overflowPunct w:val="0"/>
      <w:autoSpaceDE w:val="0"/>
      <w:autoSpaceDN w:val="0"/>
      <w:adjustRightInd w:val="0"/>
      <w:textAlignment w:val="baseline"/>
    </w:pPr>
    <w:rPr>
      <w:sz w:val="20"/>
      <w:szCs w:val="20"/>
    </w:rPr>
  </w:style>
  <w:style w:type="character" w:customStyle="1" w:styleId="Char">
    <w:name w:val="Υποσέλιδο Char"/>
    <w:basedOn w:val="a1"/>
    <w:link w:val="a5"/>
    <w:uiPriority w:val="99"/>
    <w:rsid w:val="001D44D7"/>
  </w:style>
  <w:style w:type="character" w:customStyle="1" w:styleId="1Char">
    <w:name w:val="Επικεφαλίδα 1 Char"/>
    <w:aliases w:val="h1 Char"/>
    <w:basedOn w:val="a1"/>
    <w:rsid w:val="00CC3917"/>
    <w:rPr>
      <w:rFonts w:asciiTheme="majorHAnsi" w:eastAsiaTheme="majorEastAsia" w:hAnsiTheme="majorHAnsi" w:cstheme="majorBidi"/>
      <w:b/>
      <w:bCs/>
      <w:kern w:val="32"/>
      <w:sz w:val="32"/>
      <w:szCs w:val="32"/>
      <w:lang w:val="en-GB"/>
    </w:rPr>
  </w:style>
  <w:style w:type="character" w:customStyle="1" w:styleId="3Char">
    <w:name w:val="Επικεφαλίδα 3 Char"/>
    <w:basedOn w:val="a1"/>
    <w:link w:val="3"/>
    <w:uiPriority w:val="9"/>
    <w:semiHidden/>
    <w:rsid w:val="00CC3917"/>
    <w:rPr>
      <w:rFonts w:ascii="Cambria" w:eastAsia="MS Gothic" w:hAnsi="Cambria"/>
      <w:b/>
      <w:bCs/>
      <w:sz w:val="26"/>
      <w:szCs w:val="26"/>
      <w:lang w:val="en-GB"/>
    </w:rPr>
  </w:style>
  <w:style w:type="paragraph" w:styleId="Web">
    <w:name w:val="Normal (Web)"/>
    <w:basedOn w:val="a0"/>
    <w:link w:val="WebChar"/>
    <w:rsid w:val="00CC3917"/>
    <w:pPr>
      <w:spacing w:before="100" w:beforeAutospacing="1" w:after="100" w:afterAutospacing="1"/>
    </w:pPr>
    <w:rPr>
      <w:lang w:val="el-GR"/>
    </w:rPr>
  </w:style>
  <w:style w:type="paragraph" w:styleId="a6">
    <w:name w:val="Balloon Text"/>
    <w:basedOn w:val="a0"/>
    <w:link w:val="Char0"/>
    <w:rsid w:val="00CC3917"/>
    <w:rPr>
      <w:rFonts w:ascii="Tahoma" w:hAnsi="Tahoma" w:cs="Tahoma"/>
      <w:sz w:val="16"/>
      <w:szCs w:val="16"/>
    </w:rPr>
  </w:style>
  <w:style w:type="character" w:customStyle="1" w:styleId="Char0">
    <w:name w:val="Κείμενο πλαισίου Char"/>
    <w:basedOn w:val="a1"/>
    <w:link w:val="a6"/>
    <w:rsid w:val="00CC3917"/>
    <w:rPr>
      <w:rFonts w:ascii="Tahoma" w:hAnsi="Tahoma" w:cs="Tahoma"/>
      <w:sz w:val="16"/>
      <w:szCs w:val="16"/>
      <w:lang w:val="en-GB"/>
    </w:rPr>
  </w:style>
  <w:style w:type="paragraph" w:styleId="a7">
    <w:name w:val="Document Map"/>
    <w:basedOn w:val="a0"/>
    <w:link w:val="Char1"/>
    <w:rsid w:val="00CC3917"/>
    <w:pPr>
      <w:shd w:val="clear" w:color="auto" w:fill="000080"/>
    </w:pPr>
    <w:rPr>
      <w:rFonts w:ascii="Tahoma" w:hAnsi="Tahoma" w:cs="Tahoma"/>
      <w:sz w:val="20"/>
      <w:szCs w:val="20"/>
    </w:rPr>
  </w:style>
  <w:style w:type="character" w:customStyle="1" w:styleId="Char1">
    <w:name w:val="Χάρτης εγγράφου Char"/>
    <w:basedOn w:val="a1"/>
    <w:link w:val="a7"/>
    <w:rsid w:val="00CC3917"/>
    <w:rPr>
      <w:rFonts w:ascii="Tahoma" w:hAnsi="Tahoma" w:cs="Tahoma"/>
      <w:sz w:val="20"/>
      <w:szCs w:val="20"/>
      <w:shd w:val="clear" w:color="auto" w:fill="000080"/>
      <w:lang w:val="en-GB"/>
    </w:rPr>
  </w:style>
  <w:style w:type="paragraph" w:customStyle="1" w:styleId="CharCharCharCharCharCharCharChar">
    <w:name w:val="Char Char Char Char Char Char Char Char"/>
    <w:basedOn w:val="a0"/>
    <w:rsid w:val="00CC3917"/>
    <w:pPr>
      <w:spacing w:after="160" w:line="240" w:lineRule="exact"/>
    </w:pPr>
    <w:rPr>
      <w:rFonts w:ascii="Tahoma" w:hAnsi="Tahoma"/>
      <w:sz w:val="20"/>
      <w:szCs w:val="20"/>
      <w:lang w:val="en-US" w:eastAsia="en-US"/>
    </w:rPr>
  </w:style>
  <w:style w:type="paragraph" w:styleId="a8">
    <w:name w:val="header"/>
    <w:basedOn w:val="a0"/>
    <w:link w:val="Char2"/>
    <w:rsid w:val="00CC3917"/>
    <w:pPr>
      <w:tabs>
        <w:tab w:val="center" w:pos="4320"/>
        <w:tab w:val="right" w:pos="8640"/>
      </w:tabs>
    </w:pPr>
  </w:style>
  <w:style w:type="character" w:customStyle="1" w:styleId="Char2">
    <w:name w:val="Κεφαλίδα Char"/>
    <w:basedOn w:val="a1"/>
    <w:link w:val="a8"/>
    <w:rsid w:val="00CC3917"/>
    <w:rPr>
      <w:rFonts w:ascii="Times New Roman" w:hAnsi="Times New Roman"/>
      <w:sz w:val="24"/>
      <w:lang w:val="en-GB"/>
    </w:rPr>
  </w:style>
  <w:style w:type="paragraph" w:customStyle="1" w:styleId="CharCharCharCharCharCharCharChar1CharCharChar2CharCharCharCharCharChar">
    <w:name w:val="Char Char Char Char Char Char Char Char1 Char Char Char2 Char Char Char Char Char Char"/>
    <w:basedOn w:val="a0"/>
    <w:rsid w:val="00CC3917"/>
    <w:pPr>
      <w:spacing w:after="160" w:line="240" w:lineRule="exact"/>
    </w:pPr>
    <w:rPr>
      <w:rFonts w:ascii="Tahoma" w:hAnsi="Tahoma"/>
      <w:sz w:val="20"/>
      <w:szCs w:val="20"/>
      <w:lang w:val="en-US" w:eastAsia="en-US"/>
    </w:rPr>
  </w:style>
  <w:style w:type="paragraph" w:styleId="a9">
    <w:name w:val="Body Text"/>
    <w:basedOn w:val="a0"/>
    <w:link w:val="Char3"/>
    <w:rsid w:val="00CC3917"/>
    <w:pPr>
      <w:spacing w:after="200" w:line="288" w:lineRule="auto"/>
      <w:ind w:left="624"/>
      <w:jc w:val="both"/>
    </w:pPr>
    <w:rPr>
      <w:rFonts w:ascii="CG Times" w:hAnsi="CG Times"/>
      <w:sz w:val="22"/>
      <w:szCs w:val="20"/>
    </w:rPr>
  </w:style>
  <w:style w:type="character" w:customStyle="1" w:styleId="Char3">
    <w:name w:val="Σώμα κειμένου Char"/>
    <w:basedOn w:val="a1"/>
    <w:link w:val="a9"/>
    <w:rsid w:val="00CC3917"/>
    <w:rPr>
      <w:rFonts w:ascii="CG Times" w:hAnsi="CG Times"/>
      <w:szCs w:val="20"/>
      <w:lang w:val="en-GB"/>
    </w:rPr>
  </w:style>
  <w:style w:type="paragraph" w:customStyle="1" w:styleId="CharChar">
    <w:name w:val="Char Char"/>
    <w:basedOn w:val="a0"/>
    <w:rsid w:val="00CC3917"/>
    <w:pPr>
      <w:spacing w:after="160" w:line="240" w:lineRule="exact"/>
    </w:pPr>
    <w:rPr>
      <w:rFonts w:ascii="Tahoma" w:hAnsi="Tahoma"/>
      <w:sz w:val="20"/>
      <w:szCs w:val="20"/>
      <w:lang w:val="en-US" w:eastAsia="en-US"/>
    </w:rPr>
  </w:style>
  <w:style w:type="paragraph" w:customStyle="1" w:styleId="Char10">
    <w:name w:val="Char1"/>
    <w:basedOn w:val="a0"/>
    <w:rsid w:val="00CC3917"/>
    <w:pPr>
      <w:spacing w:after="160" w:line="240" w:lineRule="exact"/>
    </w:pPr>
    <w:rPr>
      <w:rFonts w:ascii="Tahoma" w:hAnsi="Tahoma"/>
      <w:sz w:val="20"/>
      <w:szCs w:val="20"/>
      <w:lang w:val="en-US" w:eastAsia="en-US"/>
    </w:rPr>
  </w:style>
  <w:style w:type="character" w:styleId="aa">
    <w:name w:val="Strong"/>
    <w:qFormat/>
    <w:rsid w:val="00CC3917"/>
    <w:rPr>
      <w:b/>
      <w:bCs/>
    </w:rPr>
  </w:style>
  <w:style w:type="paragraph" w:customStyle="1" w:styleId="Char1CharCharCharCharCharCharCharCharCharCharCharCharCharCharCharCharCharCharCharCharCharCharCharChar">
    <w:name w:val="Char1 Char Char Char Char Char Char Char Char Char Char Char Char Char Char Char Char Char Char Char Char Char Char Char Char"/>
    <w:basedOn w:val="a0"/>
    <w:rsid w:val="00CC3917"/>
    <w:pPr>
      <w:spacing w:after="160" w:line="240" w:lineRule="exact"/>
    </w:pPr>
    <w:rPr>
      <w:rFonts w:ascii="Tahoma" w:hAnsi="Tahoma"/>
      <w:sz w:val="20"/>
      <w:szCs w:val="20"/>
      <w:lang w:val="en-US" w:eastAsia="en-US"/>
    </w:rPr>
  </w:style>
  <w:style w:type="paragraph" w:customStyle="1" w:styleId="Char1CharCharCharCharCharCharCharCharCharCharCharCharCharCharCharCharCharCharCharCharCharCharChar">
    <w:name w:val="Char1 Char Char Char Char Char Char Char Char Char Char Char Char Char Char Char Char Char Char Char Char Char Char Char"/>
    <w:basedOn w:val="a0"/>
    <w:rsid w:val="00CC3917"/>
    <w:pPr>
      <w:spacing w:after="160" w:line="240" w:lineRule="exact"/>
    </w:pPr>
    <w:rPr>
      <w:rFonts w:ascii="Tahoma" w:hAnsi="Tahoma"/>
      <w:sz w:val="20"/>
      <w:szCs w:val="20"/>
      <w:lang w:val="en-US" w:eastAsia="en-US"/>
    </w:rPr>
  </w:style>
  <w:style w:type="character" w:styleId="ab">
    <w:name w:val="Emphasis"/>
    <w:qFormat/>
    <w:rsid w:val="00CC3917"/>
    <w:rPr>
      <w:i/>
      <w:iCs/>
      <w:sz w:val="20"/>
    </w:rPr>
  </w:style>
  <w:style w:type="paragraph" w:customStyle="1" w:styleId="CharCharCharCharCharCharCharChar1CharCharChar">
    <w:name w:val="Char Char Char Char Char Char Char Char1 Char Char Char"/>
    <w:basedOn w:val="a0"/>
    <w:rsid w:val="00CC3917"/>
    <w:pPr>
      <w:spacing w:after="160" w:line="240" w:lineRule="exact"/>
    </w:pPr>
    <w:rPr>
      <w:rFonts w:ascii="Tahoma" w:hAnsi="Tahoma"/>
      <w:sz w:val="20"/>
      <w:szCs w:val="20"/>
      <w:lang w:val="en-US" w:eastAsia="en-US"/>
    </w:rPr>
  </w:style>
  <w:style w:type="character" w:styleId="ac">
    <w:name w:val="page number"/>
    <w:rsid w:val="00CC3917"/>
  </w:style>
  <w:style w:type="paragraph" w:customStyle="1" w:styleId="CharCharCharCharCharCharCharChar1CharCharChar1">
    <w:name w:val="Char Char Char Char Char Char Char Char1 Char Char Char1"/>
    <w:basedOn w:val="a0"/>
    <w:rsid w:val="00CC3917"/>
    <w:pPr>
      <w:spacing w:after="160" w:line="240" w:lineRule="exact"/>
    </w:pPr>
    <w:rPr>
      <w:rFonts w:ascii="Tahoma" w:hAnsi="Tahoma"/>
      <w:sz w:val="20"/>
      <w:szCs w:val="20"/>
      <w:lang w:val="en-US" w:eastAsia="en-US"/>
    </w:rPr>
  </w:style>
  <w:style w:type="paragraph" w:customStyle="1" w:styleId="CharCharCharCharCharCharCharChar1CharCharCharCharCharCharCharCharCharCharCharCharCharCharCharCharCharCharCharCharCharCharCharCharCharCharCharCharCharCharCharCharCharChar">
    <w:name w:val="Char Char Char Char Char Char Char Char1 Char Char Char Char Char Char Char Char Char Char Char Char Char Char Char Char Char Char Char Char Char Char Char Char Char Char Char Char Char Char Char Char Char Char"/>
    <w:basedOn w:val="a0"/>
    <w:rsid w:val="00CC3917"/>
    <w:pPr>
      <w:spacing w:after="160" w:line="240" w:lineRule="exact"/>
    </w:pPr>
    <w:rPr>
      <w:rFonts w:ascii="Tahoma" w:hAnsi="Tahoma"/>
      <w:sz w:val="20"/>
      <w:szCs w:val="20"/>
      <w:lang w:val="en-US" w:eastAsia="en-US"/>
    </w:rPr>
  </w:style>
  <w:style w:type="paragraph" w:customStyle="1" w:styleId="Char2CharCharCharCharChar">
    <w:name w:val="Char2 Char Char Char Char Char"/>
    <w:basedOn w:val="a0"/>
    <w:rsid w:val="00CC3917"/>
    <w:pPr>
      <w:spacing w:after="160" w:line="240" w:lineRule="exact"/>
    </w:pPr>
    <w:rPr>
      <w:rFonts w:ascii="Tahoma" w:hAnsi="Tahoma"/>
      <w:sz w:val="20"/>
      <w:szCs w:val="20"/>
      <w:lang w:val="en-US" w:eastAsia="en-US"/>
    </w:rPr>
  </w:style>
  <w:style w:type="paragraph" w:styleId="ad">
    <w:name w:val="footnote text"/>
    <w:basedOn w:val="a0"/>
    <w:link w:val="Char4"/>
    <w:rsid w:val="00CC3917"/>
    <w:rPr>
      <w:sz w:val="20"/>
      <w:szCs w:val="20"/>
    </w:rPr>
  </w:style>
  <w:style w:type="character" w:customStyle="1" w:styleId="Char4">
    <w:name w:val="Κείμενο υποσημείωσης Char"/>
    <w:basedOn w:val="a1"/>
    <w:link w:val="ad"/>
    <w:rsid w:val="00CC3917"/>
    <w:rPr>
      <w:rFonts w:ascii="Times New Roman" w:hAnsi="Times New Roman"/>
      <w:sz w:val="20"/>
      <w:szCs w:val="20"/>
      <w:lang w:val="en-GB"/>
    </w:rPr>
  </w:style>
  <w:style w:type="character" w:styleId="ae">
    <w:name w:val="footnote reference"/>
    <w:rsid w:val="00CC3917"/>
    <w:rPr>
      <w:vertAlign w:val="superscript"/>
    </w:rPr>
  </w:style>
  <w:style w:type="paragraph" w:customStyle="1" w:styleId="Char2CharCharCharCharCharCharCharChar1">
    <w:name w:val="Char2 Char Char Char Char Char Char Char Char1"/>
    <w:basedOn w:val="a0"/>
    <w:rsid w:val="00CC3917"/>
    <w:pPr>
      <w:spacing w:after="160" w:line="240" w:lineRule="exact"/>
    </w:pPr>
    <w:rPr>
      <w:rFonts w:ascii="Tahoma" w:hAnsi="Tahoma"/>
      <w:sz w:val="20"/>
      <w:szCs w:val="20"/>
      <w:lang w:val="en-US" w:eastAsia="en-US"/>
    </w:rPr>
  </w:style>
  <w:style w:type="paragraph" w:customStyle="1" w:styleId="CharCharCharCharCharCharCharCharCharChar1CharCharChar">
    <w:name w:val="Char Char Char Char Char Char Char Char Char Char1 Char Char Char"/>
    <w:basedOn w:val="a0"/>
    <w:rsid w:val="00CC3917"/>
    <w:pPr>
      <w:spacing w:after="160" w:line="240" w:lineRule="exact"/>
    </w:pPr>
    <w:rPr>
      <w:rFonts w:ascii="Tahoma" w:hAnsi="Tahoma"/>
      <w:sz w:val="20"/>
      <w:szCs w:val="20"/>
      <w:lang w:val="en-US" w:eastAsia="en-US"/>
    </w:rPr>
  </w:style>
  <w:style w:type="paragraph" w:customStyle="1" w:styleId="Char2CharCharCharCharCharCharCharCharCharCharCharCharCharCharCharCharChar">
    <w:name w:val="Char2 Char Char Char Char Char Char Char Char Char Char Char Char Char Char Char Char Char"/>
    <w:basedOn w:val="a0"/>
    <w:rsid w:val="00CC3917"/>
    <w:pPr>
      <w:spacing w:after="160" w:line="240" w:lineRule="exact"/>
    </w:pPr>
    <w:rPr>
      <w:rFonts w:ascii="Tahoma" w:hAnsi="Tahoma"/>
      <w:sz w:val="20"/>
      <w:szCs w:val="20"/>
      <w:lang w:val="en-US" w:eastAsia="en-US"/>
    </w:rPr>
  </w:style>
  <w:style w:type="paragraph" w:customStyle="1" w:styleId="CharCharCharCharCharCharCharChar1CharCharChar2CharCharCharCharCharChar1">
    <w:name w:val="Char Char Char Char Char Char Char Char1 Char Char Char2 Char Char Char Char Char Char1"/>
    <w:basedOn w:val="a0"/>
    <w:rsid w:val="00CC3917"/>
    <w:pPr>
      <w:spacing w:after="160" w:line="240" w:lineRule="exact"/>
    </w:pPr>
    <w:rPr>
      <w:rFonts w:ascii="Tahoma" w:hAnsi="Tahoma"/>
      <w:sz w:val="20"/>
      <w:szCs w:val="20"/>
      <w:lang w:val="en-US" w:eastAsia="en-US"/>
    </w:rPr>
  </w:style>
  <w:style w:type="character" w:customStyle="1" w:styleId="1Char1">
    <w:name w:val="Επικεφαλίδα 1 Char1"/>
    <w:link w:val="1"/>
    <w:uiPriority w:val="9"/>
    <w:rsid w:val="00CC3917"/>
    <w:rPr>
      <w:rFonts w:ascii="Cambria" w:eastAsia="MS Gothic" w:hAnsi="Cambria"/>
      <w:b/>
      <w:bCs/>
      <w:kern w:val="32"/>
      <w:sz w:val="32"/>
      <w:szCs w:val="32"/>
      <w:lang w:val="en-GB"/>
    </w:rPr>
  </w:style>
  <w:style w:type="paragraph" w:styleId="a">
    <w:name w:val="List Bullet"/>
    <w:basedOn w:val="a0"/>
    <w:qFormat/>
    <w:rsid w:val="00CC3917"/>
    <w:pPr>
      <w:numPr>
        <w:numId w:val="1"/>
      </w:numPr>
      <w:tabs>
        <w:tab w:val="clear" w:pos="720"/>
        <w:tab w:val="num" w:pos="360"/>
      </w:tabs>
      <w:spacing w:after="240"/>
      <w:ind w:left="0" w:firstLine="0"/>
    </w:pPr>
    <w:rPr>
      <w:rFonts w:eastAsia="MS Mincho"/>
      <w:szCs w:val="20"/>
      <w:lang w:val="en-US" w:eastAsia="ja-JP"/>
    </w:rPr>
  </w:style>
  <w:style w:type="paragraph" w:customStyle="1" w:styleId="SCDocID">
    <w:name w:val="S&amp;C DocID"/>
    <w:basedOn w:val="a0"/>
    <w:next w:val="a5"/>
    <w:link w:val="SCDocIDChar"/>
    <w:rsid w:val="00CC3917"/>
    <w:rPr>
      <w:sz w:val="16"/>
    </w:rPr>
  </w:style>
  <w:style w:type="character" w:customStyle="1" w:styleId="WebChar">
    <w:name w:val="Κανονικό (Web) Char"/>
    <w:link w:val="Web"/>
    <w:rsid w:val="00CC3917"/>
    <w:rPr>
      <w:rFonts w:ascii="Times New Roman" w:hAnsi="Times New Roman"/>
      <w:sz w:val="24"/>
    </w:rPr>
  </w:style>
  <w:style w:type="character" w:customStyle="1" w:styleId="SCDocIDChar">
    <w:name w:val="S&amp;C DocID Char"/>
    <w:link w:val="SCDocID"/>
    <w:rsid w:val="00CC3917"/>
    <w:rPr>
      <w:rFonts w:ascii="Times New Roman" w:hAnsi="Times New Roman"/>
      <w:sz w:val="16"/>
      <w:lang w:val="en-GB"/>
    </w:rPr>
  </w:style>
  <w:style w:type="paragraph" w:customStyle="1" w:styleId="Default">
    <w:name w:val="Default"/>
    <w:rsid w:val="00CC3917"/>
    <w:pPr>
      <w:autoSpaceDE w:val="0"/>
      <w:autoSpaceDN w:val="0"/>
      <w:adjustRightInd w:val="0"/>
    </w:pPr>
    <w:rPr>
      <w:rFonts w:ascii="Times New Roman" w:hAnsi="Times New Roman"/>
      <w:color w:val="000000"/>
      <w:sz w:val="24"/>
      <w:lang w:val="en-US" w:eastAsia="ja-JP"/>
    </w:rPr>
  </w:style>
  <w:style w:type="character" w:styleId="-">
    <w:name w:val="Hyperlink"/>
    <w:uiPriority w:val="99"/>
    <w:unhideWhenUsed/>
    <w:rsid w:val="00CC3917"/>
    <w:rPr>
      <w:color w:val="0000FF"/>
      <w:u w:val="single"/>
    </w:rPr>
  </w:style>
  <w:style w:type="character" w:styleId="af">
    <w:name w:val="annotation reference"/>
    <w:uiPriority w:val="99"/>
    <w:unhideWhenUsed/>
    <w:rsid w:val="00CC3917"/>
    <w:rPr>
      <w:sz w:val="16"/>
      <w:szCs w:val="16"/>
    </w:rPr>
  </w:style>
  <w:style w:type="paragraph" w:styleId="af0">
    <w:name w:val="annotation text"/>
    <w:basedOn w:val="a0"/>
    <w:link w:val="Char5"/>
    <w:uiPriority w:val="99"/>
    <w:unhideWhenUsed/>
    <w:rsid w:val="00CC3917"/>
    <w:rPr>
      <w:sz w:val="20"/>
      <w:szCs w:val="20"/>
    </w:rPr>
  </w:style>
  <w:style w:type="character" w:customStyle="1" w:styleId="Char5">
    <w:name w:val="Κείμενο σχολίου Char"/>
    <w:basedOn w:val="a1"/>
    <w:link w:val="af0"/>
    <w:uiPriority w:val="99"/>
    <w:rsid w:val="00CC3917"/>
    <w:rPr>
      <w:rFonts w:ascii="Times New Roman" w:hAnsi="Times New Roman"/>
      <w:sz w:val="20"/>
      <w:szCs w:val="20"/>
      <w:lang w:val="en-GB"/>
    </w:rPr>
  </w:style>
  <w:style w:type="paragraph" w:styleId="af1">
    <w:name w:val="annotation subject"/>
    <w:basedOn w:val="af0"/>
    <w:next w:val="af0"/>
    <w:link w:val="Char6"/>
    <w:uiPriority w:val="99"/>
    <w:unhideWhenUsed/>
    <w:rsid w:val="00CC3917"/>
    <w:rPr>
      <w:b/>
      <w:bCs/>
    </w:rPr>
  </w:style>
  <w:style w:type="character" w:customStyle="1" w:styleId="Char6">
    <w:name w:val="Θέμα σχολίου Char"/>
    <w:basedOn w:val="Char5"/>
    <w:link w:val="af1"/>
    <w:uiPriority w:val="99"/>
    <w:rsid w:val="00CC3917"/>
    <w:rPr>
      <w:rFonts w:ascii="Times New Roman" w:hAnsi="Times New Roman"/>
      <w:b/>
      <w:bCs/>
      <w:sz w:val="20"/>
      <w:szCs w:val="20"/>
      <w:lang w:val="en-GB"/>
    </w:rPr>
  </w:style>
  <w:style w:type="paragraph" w:customStyle="1" w:styleId="Heading-Level3">
    <w:name w:val="Heading - Level 3"/>
    <w:next w:val="a9"/>
    <w:rsid w:val="00CC3917"/>
    <w:pPr>
      <w:keepNext/>
      <w:keepLines/>
      <w:widowControl w:val="0"/>
      <w:autoSpaceDE w:val="0"/>
      <w:autoSpaceDN w:val="0"/>
      <w:adjustRightInd w:val="0"/>
      <w:spacing w:before="80" w:after="120"/>
    </w:pPr>
    <w:rPr>
      <w:rFonts w:ascii="Arial" w:hAnsi="Arial" w:cs="Arial"/>
      <w:b/>
      <w:bCs/>
      <w:kern w:val="2"/>
      <w:sz w:val="21"/>
      <w:szCs w:val="21"/>
      <w:lang w:val="en-GB"/>
    </w:rPr>
  </w:style>
  <w:style w:type="paragraph" w:styleId="af2">
    <w:name w:val="List Paragraph"/>
    <w:basedOn w:val="a0"/>
    <w:uiPriority w:val="34"/>
    <w:qFormat/>
    <w:rsid w:val="00CC3917"/>
    <w:pPr>
      <w:ind w:left="720"/>
    </w:pPr>
    <w:rPr>
      <w:rFonts w:ascii="Calibri" w:eastAsia="Calibri" w:hAnsi="Calibri" w:cs="Calibri"/>
      <w:sz w:val="22"/>
      <w:szCs w:val="22"/>
      <w:lang w:val="en-US" w:eastAsia="en-US"/>
    </w:rPr>
  </w:style>
  <w:style w:type="paragraph" w:customStyle="1" w:styleId="BulletL1">
    <w:name w:val="BulletL1"/>
    <w:basedOn w:val="a0"/>
    <w:rsid w:val="00CC3917"/>
    <w:pPr>
      <w:numPr>
        <w:numId w:val="2"/>
      </w:numPr>
      <w:spacing w:before="240" w:line="260" w:lineRule="atLeast"/>
      <w:jc w:val="both"/>
    </w:pPr>
    <w:rPr>
      <w:rFonts w:eastAsia="Calibri"/>
      <w:sz w:val="20"/>
      <w:szCs w:val="22"/>
      <w:lang w:eastAsia="en-US"/>
    </w:rPr>
  </w:style>
  <w:style w:type="paragraph" w:customStyle="1" w:styleId="BulletL2">
    <w:name w:val="BulletL2"/>
    <w:basedOn w:val="a0"/>
    <w:rsid w:val="00CC3917"/>
    <w:pPr>
      <w:numPr>
        <w:ilvl w:val="1"/>
        <w:numId w:val="2"/>
      </w:numPr>
      <w:spacing w:before="240" w:line="260" w:lineRule="atLeast"/>
      <w:jc w:val="both"/>
    </w:pPr>
    <w:rPr>
      <w:rFonts w:eastAsia="Calibri"/>
      <w:sz w:val="20"/>
      <w:szCs w:val="22"/>
      <w:lang w:eastAsia="en-US"/>
    </w:rPr>
  </w:style>
  <w:style w:type="paragraph" w:customStyle="1" w:styleId="BulletL3">
    <w:name w:val="BulletL3"/>
    <w:basedOn w:val="a0"/>
    <w:rsid w:val="00CC3917"/>
    <w:pPr>
      <w:numPr>
        <w:ilvl w:val="2"/>
        <w:numId w:val="2"/>
      </w:numPr>
      <w:spacing w:before="240" w:line="260" w:lineRule="atLeast"/>
      <w:jc w:val="both"/>
    </w:pPr>
    <w:rPr>
      <w:rFonts w:eastAsia="Calibri"/>
      <w:sz w:val="20"/>
      <w:szCs w:val="22"/>
      <w:lang w:eastAsia="en-US"/>
    </w:rPr>
  </w:style>
  <w:style w:type="paragraph" w:customStyle="1" w:styleId="BulletL4">
    <w:name w:val="BulletL4"/>
    <w:basedOn w:val="a0"/>
    <w:rsid w:val="00CC3917"/>
    <w:pPr>
      <w:numPr>
        <w:ilvl w:val="3"/>
        <w:numId w:val="2"/>
      </w:numPr>
      <w:spacing w:before="240" w:line="260" w:lineRule="atLeast"/>
      <w:jc w:val="both"/>
    </w:pPr>
    <w:rPr>
      <w:rFonts w:eastAsia="Calibri"/>
      <w:sz w:val="20"/>
      <w:szCs w:val="22"/>
      <w:lang w:eastAsia="en-US"/>
    </w:rPr>
  </w:style>
  <w:style w:type="paragraph" w:customStyle="1" w:styleId="BulletL5">
    <w:name w:val="BulletL5"/>
    <w:basedOn w:val="a0"/>
    <w:rsid w:val="00CC3917"/>
    <w:pPr>
      <w:numPr>
        <w:ilvl w:val="4"/>
        <w:numId w:val="2"/>
      </w:numPr>
      <w:spacing w:before="240" w:line="260" w:lineRule="atLeast"/>
      <w:jc w:val="both"/>
    </w:pPr>
    <w:rPr>
      <w:rFonts w:eastAsia="Calibri"/>
      <w:sz w:val="20"/>
      <w:szCs w:val="22"/>
      <w:lang w:eastAsia="en-US"/>
    </w:rPr>
  </w:style>
  <w:style w:type="paragraph" w:customStyle="1" w:styleId="BulletL6">
    <w:name w:val="BulletL6"/>
    <w:basedOn w:val="a0"/>
    <w:rsid w:val="00CC3917"/>
    <w:pPr>
      <w:numPr>
        <w:ilvl w:val="5"/>
        <w:numId w:val="2"/>
      </w:numPr>
      <w:spacing w:before="240" w:line="260" w:lineRule="atLeast"/>
      <w:jc w:val="both"/>
    </w:pPr>
    <w:rPr>
      <w:rFonts w:eastAsia="Calibri"/>
      <w:sz w:val="20"/>
      <w:szCs w:val="22"/>
      <w:lang w:eastAsia="en-US"/>
    </w:rPr>
  </w:style>
  <w:style w:type="paragraph" w:customStyle="1" w:styleId="BulletL7">
    <w:name w:val="BulletL7"/>
    <w:basedOn w:val="a0"/>
    <w:rsid w:val="00CC3917"/>
    <w:pPr>
      <w:numPr>
        <w:ilvl w:val="6"/>
        <w:numId w:val="2"/>
      </w:numPr>
      <w:spacing w:before="240" w:line="260" w:lineRule="atLeast"/>
      <w:jc w:val="both"/>
    </w:pPr>
    <w:rPr>
      <w:rFonts w:eastAsia="Calibri"/>
      <w:sz w:val="20"/>
      <w:szCs w:val="22"/>
      <w:lang w:eastAsia="en-US"/>
    </w:rPr>
  </w:style>
  <w:style w:type="paragraph" w:customStyle="1" w:styleId="BulletL8">
    <w:name w:val="BulletL8"/>
    <w:basedOn w:val="a0"/>
    <w:rsid w:val="00CC3917"/>
    <w:pPr>
      <w:numPr>
        <w:ilvl w:val="7"/>
        <w:numId w:val="2"/>
      </w:numPr>
      <w:spacing w:before="240" w:line="260" w:lineRule="atLeast"/>
      <w:jc w:val="both"/>
    </w:pPr>
    <w:rPr>
      <w:rFonts w:eastAsia="Calibri"/>
      <w:sz w:val="20"/>
      <w:szCs w:val="22"/>
      <w:lang w:eastAsia="en-US"/>
    </w:rPr>
  </w:style>
  <w:style w:type="paragraph" w:customStyle="1" w:styleId="BulletL9">
    <w:name w:val="BulletL9"/>
    <w:basedOn w:val="a0"/>
    <w:rsid w:val="00CC3917"/>
    <w:pPr>
      <w:numPr>
        <w:ilvl w:val="8"/>
        <w:numId w:val="2"/>
      </w:numPr>
      <w:spacing w:before="240" w:line="260" w:lineRule="atLeast"/>
      <w:jc w:val="both"/>
    </w:pPr>
    <w:rPr>
      <w:rFonts w:eastAsia="Calibri"/>
      <w:sz w:val="20"/>
      <w:szCs w:val="22"/>
      <w:lang w:eastAsia="en-US"/>
    </w:rPr>
  </w:style>
  <w:style w:type="paragraph" w:customStyle="1" w:styleId="DocText">
    <w:name w:val="DocText"/>
    <w:basedOn w:val="a0"/>
    <w:rsid w:val="00CC3917"/>
    <w:pPr>
      <w:numPr>
        <w:numId w:val="3"/>
      </w:numPr>
      <w:spacing w:before="240" w:line="260" w:lineRule="atLeast"/>
      <w:jc w:val="both"/>
    </w:pPr>
    <w:rPr>
      <w:rFonts w:eastAsia="Calibri"/>
      <w:sz w:val="20"/>
      <w:szCs w:val="22"/>
      <w:lang w:eastAsia="en-US"/>
    </w:rPr>
  </w:style>
  <w:style w:type="paragraph" w:customStyle="1" w:styleId="DocTextL1">
    <w:name w:val="DocTextL1"/>
    <w:basedOn w:val="DocText"/>
    <w:rsid w:val="00CC3917"/>
    <w:pPr>
      <w:numPr>
        <w:ilvl w:val="1"/>
      </w:numPr>
    </w:pPr>
  </w:style>
  <w:style w:type="paragraph" w:customStyle="1" w:styleId="DocTextL2">
    <w:name w:val="DocTextL2"/>
    <w:basedOn w:val="DocText"/>
    <w:rsid w:val="00CC3917"/>
    <w:pPr>
      <w:numPr>
        <w:ilvl w:val="2"/>
      </w:numPr>
    </w:pPr>
  </w:style>
  <w:style w:type="paragraph" w:customStyle="1" w:styleId="DocTextL3">
    <w:name w:val="DocTextL3"/>
    <w:basedOn w:val="DocText"/>
    <w:rsid w:val="00CC3917"/>
    <w:pPr>
      <w:numPr>
        <w:ilvl w:val="3"/>
      </w:numPr>
    </w:pPr>
  </w:style>
  <w:style w:type="paragraph" w:customStyle="1" w:styleId="DocTextL4">
    <w:name w:val="DocTextL4"/>
    <w:basedOn w:val="DocText"/>
    <w:rsid w:val="00CC3917"/>
    <w:pPr>
      <w:numPr>
        <w:ilvl w:val="4"/>
      </w:numPr>
    </w:pPr>
  </w:style>
  <w:style w:type="paragraph" w:customStyle="1" w:styleId="DocTextL5">
    <w:name w:val="DocTextL5"/>
    <w:basedOn w:val="DocText"/>
    <w:rsid w:val="00CC3917"/>
    <w:pPr>
      <w:numPr>
        <w:ilvl w:val="5"/>
      </w:numPr>
    </w:pPr>
  </w:style>
  <w:style w:type="paragraph" w:customStyle="1" w:styleId="DocTextL6">
    <w:name w:val="DocTextL6"/>
    <w:basedOn w:val="DocText"/>
    <w:rsid w:val="00CC3917"/>
    <w:pPr>
      <w:numPr>
        <w:ilvl w:val="6"/>
      </w:numPr>
    </w:pPr>
  </w:style>
  <w:style w:type="paragraph" w:customStyle="1" w:styleId="DocTextL7">
    <w:name w:val="DocTextL7"/>
    <w:basedOn w:val="DocText"/>
    <w:rsid w:val="00CC3917"/>
    <w:pPr>
      <w:numPr>
        <w:ilvl w:val="7"/>
      </w:numPr>
    </w:pPr>
  </w:style>
  <w:style w:type="paragraph" w:customStyle="1" w:styleId="DocTextL8">
    <w:name w:val="DocTextL8"/>
    <w:basedOn w:val="DocText"/>
    <w:rsid w:val="00CC3917"/>
    <w:pPr>
      <w:numPr>
        <w:ilvl w:val="8"/>
      </w:numPr>
    </w:pPr>
  </w:style>
  <w:style w:type="paragraph" w:styleId="af3">
    <w:name w:val="Revision"/>
    <w:hidden/>
    <w:uiPriority w:val="99"/>
    <w:semiHidden/>
    <w:rsid w:val="00CC3917"/>
    <w:rPr>
      <w:rFonts w:ascii="Times New Roman" w:hAnsi="Times New Roman"/>
      <w:sz w:val="24"/>
      <w:lang w:val="en-GB"/>
    </w:rPr>
  </w:style>
  <w:style w:type="paragraph" w:customStyle="1" w:styleId="KATERINA4">
    <w:name w:val="KATERINA4"/>
    <w:basedOn w:val="a0"/>
    <w:rsid w:val="00CC3917"/>
    <w:pPr>
      <w:ind w:firstLine="624"/>
      <w:jc w:val="both"/>
    </w:pPr>
    <w:rPr>
      <w:szCs w:val="20"/>
      <w:lang w:val="el-GR" w:eastAsia="ja-JP"/>
    </w:rPr>
  </w:style>
  <w:style w:type="paragraph" w:customStyle="1" w:styleId="KATERINA1">
    <w:name w:val="KATERINA1"/>
    <w:basedOn w:val="af4"/>
    <w:rsid w:val="00CC3917"/>
    <w:pPr>
      <w:contextualSpacing w:val="0"/>
      <w:jc w:val="both"/>
    </w:pPr>
    <w:rPr>
      <w:rFonts w:ascii="Times New Roman" w:hAnsi="Times New Roman"/>
      <w:spacing w:val="0"/>
      <w:kern w:val="0"/>
      <w:sz w:val="24"/>
      <w:szCs w:val="20"/>
      <w:lang w:val="en-US" w:eastAsia="ja-JP"/>
    </w:rPr>
  </w:style>
  <w:style w:type="paragraph" w:styleId="af4">
    <w:name w:val="Title"/>
    <w:basedOn w:val="a0"/>
    <w:next w:val="a0"/>
    <w:link w:val="Char7"/>
    <w:uiPriority w:val="10"/>
    <w:qFormat/>
    <w:rsid w:val="00CC3917"/>
    <w:pPr>
      <w:contextualSpacing/>
    </w:pPr>
    <w:rPr>
      <w:rFonts w:ascii="Cambria" w:hAnsi="Cambria"/>
      <w:spacing w:val="-10"/>
      <w:kern w:val="28"/>
      <w:sz w:val="56"/>
      <w:szCs w:val="56"/>
    </w:rPr>
  </w:style>
  <w:style w:type="character" w:customStyle="1" w:styleId="Char7">
    <w:name w:val="Τίτλος Char"/>
    <w:basedOn w:val="a1"/>
    <w:link w:val="af4"/>
    <w:uiPriority w:val="10"/>
    <w:rsid w:val="00CC3917"/>
    <w:rPr>
      <w:rFonts w:ascii="Cambria" w:hAnsi="Cambria"/>
      <w:spacing w:val="-10"/>
      <w:kern w:val="28"/>
      <w:sz w:val="56"/>
      <w:szCs w:val="56"/>
      <w:lang w:val="en-GB"/>
    </w:rPr>
  </w:style>
  <w:style w:type="paragraph" w:customStyle="1" w:styleId="FreeForm">
    <w:name w:val="Free Form"/>
    <w:rsid w:val="00CC3917"/>
    <w:rPr>
      <w:rFonts w:ascii="Helvetica" w:eastAsia="ヒラギノ角ゴ Pro W3" w:hAnsi="Helvetica"/>
      <w:color w:val="00000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3D666-3A1F-4BE9-A6A9-A011200CE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3936</Words>
  <Characters>23469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M. &amp; P. Bernitsas Law Offices</Company>
  <LinksUpToDate>false</LinksUpToDate>
  <CharactersWithSpaces>27351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Bernitsas Law Firm</dc:creator>
  <cp:lastModifiedBy>Bernitsas Law Firm</cp:lastModifiedBy>
  <cp:revision>5</cp:revision>
  <cp:lastPrinted>2018-10-18T10:04:00Z</cp:lastPrinted>
  <dcterms:created xsi:type="dcterms:W3CDTF">2018-10-18T16:42:00Z</dcterms:created>
  <dcterms:modified xsi:type="dcterms:W3CDTF">2018-10-18T17:19:00Z</dcterms:modified>
</cp:coreProperties>
</file>