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36" w:rsidRPr="005753F6" w:rsidRDefault="00AE0136" w:rsidP="00AE0136">
      <w:pPr>
        <w:pStyle w:val="a5"/>
        <w:jc w:val="center"/>
        <w:rPr>
          <w:rFonts w:asciiTheme="minorHAnsi" w:hAnsiTheme="minorHAnsi" w:cstheme="minorHAnsi"/>
          <w:b/>
          <w:sz w:val="22"/>
          <w:szCs w:val="22"/>
          <w:u w:val="single"/>
          <w:lang w:val="fr-FR"/>
        </w:rPr>
      </w:pPr>
      <w:r w:rsidRPr="005753F6">
        <w:rPr>
          <w:rFonts w:asciiTheme="minorHAnsi" w:hAnsiTheme="minorHAnsi" w:cstheme="minorHAnsi"/>
          <w:b/>
          <w:sz w:val="22"/>
          <w:szCs w:val="22"/>
          <w:u w:val="single"/>
          <w:lang w:val="fr-FR"/>
        </w:rPr>
        <w:t xml:space="preserve">TITAN CEMENT INTERNATIONAL S.A. </w:t>
      </w:r>
    </w:p>
    <w:p w:rsidR="00AE0136" w:rsidRPr="005753F6" w:rsidRDefault="00AE0136" w:rsidP="00AE0136">
      <w:pPr>
        <w:pStyle w:val="a5"/>
        <w:jc w:val="center"/>
        <w:rPr>
          <w:rFonts w:asciiTheme="minorHAnsi" w:hAnsiTheme="minorHAnsi" w:cstheme="minorHAnsi"/>
          <w:b/>
          <w:sz w:val="22"/>
          <w:szCs w:val="22"/>
          <w:u w:val="single"/>
          <w:lang w:val="en-US"/>
        </w:rPr>
      </w:pPr>
      <w:r w:rsidRPr="005753F6">
        <w:rPr>
          <w:rFonts w:asciiTheme="minorHAnsi" w:hAnsiTheme="minorHAnsi" w:cstheme="minorHAnsi"/>
          <w:b/>
          <w:sz w:val="22"/>
          <w:szCs w:val="22"/>
          <w:u w:val="single"/>
          <w:lang w:val="en-US"/>
        </w:rPr>
        <w:t>ANNOUNCEMENT</w:t>
      </w:r>
    </w:p>
    <w:p w:rsidR="00AE0136" w:rsidRPr="005753F6" w:rsidRDefault="00AE0136" w:rsidP="00AE0136">
      <w:pPr>
        <w:autoSpaceDE w:val="0"/>
        <w:autoSpaceDN w:val="0"/>
        <w:adjustRightInd w:val="0"/>
        <w:spacing w:after="240"/>
        <w:jc w:val="both"/>
        <w:rPr>
          <w:rFonts w:asciiTheme="minorHAnsi" w:hAnsiTheme="minorHAnsi" w:cstheme="minorHAnsi"/>
          <w:bCs/>
          <w:i/>
          <w:iCs/>
          <w:sz w:val="22"/>
          <w:szCs w:val="22"/>
        </w:rPr>
      </w:pPr>
    </w:p>
    <w:p w:rsidR="00AE0136" w:rsidRPr="005753F6" w:rsidRDefault="00AE0136" w:rsidP="00AE0136">
      <w:pPr>
        <w:autoSpaceDE w:val="0"/>
        <w:autoSpaceDN w:val="0"/>
        <w:adjustRightInd w:val="0"/>
        <w:spacing w:after="240"/>
        <w:jc w:val="both"/>
        <w:rPr>
          <w:rFonts w:asciiTheme="minorHAnsi" w:hAnsiTheme="minorHAnsi" w:cstheme="minorHAnsi"/>
          <w:bCs/>
          <w:i/>
          <w:iCs/>
          <w:sz w:val="22"/>
          <w:szCs w:val="22"/>
        </w:rPr>
      </w:pPr>
      <w:r w:rsidRPr="005753F6">
        <w:rPr>
          <w:rFonts w:asciiTheme="minorHAnsi" w:hAnsiTheme="minorHAnsi" w:cstheme="minorHAnsi"/>
          <w:bCs/>
          <w:i/>
          <w:iCs/>
          <w:sz w:val="22"/>
          <w:szCs w:val="22"/>
        </w:rPr>
        <w:t xml:space="preserve">NOT FOR RELEASE, PUBLICATION OR DISTRIBUTION, DIRECTLY OR INDIRECTLY, IN WHOLE OR IN PART, IN OR INTO THE UNITED STATES OF AMERICA, AUSTRALIA, CANADA, JAPAN OR ANY OTHER JURISDICTION </w:t>
      </w:r>
      <w:r w:rsidRPr="005753F6">
        <w:rPr>
          <w:rFonts w:asciiTheme="minorHAnsi" w:hAnsiTheme="minorHAnsi" w:cstheme="minorHAnsi"/>
          <w:bCs/>
          <w:i/>
          <w:iCs/>
          <w:sz w:val="22"/>
          <w:szCs w:val="22"/>
          <w:lang w:val="en-US"/>
        </w:rPr>
        <w:t>WHERE TO DO SO WOULD VIOLATE THE LAWS OF THAT JURISDICTION</w:t>
      </w:r>
    </w:p>
    <w:p w:rsidR="00AE0136" w:rsidRPr="005753F6" w:rsidRDefault="00AE0136" w:rsidP="00AE0136">
      <w:pPr>
        <w:spacing w:after="120"/>
        <w:jc w:val="center"/>
        <w:outlineLvl w:val="0"/>
        <w:rPr>
          <w:rFonts w:asciiTheme="minorHAnsi" w:hAnsiTheme="minorHAnsi" w:cstheme="minorHAnsi"/>
          <w:b/>
          <w:color w:val="000000"/>
          <w:sz w:val="22"/>
          <w:szCs w:val="22"/>
        </w:rPr>
      </w:pPr>
      <w:r w:rsidRPr="005753F6">
        <w:rPr>
          <w:rFonts w:asciiTheme="minorHAnsi" w:hAnsiTheme="minorHAnsi" w:cstheme="minorHAnsi"/>
          <w:b/>
          <w:color w:val="000000"/>
          <w:sz w:val="22"/>
          <w:szCs w:val="22"/>
        </w:rPr>
        <w:t>ANNOUNCEMENT OF SUBMISSION OF A VOLUNTARY TENDER OFFER MADE BY</w:t>
      </w:r>
      <w:r w:rsidRPr="005753F6">
        <w:rPr>
          <w:rFonts w:asciiTheme="minorHAnsi" w:hAnsiTheme="minorHAnsi" w:cstheme="minorHAnsi"/>
          <w:b/>
          <w:color w:val="000000"/>
          <w:sz w:val="22"/>
          <w:szCs w:val="22"/>
          <w:lang w:val="en-US"/>
        </w:rPr>
        <w:t xml:space="preserve"> TITAN CEMENT</w:t>
      </w:r>
      <w:r w:rsidRPr="005753F6">
        <w:rPr>
          <w:rFonts w:asciiTheme="minorHAnsi" w:hAnsiTheme="minorHAnsi" w:cstheme="minorHAnsi"/>
          <w:b/>
          <w:bCs/>
          <w:sz w:val="22"/>
          <w:szCs w:val="22"/>
        </w:rPr>
        <w:t xml:space="preserve"> INTERNATIONAL S.A. </w:t>
      </w:r>
      <w:r w:rsidRPr="005753F6">
        <w:rPr>
          <w:rFonts w:asciiTheme="minorHAnsi" w:hAnsiTheme="minorHAnsi" w:cstheme="minorHAnsi"/>
          <w:b/>
          <w:color w:val="000000"/>
          <w:sz w:val="22"/>
          <w:szCs w:val="22"/>
        </w:rPr>
        <w:t>TO THE SHAREHOLDERS OF TITAN CEMENT COMPANY S.A., TO EXCHANGE ALL THE ORDINARY AND PREFERENCE SHARES ISSUED BY T</w:t>
      </w:r>
      <w:r w:rsidRPr="005753F6">
        <w:rPr>
          <w:rFonts w:asciiTheme="minorHAnsi" w:hAnsiTheme="minorHAnsi" w:cstheme="minorHAnsi"/>
          <w:b/>
          <w:bCs/>
          <w:sz w:val="22"/>
          <w:szCs w:val="22"/>
        </w:rPr>
        <w:t xml:space="preserve">ITAN CEMENT COMPANY S.A. WITH SHARES OF </w:t>
      </w:r>
      <w:r w:rsidRPr="005753F6">
        <w:rPr>
          <w:rFonts w:asciiTheme="minorHAnsi" w:hAnsiTheme="minorHAnsi" w:cstheme="minorHAnsi"/>
          <w:b/>
          <w:color w:val="000000"/>
          <w:sz w:val="22"/>
          <w:szCs w:val="22"/>
          <w:lang w:val="en-US"/>
        </w:rPr>
        <w:t>TITAN CEMENT</w:t>
      </w:r>
      <w:r w:rsidRPr="005753F6">
        <w:rPr>
          <w:rFonts w:asciiTheme="minorHAnsi" w:hAnsiTheme="minorHAnsi" w:cstheme="minorHAnsi"/>
          <w:b/>
          <w:bCs/>
          <w:sz w:val="22"/>
          <w:szCs w:val="22"/>
        </w:rPr>
        <w:t xml:space="preserve"> INTERNATIONAL S.A.</w:t>
      </w:r>
    </w:p>
    <w:p w:rsidR="00AE0136" w:rsidRPr="005753F6" w:rsidRDefault="00AE0136" w:rsidP="00AE0136">
      <w:pPr>
        <w:spacing w:after="120"/>
        <w:jc w:val="right"/>
        <w:rPr>
          <w:rFonts w:asciiTheme="minorHAnsi" w:hAnsiTheme="minorHAnsi" w:cstheme="minorHAnsi"/>
          <w:color w:val="000000"/>
          <w:sz w:val="22"/>
          <w:szCs w:val="22"/>
        </w:rPr>
      </w:pPr>
      <w:r w:rsidRPr="005753F6">
        <w:rPr>
          <w:rFonts w:asciiTheme="minorHAnsi" w:hAnsiTheme="minorHAnsi" w:cstheme="minorHAnsi"/>
          <w:color w:val="000000"/>
          <w:sz w:val="22"/>
          <w:szCs w:val="22"/>
        </w:rPr>
        <w:t>18 October 2018</w:t>
      </w:r>
    </w:p>
    <w:p w:rsidR="00AE0136" w:rsidRPr="005753F6" w:rsidRDefault="00AE0136" w:rsidP="00AE0136">
      <w:pPr>
        <w:pStyle w:val="a6"/>
        <w:tabs>
          <w:tab w:val="left" w:pos="720"/>
        </w:tabs>
        <w:spacing w:after="120" w:line="240" w:lineRule="auto"/>
        <w:ind w:left="0"/>
        <w:rPr>
          <w:rFonts w:asciiTheme="minorHAnsi" w:hAnsiTheme="minorHAnsi" w:cstheme="minorHAnsi"/>
          <w:b/>
          <w:szCs w:val="22"/>
        </w:rPr>
      </w:pPr>
      <w:r w:rsidRPr="005753F6">
        <w:rPr>
          <w:rFonts w:asciiTheme="minorHAnsi" w:hAnsiTheme="minorHAnsi" w:cstheme="minorHAnsi"/>
          <w:b/>
          <w:szCs w:val="22"/>
        </w:rPr>
        <w:t xml:space="preserve">Executive Summary </w:t>
      </w:r>
    </w:p>
    <w:p w:rsidR="00AE0136" w:rsidRPr="005753F6" w:rsidRDefault="00AE0136" w:rsidP="00AE0136">
      <w:pPr>
        <w:pStyle w:val="a6"/>
        <w:numPr>
          <w:ilvl w:val="0"/>
          <w:numId w:val="1"/>
        </w:numPr>
        <w:spacing w:after="120" w:line="240" w:lineRule="auto"/>
        <w:rPr>
          <w:rFonts w:asciiTheme="minorHAnsi" w:hAnsiTheme="minorHAnsi" w:cstheme="minorHAnsi"/>
          <w:szCs w:val="22"/>
        </w:rPr>
      </w:pPr>
      <w:r w:rsidRPr="005753F6">
        <w:rPr>
          <w:rFonts w:asciiTheme="minorHAnsi" w:hAnsiTheme="minorHAnsi" w:cstheme="minorHAnsi"/>
          <w:bCs/>
          <w:szCs w:val="22"/>
        </w:rPr>
        <w:t>In accordance with Greek Law 3461/2006, as amended (the “</w:t>
      </w:r>
      <w:r w:rsidRPr="005753F6">
        <w:rPr>
          <w:rFonts w:asciiTheme="minorHAnsi" w:hAnsiTheme="minorHAnsi" w:cstheme="minorHAnsi"/>
          <w:b/>
          <w:bCs/>
          <w:szCs w:val="22"/>
        </w:rPr>
        <w:t>Law</w:t>
      </w:r>
      <w:r w:rsidRPr="005753F6">
        <w:rPr>
          <w:rFonts w:asciiTheme="minorHAnsi" w:hAnsiTheme="minorHAnsi" w:cstheme="minorHAnsi"/>
          <w:bCs/>
          <w:szCs w:val="22"/>
        </w:rPr>
        <w:t>”), “Titan Cement</w:t>
      </w:r>
      <w:r w:rsidRPr="005753F6">
        <w:rPr>
          <w:rFonts w:asciiTheme="minorHAnsi" w:hAnsiTheme="minorHAnsi" w:cstheme="minorHAnsi"/>
          <w:bCs/>
          <w:szCs w:val="22"/>
          <w:lang w:val="en-US"/>
        </w:rPr>
        <w:t xml:space="preserve"> International S.A.</w:t>
      </w:r>
      <w:r w:rsidRPr="005753F6">
        <w:rPr>
          <w:rFonts w:asciiTheme="minorHAnsi" w:hAnsiTheme="minorHAnsi" w:cstheme="minorHAnsi"/>
          <w:bCs/>
          <w:szCs w:val="22"/>
        </w:rPr>
        <w:t xml:space="preserve">”, a newly formed </w:t>
      </w:r>
      <w:proofErr w:type="spellStart"/>
      <w:r w:rsidRPr="005753F6">
        <w:rPr>
          <w:rFonts w:asciiTheme="minorHAnsi" w:hAnsiTheme="minorHAnsi" w:cstheme="minorHAnsi"/>
          <w:bCs/>
          <w:i/>
          <w:szCs w:val="22"/>
        </w:rPr>
        <w:t>société</w:t>
      </w:r>
      <w:proofErr w:type="spellEnd"/>
      <w:r w:rsidRPr="005753F6">
        <w:rPr>
          <w:rFonts w:asciiTheme="minorHAnsi" w:hAnsiTheme="minorHAnsi" w:cstheme="minorHAnsi"/>
          <w:bCs/>
          <w:i/>
          <w:szCs w:val="22"/>
        </w:rPr>
        <w:t xml:space="preserve"> </w:t>
      </w:r>
      <w:proofErr w:type="spellStart"/>
      <w:r w:rsidRPr="005753F6">
        <w:rPr>
          <w:rFonts w:asciiTheme="minorHAnsi" w:hAnsiTheme="minorHAnsi" w:cstheme="minorHAnsi"/>
          <w:bCs/>
          <w:i/>
          <w:szCs w:val="22"/>
        </w:rPr>
        <w:t>anonyme</w:t>
      </w:r>
      <w:proofErr w:type="spellEnd"/>
      <w:r w:rsidRPr="005753F6">
        <w:rPr>
          <w:rFonts w:asciiTheme="minorHAnsi" w:hAnsiTheme="minorHAnsi" w:cstheme="minorHAnsi"/>
          <w:bCs/>
          <w:szCs w:val="22"/>
        </w:rPr>
        <w:t xml:space="preserve"> incorporated under the laws of </w:t>
      </w:r>
      <w:r w:rsidRPr="005753F6">
        <w:rPr>
          <w:rFonts w:asciiTheme="minorHAnsi" w:hAnsiTheme="minorHAnsi" w:cstheme="minorHAnsi"/>
          <w:bCs/>
          <w:szCs w:val="22"/>
          <w:lang w:val="en-US"/>
        </w:rPr>
        <w:t>Belgium</w:t>
      </w:r>
      <w:r w:rsidRPr="005753F6">
        <w:rPr>
          <w:rFonts w:asciiTheme="minorHAnsi" w:hAnsiTheme="minorHAnsi" w:cstheme="minorHAnsi"/>
          <w:bCs/>
          <w:szCs w:val="22"/>
        </w:rPr>
        <w:t xml:space="preserve"> </w:t>
      </w:r>
      <w:r w:rsidRPr="005753F6">
        <w:rPr>
          <w:rFonts w:asciiTheme="minorHAnsi" w:hAnsiTheme="minorHAnsi" w:cstheme="minorHAnsi"/>
          <w:bCs/>
          <w:szCs w:val="22"/>
          <w:lang w:val="en-US"/>
        </w:rPr>
        <w:t>(“</w:t>
      </w:r>
      <w:r w:rsidRPr="005753F6">
        <w:rPr>
          <w:rFonts w:asciiTheme="minorHAnsi" w:hAnsiTheme="minorHAnsi" w:cstheme="minorHAnsi"/>
          <w:b/>
          <w:bCs/>
          <w:szCs w:val="22"/>
          <w:lang w:val="en-US"/>
        </w:rPr>
        <w:t>TITAN Cement International</w:t>
      </w:r>
      <w:r w:rsidRPr="005753F6">
        <w:rPr>
          <w:rFonts w:asciiTheme="minorHAnsi" w:hAnsiTheme="minorHAnsi" w:cstheme="minorHAnsi"/>
          <w:bCs/>
          <w:szCs w:val="22"/>
          <w:lang w:val="en-US"/>
        </w:rPr>
        <w:t>”)</w:t>
      </w:r>
      <w:r w:rsidRPr="005753F6">
        <w:rPr>
          <w:rFonts w:asciiTheme="minorHAnsi" w:hAnsiTheme="minorHAnsi" w:cstheme="minorHAnsi"/>
          <w:szCs w:val="22"/>
        </w:rPr>
        <w:t>, announces the submission of a voluntary share exchange tender offer (the “</w:t>
      </w:r>
      <w:r w:rsidRPr="005753F6">
        <w:rPr>
          <w:rFonts w:asciiTheme="minorHAnsi" w:hAnsiTheme="minorHAnsi" w:cstheme="minorHAnsi"/>
          <w:b/>
          <w:szCs w:val="22"/>
        </w:rPr>
        <w:t>Share Exchange Offer</w:t>
      </w:r>
      <w:r w:rsidRPr="005753F6">
        <w:rPr>
          <w:rFonts w:asciiTheme="minorHAnsi" w:hAnsiTheme="minorHAnsi" w:cstheme="minorHAnsi"/>
          <w:szCs w:val="22"/>
        </w:rPr>
        <w:t>”) to acquire all of the ordinary registered shares (the “</w:t>
      </w:r>
      <w:r w:rsidRPr="005753F6">
        <w:rPr>
          <w:rFonts w:asciiTheme="minorHAnsi" w:hAnsiTheme="minorHAnsi" w:cstheme="minorHAnsi"/>
          <w:b/>
          <w:szCs w:val="22"/>
        </w:rPr>
        <w:t>Ordinary Shares</w:t>
      </w:r>
      <w:r w:rsidRPr="005753F6">
        <w:rPr>
          <w:rFonts w:asciiTheme="minorHAnsi" w:hAnsiTheme="minorHAnsi" w:cstheme="minorHAnsi"/>
          <w:szCs w:val="22"/>
        </w:rPr>
        <w:t>”) and preference shares (the “</w:t>
      </w:r>
      <w:r w:rsidRPr="005753F6">
        <w:rPr>
          <w:rFonts w:asciiTheme="minorHAnsi" w:hAnsiTheme="minorHAnsi" w:cstheme="minorHAnsi"/>
          <w:b/>
          <w:szCs w:val="22"/>
        </w:rPr>
        <w:t>Preference Shares</w:t>
      </w:r>
      <w:r w:rsidRPr="005753F6">
        <w:rPr>
          <w:rFonts w:asciiTheme="minorHAnsi" w:hAnsiTheme="minorHAnsi" w:cstheme="minorHAnsi"/>
          <w:szCs w:val="22"/>
        </w:rPr>
        <w:t>” and together with the Ordinary Shares, the “</w:t>
      </w:r>
      <w:r w:rsidRPr="005753F6">
        <w:rPr>
          <w:rFonts w:asciiTheme="minorHAnsi" w:hAnsiTheme="minorHAnsi" w:cstheme="minorHAnsi"/>
          <w:b/>
          <w:szCs w:val="22"/>
        </w:rPr>
        <w:t>TITAN Shares</w:t>
      </w:r>
      <w:r w:rsidRPr="005753F6">
        <w:rPr>
          <w:rFonts w:asciiTheme="minorHAnsi" w:hAnsiTheme="minorHAnsi" w:cstheme="minorHAnsi"/>
          <w:szCs w:val="22"/>
        </w:rPr>
        <w:t xml:space="preserve">”), </w:t>
      </w:r>
      <w:r w:rsidRPr="005753F6">
        <w:rPr>
          <w:rFonts w:asciiTheme="minorHAnsi" w:hAnsiTheme="minorHAnsi" w:cstheme="minorHAnsi"/>
          <w:bCs/>
          <w:szCs w:val="22"/>
        </w:rPr>
        <w:t xml:space="preserve">each having a </w:t>
      </w:r>
      <w:r w:rsidRPr="005753F6">
        <w:rPr>
          <w:rFonts w:asciiTheme="minorHAnsi" w:hAnsiTheme="minorHAnsi" w:cstheme="minorHAnsi"/>
          <w:bCs/>
          <w:szCs w:val="22"/>
          <w:lang w:val="en-US"/>
        </w:rPr>
        <w:t>par</w:t>
      </w:r>
      <w:r w:rsidRPr="005753F6">
        <w:rPr>
          <w:rFonts w:asciiTheme="minorHAnsi" w:hAnsiTheme="minorHAnsi" w:cstheme="minorHAnsi"/>
          <w:bCs/>
          <w:szCs w:val="22"/>
        </w:rPr>
        <w:t xml:space="preserve"> value of €3.45 and issued</w:t>
      </w:r>
      <w:r w:rsidRPr="005753F6">
        <w:rPr>
          <w:rFonts w:asciiTheme="minorHAnsi" w:hAnsiTheme="minorHAnsi" w:cstheme="minorHAnsi"/>
          <w:b/>
          <w:bCs/>
          <w:szCs w:val="22"/>
        </w:rPr>
        <w:t xml:space="preserve"> </w:t>
      </w:r>
      <w:r w:rsidRPr="005753F6">
        <w:rPr>
          <w:rFonts w:asciiTheme="minorHAnsi" w:hAnsiTheme="minorHAnsi" w:cstheme="minorHAnsi"/>
          <w:bCs/>
          <w:szCs w:val="22"/>
        </w:rPr>
        <w:t>by</w:t>
      </w:r>
      <w:r w:rsidRPr="005753F6">
        <w:rPr>
          <w:rFonts w:asciiTheme="minorHAnsi" w:hAnsiTheme="minorHAnsi" w:cstheme="minorHAnsi"/>
          <w:szCs w:val="22"/>
        </w:rPr>
        <w:t xml:space="preserve"> "Titan Cement Company S.A." (“</w:t>
      </w:r>
      <w:r w:rsidRPr="005753F6">
        <w:rPr>
          <w:rFonts w:asciiTheme="minorHAnsi" w:hAnsiTheme="minorHAnsi" w:cstheme="minorHAnsi"/>
          <w:b/>
          <w:szCs w:val="22"/>
        </w:rPr>
        <w:t>TITAN</w:t>
      </w:r>
      <w:r w:rsidRPr="005753F6">
        <w:rPr>
          <w:rFonts w:asciiTheme="minorHAnsi" w:hAnsiTheme="minorHAnsi" w:cstheme="minorHAnsi"/>
          <w:szCs w:val="22"/>
        </w:rPr>
        <w:t>”), in consideration for new shares issuable by TITAN Cement International (the “</w:t>
      </w:r>
      <w:r w:rsidRPr="005753F6">
        <w:rPr>
          <w:rFonts w:asciiTheme="minorHAnsi" w:hAnsiTheme="minorHAnsi" w:cstheme="minorHAnsi"/>
          <w:b/>
          <w:szCs w:val="22"/>
        </w:rPr>
        <w:t>Consideration Shares</w:t>
      </w:r>
      <w:r w:rsidRPr="005753F6">
        <w:rPr>
          <w:rFonts w:asciiTheme="minorHAnsi" w:hAnsiTheme="minorHAnsi" w:cstheme="minorHAnsi"/>
          <w:szCs w:val="22"/>
        </w:rPr>
        <w:t>”) at an exchange ratio of one Consideration Share for each Titan Share (the “</w:t>
      </w:r>
      <w:r w:rsidRPr="005753F6">
        <w:rPr>
          <w:rFonts w:asciiTheme="minorHAnsi" w:hAnsiTheme="minorHAnsi" w:cstheme="minorHAnsi"/>
          <w:b/>
          <w:szCs w:val="22"/>
        </w:rPr>
        <w:t>Exchange Ratio</w:t>
      </w:r>
      <w:r w:rsidRPr="005753F6">
        <w:rPr>
          <w:rFonts w:asciiTheme="minorHAnsi" w:hAnsiTheme="minorHAnsi" w:cstheme="minorHAnsi"/>
          <w:szCs w:val="22"/>
        </w:rPr>
        <w:t xml:space="preserve">”). </w:t>
      </w:r>
    </w:p>
    <w:p w:rsidR="00AE0136" w:rsidRPr="005753F6" w:rsidRDefault="00B40A20" w:rsidP="00AE0136">
      <w:pPr>
        <w:pStyle w:val="a6"/>
        <w:numPr>
          <w:ilvl w:val="0"/>
          <w:numId w:val="1"/>
        </w:numPr>
        <w:spacing w:after="120" w:line="240" w:lineRule="auto"/>
        <w:rPr>
          <w:rFonts w:asciiTheme="minorHAnsi" w:hAnsiTheme="minorHAnsi" w:cstheme="minorHAnsi"/>
          <w:szCs w:val="22"/>
        </w:rPr>
      </w:pPr>
      <w:r w:rsidRPr="005753F6">
        <w:rPr>
          <w:rFonts w:asciiTheme="minorHAnsi" w:hAnsiTheme="minorHAnsi" w:cstheme="minorHAnsi"/>
          <w:szCs w:val="22"/>
        </w:rPr>
        <w:t xml:space="preserve">TITAN </w:t>
      </w:r>
      <w:r w:rsidR="00AE0136" w:rsidRPr="005753F6">
        <w:rPr>
          <w:rFonts w:asciiTheme="minorHAnsi" w:hAnsiTheme="minorHAnsi" w:cstheme="minorHAnsi"/>
          <w:szCs w:val="22"/>
          <w:lang w:val="en-US"/>
        </w:rPr>
        <w:t>Cement</w:t>
      </w:r>
      <w:r w:rsidR="00AE0136" w:rsidRPr="005753F6">
        <w:rPr>
          <w:rFonts w:asciiTheme="minorHAnsi" w:hAnsiTheme="minorHAnsi" w:cstheme="minorHAnsi"/>
          <w:szCs w:val="22"/>
        </w:rPr>
        <w:t xml:space="preserve"> International will apply for the primary listing and admission to trading of all its shares, including the Consideration Shares, on Euronext Brussels, one of the largest European stock exchanges, </w:t>
      </w:r>
      <w:r w:rsidR="0089206E" w:rsidRPr="005753F6">
        <w:rPr>
          <w:rFonts w:asciiTheme="minorHAnsi" w:hAnsiTheme="minorHAnsi" w:cstheme="minorHAnsi"/>
          <w:szCs w:val="22"/>
        </w:rPr>
        <w:t xml:space="preserve">as well as </w:t>
      </w:r>
      <w:r w:rsidR="00AE0136" w:rsidRPr="005753F6">
        <w:rPr>
          <w:rFonts w:asciiTheme="minorHAnsi" w:hAnsiTheme="minorHAnsi" w:cstheme="minorHAnsi"/>
          <w:szCs w:val="22"/>
        </w:rPr>
        <w:t>for the secondary listing and admission to trading of such shares on the Athens Exchange (“</w:t>
      </w:r>
      <w:r w:rsidR="00AE0136" w:rsidRPr="005753F6">
        <w:rPr>
          <w:rFonts w:asciiTheme="minorHAnsi" w:hAnsiTheme="minorHAnsi" w:cstheme="minorHAnsi"/>
          <w:b/>
          <w:szCs w:val="22"/>
        </w:rPr>
        <w:t>ATHEX</w:t>
      </w:r>
      <w:r w:rsidR="00AE0136" w:rsidRPr="005753F6">
        <w:rPr>
          <w:rFonts w:asciiTheme="minorHAnsi" w:hAnsiTheme="minorHAnsi" w:cstheme="minorHAnsi"/>
          <w:szCs w:val="22"/>
        </w:rPr>
        <w:t xml:space="preserve">”) and Euronext Paris.      </w:t>
      </w:r>
    </w:p>
    <w:p w:rsidR="00AE0136" w:rsidRPr="005753F6" w:rsidRDefault="00AE0136" w:rsidP="00AE0136">
      <w:pPr>
        <w:pStyle w:val="a6"/>
        <w:numPr>
          <w:ilvl w:val="0"/>
          <w:numId w:val="1"/>
        </w:numPr>
        <w:spacing w:after="120" w:line="240" w:lineRule="auto"/>
        <w:rPr>
          <w:rFonts w:asciiTheme="minorHAnsi" w:hAnsiTheme="minorHAnsi" w:cstheme="minorHAnsi"/>
          <w:szCs w:val="22"/>
        </w:rPr>
      </w:pPr>
      <w:r w:rsidRPr="005753F6">
        <w:rPr>
          <w:rFonts w:asciiTheme="minorHAnsi" w:hAnsiTheme="minorHAnsi" w:cstheme="minorHAnsi"/>
          <w:szCs w:val="22"/>
        </w:rPr>
        <w:t xml:space="preserve">The </w:t>
      </w:r>
      <w:r w:rsidR="00DF499B" w:rsidRPr="005753F6">
        <w:rPr>
          <w:rFonts w:asciiTheme="minorHAnsi" w:hAnsiTheme="minorHAnsi" w:cstheme="minorHAnsi"/>
          <w:szCs w:val="22"/>
        </w:rPr>
        <w:t>Founders (as defined below)</w:t>
      </w:r>
      <w:r w:rsidRPr="005753F6">
        <w:rPr>
          <w:rFonts w:asciiTheme="minorHAnsi" w:hAnsiTheme="minorHAnsi" w:cstheme="minorHAnsi"/>
          <w:szCs w:val="22"/>
        </w:rPr>
        <w:t xml:space="preserve"> and current sole shareholders of TITAN Cement International are members of the family which </w:t>
      </w:r>
      <w:r w:rsidR="00DF499B" w:rsidRPr="005753F6">
        <w:rPr>
          <w:rFonts w:asciiTheme="minorHAnsi" w:hAnsiTheme="minorHAnsi" w:cstheme="minorHAnsi"/>
          <w:szCs w:val="22"/>
        </w:rPr>
        <w:t>founded</w:t>
      </w:r>
      <w:r w:rsidRPr="005753F6">
        <w:rPr>
          <w:rFonts w:asciiTheme="minorHAnsi" w:hAnsiTheme="minorHAnsi" w:cstheme="minorHAnsi"/>
          <w:szCs w:val="22"/>
        </w:rPr>
        <w:t xml:space="preserve"> TITAN in 1911.</w:t>
      </w:r>
    </w:p>
    <w:p w:rsidR="00AE0136" w:rsidRPr="005753F6" w:rsidRDefault="00AE0136" w:rsidP="00AE0136">
      <w:pPr>
        <w:pStyle w:val="a6"/>
        <w:numPr>
          <w:ilvl w:val="0"/>
          <w:numId w:val="1"/>
        </w:numPr>
        <w:spacing w:after="120" w:line="240" w:lineRule="auto"/>
        <w:rPr>
          <w:rFonts w:asciiTheme="minorHAnsi" w:hAnsiTheme="minorHAnsi" w:cstheme="minorHAnsi"/>
          <w:szCs w:val="22"/>
        </w:rPr>
      </w:pPr>
      <w:r w:rsidRPr="005753F6">
        <w:rPr>
          <w:rFonts w:asciiTheme="minorHAnsi" w:hAnsiTheme="minorHAnsi" w:cstheme="minorHAnsi"/>
          <w:szCs w:val="22"/>
          <w:lang w:val="en-US"/>
        </w:rPr>
        <w:t xml:space="preserve">The purpose of the </w:t>
      </w:r>
      <w:r w:rsidRPr="005753F6">
        <w:rPr>
          <w:rFonts w:asciiTheme="minorHAnsi" w:hAnsiTheme="minorHAnsi" w:cstheme="minorHAnsi"/>
          <w:szCs w:val="22"/>
        </w:rPr>
        <w:t>Share Exchange Offer is not to acquire control of TITAN but to facilitate the listing of TITAN and its subsidiaries (the “</w:t>
      </w:r>
      <w:r w:rsidRPr="005753F6">
        <w:rPr>
          <w:rFonts w:asciiTheme="minorHAnsi" w:hAnsiTheme="minorHAnsi" w:cstheme="minorHAnsi"/>
          <w:b/>
          <w:szCs w:val="22"/>
        </w:rPr>
        <w:t>TITAN Group</w:t>
      </w:r>
      <w:r w:rsidRPr="005753F6">
        <w:rPr>
          <w:rFonts w:asciiTheme="minorHAnsi" w:hAnsiTheme="minorHAnsi" w:cstheme="minorHAnsi"/>
          <w:szCs w:val="22"/>
        </w:rPr>
        <w:t>”) on Euronext Brussels,</w:t>
      </w:r>
      <w:r w:rsidRPr="005753F6" w:rsidDel="0008417F">
        <w:rPr>
          <w:rFonts w:asciiTheme="minorHAnsi" w:hAnsiTheme="minorHAnsi" w:cstheme="minorHAnsi"/>
          <w:szCs w:val="22"/>
        </w:rPr>
        <w:t xml:space="preserve"> </w:t>
      </w:r>
      <w:r w:rsidRPr="005753F6">
        <w:rPr>
          <w:rFonts w:asciiTheme="minorHAnsi" w:hAnsiTheme="minorHAnsi" w:cstheme="minorHAnsi"/>
          <w:szCs w:val="22"/>
        </w:rPr>
        <w:t>through the primary listing and admission to trading of all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shares of TITAN Cement International on the securities market of Euronext Brussels</w:t>
      </w:r>
      <w:r w:rsidR="0030507D" w:rsidRPr="005753F6">
        <w:rPr>
          <w:rFonts w:asciiTheme="minorHAnsi" w:hAnsiTheme="minorHAnsi" w:cstheme="minorHAnsi"/>
          <w:szCs w:val="22"/>
        </w:rPr>
        <w:t xml:space="preserve">. </w:t>
      </w:r>
      <w:r w:rsidR="005753F6">
        <w:rPr>
          <w:rFonts w:asciiTheme="minorHAnsi" w:hAnsiTheme="minorHAnsi" w:cstheme="minorHAnsi"/>
          <w:szCs w:val="22"/>
        </w:rPr>
        <w:t xml:space="preserve">Pursuant to </w:t>
      </w:r>
      <w:r w:rsidR="0030507D" w:rsidRPr="005753F6">
        <w:rPr>
          <w:rFonts w:asciiTheme="minorHAnsi" w:hAnsiTheme="minorHAnsi" w:cstheme="minorHAnsi"/>
          <w:szCs w:val="22"/>
        </w:rPr>
        <w:t>the Share Exchange Offer</w:t>
      </w:r>
      <w:r w:rsidRPr="005753F6">
        <w:rPr>
          <w:rFonts w:asciiTheme="minorHAnsi" w:hAnsiTheme="minorHAnsi" w:cstheme="minorHAnsi"/>
          <w:szCs w:val="22"/>
        </w:rPr>
        <w:t xml:space="preserve"> TITAN Cement International </w:t>
      </w:r>
      <w:r w:rsidR="005753F6">
        <w:rPr>
          <w:rFonts w:asciiTheme="minorHAnsi" w:hAnsiTheme="minorHAnsi" w:cstheme="minorHAnsi"/>
          <w:szCs w:val="22"/>
        </w:rPr>
        <w:t xml:space="preserve">seeks to </w:t>
      </w:r>
      <w:r w:rsidR="008565F3" w:rsidRPr="005753F6">
        <w:rPr>
          <w:rFonts w:asciiTheme="minorHAnsi" w:hAnsiTheme="minorHAnsi" w:cstheme="minorHAnsi"/>
          <w:szCs w:val="22"/>
        </w:rPr>
        <w:t>become</w:t>
      </w:r>
      <w:r w:rsidRPr="005753F6">
        <w:rPr>
          <w:rFonts w:asciiTheme="minorHAnsi" w:hAnsiTheme="minorHAnsi" w:cstheme="minorHAnsi"/>
          <w:szCs w:val="22"/>
        </w:rPr>
        <w:t xml:space="preserve"> the direct parent company of TITAN and the ultimate parent company of TITAN Group, with a shareholding structure where all TITAN shareholders will become TITAN Cement International shareholders. </w:t>
      </w:r>
    </w:p>
    <w:p w:rsidR="00AE0136" w:rsidRPr="005753F6" w:rsidRDefault="00AE0136" w:rsidP="00AE0136">
      <w:pPr>
        <w:pStyle w:val="a6"/>
        <w:numPr>
          <w:ilvl w:val="0"/>
          <w:numId w:val="1"/>
        </w:numPr>
        <w:tabs>
          <w:tab w:val="left" w:pos="720"/>
        </w:tabs>
        <w:spacing w:after="120" w:line="240" w:lineRule="auto"/>
        <w:rPr>
          <w:rFonts w:asciiTheme="minorHAnsi" w:hAnsiTheme="minorHAnsi" w:cstheme="minorHAnsi"/>
          <w:szCs w:val="22"/>
          <w:lang w:val="en-US"/>
        </w:rPr>
      </w:pPr>
      <w:r w:rsidRPr="005753F6">
        <w:rPr>
          <w:rFonts w:asciiTheme="minorHAnsi" w:hAnsiTheme="minorHAnsi" w:cstheme="minorHAnsi"/>
          <w:szCs w:val="22"/>
        </w:rPr>
        <w:t>T</w:t>
      </w:r>
      <w:r w:rsidRPr="005753F6">
        <w:rPr>
          <w:rFonts w:asciiTheme="minorHAnsi" w:hAnsiTheme="minorHAnsi" w:cstheme="minorHAnsi"/>
          <w:szCs w:val="22"/>
          <w:lang w:val="en-US"/>
        </w:rPr>
        <w:t>he principal objectives of the Share Exchange Offer are to:</w:t>
      </w:r>
    </w:p>
    <w:p w:rsidR="00AE0136" w:rsidRPr="005753F6" w:rsidRDefault="00AE0136" w:rsidP="00AE0136">
      <w:pPr>
        <w:pStyle w:val="Default"/>
        <w:numPr>
          <w:ilvl w:val="0"/>
          <w:numId w:val="2"/>
        </w:numPr>
        <w:spacing w:after="120"/>
        <w:rPr>
          <w:rFonts w:asciiTheme="minorHAnsi" w:hAnsiTheme="minorHAnsi" w:cstheme="minorHAnsi"/>
          <w:sz w:val="22"/>
          <w:szCs w:val="22"/>
        </w:rPr>
      </w:pPr>
      <w:r w:rsidRPr="005753F6">
        <w:rPr>
          <w:rFonts w:asciiTheme="minorHAnsi" w:hAnsiTheme="minorHAnsi" w:cstheme="minorHAnsi"/>
          <w:bCs/>
          <w:sz w:val="22"/>
          <w:szCs w:val="22"/>
        </w:rPr>
        <w:t>better reflect and enhance the international nature of TITAN Group’s business activities;</w:t>
      </w:r>
    </w:p>
    <w:p w:rsidR="00AE0136" w:rsidRPr="005753F6" w:rsidRDefault="00AE0136" w:rsidP="00AE0136">
      <w:pPr>
        <w:pStyle w:val="Default"/>
        <w:numPr>
          <w:ilvl w:val="0"/>
          <w:numId w:val="2"/>
        </w:numPr>
        <w:spacing w:after="120"/>
        <w:rPr>
          <w:rFonts w:asciiTheme="minorHAnsi" w:hAnsiTheme="minorHAnsi" w:cstheme="minorHAnsi"/>
          <w:bCs/>
          <w:sz w:val="22"/>
          <w:szCs w:val="22"/>
        </w:rPr>
      </w:pPr>
      <w:r w:rsidRPr="005753F6">
        <w:rPr>
          <w:rFonts w:asciiTheme="minorHAnsi" w:hAnsiTheme="minorHAnsi" w:cstheme="minorHAnsi"/>
          <w:bCs/>
          <w:sz w:val="22"/>
          <w:szCs w:val="22"/>
        </w:rPr>
        <w:t xml:space="preserve">link TITAN Group with </w:t>
      </w:r>
      <w:r w:rsidR="006674AD" w:rsidRPr="005753F6">
        <w:rPr>
          <w:rFonts w:asciiTheme="minorHAnsi" w:hAnsiTheme="minorHAnsi" w:cstheme="minorHAnsi"/>
          <w:bCs/>
          <w:sz w:val="22"/>
          <w:szCs w:val="22"/>
        </w:rPr>
        <w:t xml:space="preserve">a </w:t>
      </w:r>
      <w:r w:rsidRPr="005753F6">
        <w:rPr>
          <w:rFonts w:asciiTheme="minorHAnsi" w:hAnsiTheme="minorHAnsi" w:cstheme="minorHAnsi"/>
          <w:bCs/>
          <w:sz w:val="22"/>
          <w:szCs w:val="22"/>
        </w:rPr>
        <w:t xml:space="preserve">large international stock </w:t>
      </w:r>
      <w:r w:rsidR="006674AD" w:rsidRPr="005753F6">
        <w:rPr>
          <w:rFonts w:asciiTheme="minorHAnsi" w:hAnsiTheme="minorHAnsi" w:cstheme="minorHAnsi"/>
          <w:bCs/>
          <w:sz w:val="22"/>
          <w:szCs w:val="22"/>
        </w:rPr>
        <w:t>exchange</w:t>
      </w:r>
      <w:r w:rsidRPr="005753F6">
        <w:rPr>
          <w:rFonts w:asciiTheme="minorHAnsi" w:hAnsiTheme="minorHAnsi" w:cstheme="minorHAnsi"/>
          <w:bCs/>
          <w:sz w:val="22"/>
          <w:szCs w:val="22"/>
        </w:rPr>
        <w:t xml:space="preserve">, </w:t>
      </w:r>
      <w:r w:rsidR="006674AD" w:rsidRPr="005753F6">
        <w:rPr>
          <w:rFonts w:asciiTheme="minorHAnsi" w:hAnsiTheme="minorHAnsi" w:cstheme="minorHAnsi"/>
          <w:bCs/>
          <w:sz w:val="22"/>
          <w:szCs w:val="22"/>
        </w:rPr>
        <w:t xml:space="preserve">which will offer </w:t>
      </w:r>
      <w:r w:rsidRPr="005753F6">
        <w:rPr>
          <w:rFonts w:asciiTheme="minorHAnsi" w:hAnsiTheme="minorHAnsi" w:cstheme="minorHAnsi"/>
          <w:bCs/>
          <w:sz w:val="22"/>
          <w:szCs w:val="22"/>
        </w:rPr>
        <w:t>a broader and deeper investor base</w:t>
      </w:r>
      <w:r w:rsidR="00E74C15" w:rsidRPr="005753F6">
        <w:rPr>
          <w:rFonts w:asciiTheme="minorHAnsi" w:hAnsiTheme="minorHAnsi" w:cstheme="minorHAnsi"/>
          <w:bCs/>
          <w:sz w:val="22"/>
          <w:szCs w:val="22"/>
        </w:rPr>
        <w:t>, thus enhancing</w:t>
      </w:r>
      <w:r w:rsidRPr="005753F6">
        <w:rPr>
          <w:rFonts w:asciiTheme="minorHAnsi" w:hAnsiTheme="minorHAnsi" w:cstheme="minorHAnsi"/>
          <w:bCs/>
          <w:sz w:val="22"/>
          <w:szCs w:val="22"/>
        </w:rPr>
        <w:t xml:space="preserve"> of its traded shares; and</w:t>
      </w:r>
    </w:p>
    <w:p w:rsidR="00AE0136" w:rsidRPr="005753F6" w:rsidRDefault="00AE0136" w:rsidP="00AE0136">
      <w:pPr>
        <w:pStyle w:val="a6"/>
        <w:numPr>
          <w:ilvl w:val="0"/>
          <w:numId w:val="2"/>
        </w:numPr>
        <w:autoSpaceDE w:val="0"/>
        <w:autoSpaceDN w:val="0"/>
        <w:adjustRightInd w:val="0"/>
        <w:spacing w:after="120" w:line="240" w:lineRule="auto"/>
        <w:rPr>
          <w:rFonts w:asciiTheme="minorHAnsi" w:hAnsiTheme="minorHAnsi" w:cstheme="minorHAnsi"/>
          <w:b/>
          <w:i/>
          <w:szCs w:val="22"/>
        </w:rPr>
      </w:pPr>
      <w:proofErr w:type="gramStart"/>
      <w:r w:rsidRPr="005753F6">
        <w:rPr>
          <w:rFonts w:asciiTheme="minorHAnsi" w:hAnsiTheme="minorHAnsi" w:cstheme="minorHAnsi"/>
          <w:bCs/>
          <w:color w:val="000000"/>
          <w:szCs w:val="22"/>
          <w:lang w:val="en-US"/>
        </w:rPr>
        <w:t>broaden</w:t>
      </w:r>
      <w:proofErr w:type="gramEnd"/>
      <w:r w:rsidRPr="005753F6">
        <w:rPr>
          <w:rFonts w:asciiTheme="minorHAnsi" w:hAnsiTheme="minorHAnsi" w:cstheme="minorHAnsi"/>
          <w:bCs/>
          <w:color w:val="000000"/>
          <w:szCs w:val="22"/>
          <w:lang w:val="en-US"/>
        </w:rPr>
        <w:t xml:space="preserve"> </w:t>
      </w:r>
      <w:r w:rsidRPr="005753F6">
        <w:rPr>
          <w:rFonts w:asciiTheme="minorHAnsi" w:hAnsiTheme="minorHAnsi" w:cstheme="minorHAnsi"/>
          <w:bCs/>
          <w:szCs w:val="22"/>
        </w:rPr>
        <w:t>TITAN</w:t>
      </w:r>
      <w:r w:rsidRPr="005753F6">
        <w:rPr>
          <w:rFonts w:asciiTheme="minorHAnsi" w:hAnsiTheme="minorHAnsi" w:cstheme="minorHAnsi"/>
          <w:bCs/>
          <w:color w:val="000000"/>
          <w:szCs w:val="22"/>
          <w:lang w:val="en-US"/>
        </w:rPr>
        <w:t xml:space="preserve"> Group’s funding sources, improving its access to both the international debt capital markets and international banking institutions</w:t>
      </w:r>
      <w:r w:rsidR="00C45854" w:rsidRPr="005753F6">
        <w:rPr>
          <w:rFonts w:asciiTheme="minorHAnsi" w:hAnsiTheme="minorHAnsi" w:cstheme="minorHAnsi"/>
          <w:bCs/>
          <w:color w:val="000000"/>
          <w:szCs w:val="22"/>
          <w:lang w:val="en-US"/>
        </w:rPr>
        <w:t>,</w:t>
      </w:r>
      <w:r w:rsidR="00B40A20" w:rsidRPr="005753F6">
        <w:rPr>
          <w:rFonts w:asciiTheme="minorHAnsi" w:hAnsiTheme="minorHAnsi" w:cstheme="minorHAnsi"/>
          <w:bCs/>
          <w:color w:val="000000"/>
          <w:szCs w:val="22"/>
          <w:lang w:val="en-US"/>
        </w:rPr>
        <w:t xml:space="preserve"> to </w:t>
      </w:r>
      <w:r w:rsidRPr="005753F6">
        <w:rPr>
          <w:rFonts w:asciiTheme="minorHAnsi" w:hAnsiTheme="minorHAnsi" w:cstheme="minorHAnsi"/>
          <w:bCs/>
          <w:color w:val="000000"/>
          <w:szCs w:val="22"/>
          <w:lang w:val="en-US"/>
        </w:rPr>
        <w:t>achieve more competitive financing costs.</w:t>
      </w:r>
    </w:p>
    <w:p w:rsidR="00AE0136" w:rsidRPr="005753F6" w:rsidRDefault="00AE0136" w:rsidP="00AE0136">
      <w:pPr>
        <w:pStyle w:val="a6"/>
        <w:numPr>
          <w:ilvl w:val="0"/>
          <w:numId w:val="4"/>
        </w:numPr>
        <w:tabs>
          <w:tab w:val="left" w:pos="709"/>
        </w:tabs>
        <w:spacing w:after="120" w:line="240" w:lineRule="auto"/>
        <w:rPr>
          <w:rFonts w:asciiTheme="minorHAnsi" w:hAnsiTheme="minorHAnsi" w:cstheme="minorHAnsi"/>
          <w:szCs w:val="22"/>
        </w:rPr>
      </w:pPr>
      <w:r w:rsidRPr="005753F6">
        <w:rPr>
          <w:rFonts w:asciiTheme="minorHAnsi" w:hAnsiTheme="minorHAnsi" w:cstheme="minorHAnsi"/>
          <w:szCs w:val="22"/>
        </w:rPr>
        <w:t xml:space="preserve">The Share Exchange Offer does not signify any change in the strategic direction of TITAN Group; to the contrary, it is expected to be one more milestone in the dynamic growth path of TITAN Group, fully reflecting its international footprint and outlook. </w:t>
      </w:r>
    </w:p>
    <w:p w:rsidR="00AE0136" w:rsidRPr="005753F6" w:rsidRDefault="00C55542" w:rsidP="00AE0136">
      <w:pPr>
        <w:pStyle w:val="a6"/>
        <w:numPr>
          <w:ilvl w:val="0"/>
          <w:numId w:val="4"/>
        </w:numPr>
        <w:tabs>
          <w:tab w:val="left" w:pos="709"/>
        </w:tabs>
        <w:spacing w:after="120" w:line="240" w:lineRule="auto"/>
        <w:rPr>
          <w:rFonts w:asciiTheme="minorHAnsi" w:hAnsiTheme="minorHAnsi" w:cstheme="minorHAnsi"/>
          <w:szCs w:val="22"/>
        </w:rPr>
      </w:pPr>
      <w:r w:rsidRPr="005753F6">
        <w:rPr>
          <w:rFonts w:asciiTheme="minorHAnsi" w:hAnsiTheme="minorHAnsi" w:cstheme="minorHAnsi"/>
          <w:szCs w:val="22"/>
        </w:rPr>
        <w:lastRenderedPageBreak/>
        <w:t xml:space="preserve">The successful completion of the </w:t>
      </w:r>
      <w:r w:rsidR="00AE0136" w:rsidRPr="005753F6">
        <w:rPr>
          <w:rFonts w:asciiTheme="minorHAnsi" w:hAnsiTheme="minorHAnsi" w:cstheme="minorHAnsi"/>
          <w:szCs w:val="22"/>
        </w:rPr>
        <w:t>Share Exchange Offer will not cause any change to the range of operations, business activities, strategy and priorities of TITAN Group</w:t>
      </w:r>
      <w:r w:rsidR="00AE0136" w:rsidRPr="005753F6">
        <w:rPr>
          <w:rFonts w:asciiTheme="minorHAnsi" w:hAnsiTheme="minorHAnsi" w:cstheme="minorHAnsi"/>
          <w:szCs w:val="22"/>
          <w:lang w:val="en-US"/>
        </w:rPr>
        <w:t>.</w:t>
      </w:r>
      <w:r w:rsidR="00AE0136" w:rsidRPr="005753F6">
        <w:rPr>
          <w:rFonts w:asciiTheme="minorHAnsi" w:hAnsiTheme="minorHAnsi" w:cstheme="minorHAnsi"/>
          <w:szCs w:val="22"/>
        </w:rPr>
        <w:t xml:space="preserve"> The current management of TITAN Group will continue to lead its business operations and its long-term strategy. </w:t>
      </w:r>
    </w:p>
    <w:p w:rsidR="00AE0136" w:rsidRPr="005753F6" w:rsidRDefault="00AE0136" w:rsidP="00AE0136">
      <w:pPr>
        <w:pStyle w:val="a6"/>
        <w:numPr>
          <w:ilvl w:val="0"/>
          <w:numId w:val="3"/>
        </w:numPr>
        <w:tabs>
          <w:tab w:val="left" w:pos="360"/>
          <w:tab w:val="left" w:pos="709"/>
        </w:tabs>
        <w:spacing w:after="120" w:line="240" w:lineRule="auto"/>
        <w:rPr>
          <w:rFonts w:asciiTheme="minorHAnsi" w:hAnsiTheme="minorHAnsi" w:cstheme="minorHAnsi"/>
          <w:szCs w:val="22"/>
        </w:rPr>
      </w:pPr>
      <w:r w:rsidRPr="005753F6">
        <w:rPr>
          <w:rFonts w:asciiTheme="minorHAnsi" w:hAnsiTheme="minorHAnsi" w:cstheme="minorHAnsi"/>
          <w:szCs w:val="22"/>
        </w:rPr>
        <w:t xml:space="preserve">TITAN's presence in Greece will </w:t>
      </w:r>
      <w:r w:rsidR="00C55542" w:rsidRPr="005753F6">
        <w:rPr>
          <w:rFonts w:asciiTheme="minorHAnsi" w:hAnsiTheme="minorHAnsi" w:cstheme="minorHAnsi"/>
          <w:szCs w:val="22"/>
        </w:rPr>
        <w:t>remain</w:t>
      </w:r>
      <w:r w:rsidRPr="005753F6">
        <w:rPr>
          <w:rFonts w:asciiTheme="minorHAnsi" w:hAnsiTheme="minorHAnsi" w:cstheme="minorHAnsi"/>
          <w:szCs w:val="22"/>
          <w:lang w:val="en-US"/>
        </w:rPr>
        <w:t xml:space="preserve"> unchanged</w:t>
      </w:r>
      <w:r w:rsidRPr="005753F6">
        <w:rPr>
          <w:rFonts w:asciiTheme="minorHAnsi" w:hAnsiTheme="minorHAnsi" w:cstheme="minorHAnsi"/>
          <w:szCs w:val="22"/>
        </w:rPr>
        <w:t xml:space="preserve"> </w:t>
      </w:r>
      <w:r w:rsidR="00556481" w:rsidRPr="005753F6">
        <w:rPr>
          <w:rFonts w:asciiTheme="minorHAnsi" w:hAnsiTheme="minorHAnsi" w:cstheme="minorHAnsi"/>
          <w:szCs w:val="22"/>
        </w:rPr>
        <w:t xml:space="preserve">as </w:t>
      </w:r>
      <w:r w:rsidRPr="005753F6">
        <w:rPr>
          <w:rFonts w:asciiTheme="minorHAnsi" w:hAnsiTheme="minorHAnsi" w:cstheme="minorHAnsi"/>
          <w:szCs w:val="22"/>
        </w:rPr>
        <w:t xml:space="preserve">its local production, investments in its activities and human capital, its continued contribution to the local economy and society </w:t>
      </w:r>
      <w:r w:rsidR="00556481" w:rsidRPr="005753F6">
        <w:rPr>
          <w:rFonts w:asciiTheme="minorHAnsi" w:hAnsiTheme="minorHAnsi" w:cstheme="minorHAnsi"/>
          <w:szCs w:val="22"/>
        </w:rPr>
        <w:t xml:space="preserve">will be maintained, </w:t>
      </w:r>
      <w:r w:rsidR="00A8746A" w:rsidRPr="005753F6">
        <w:rPr>
          <w:rFonts w:asciiTheme="minorHAnsi" w:hAnsiTheme="minorHAnsi" w:cstheme="minorHAnsi"/>
          <w:szCs w:val="22"/>
        </w:rPr>
        <w:t>as well as through Titan's</w:t>
      </w:r>
      <w:r w:rsidRPr="005753F6">
        <w:rPr>
          <w:rFonts w:asciiTheme="minorHAnsi" w:hAnsiTheme="minorHAnsi" w:cstheme="minorHAnsi"/>
          <w:szCs w:val="22"/>
        </w:rPr>
        <w:t xml:space="preserve"> secondary listing on the ATHEX. </w:t>
      </w:r>
    </w:p>
    <w:p w:rsidR="00AE0136" w:rsidRPr="005753F6" w:rsidRDefault="007962B4" w:rsidP="00AE0136">
      <w:pPr>
        <w:pStyle w:val="a6"/>
        <w:numPr>
          <w:ilvl w:val="0"/>
          <w:numId w:val="3"/>
        </w:numPr>
        <w:tabs>
          <w:tab w:val="left" w:pos="360"/>
          <w:tab w:val="left" w:pos="709"/>
        </w:tabs>
        <w:spacing w:after="120" w:line="240" w:lineRule="auto"/>
        <w:rPr>
          <w:rFonts w:asciiTheme="minorHAnsi" w:hAnsiTheme="minorHAnsi" w:cstheme="minorHAnsi"/>
          <w:szCs w:val="22"/>
        </w:rPr>
      </w:pPr>
      <w:r w:rsidRPr="005753F6">
        <w:rPr>
          <w:rFonts w:asciiTheme="minorHAnsi" w:hAnsiTheme="minorHAnsi" w:cstheme="minorHAnsi"/>
          <w:szCs w:val="22"/>
        </w:rPr>
        <w:t>TITAN Cement International believes that TITAN Group</w:t>
      </w:r>
      <w:r w:rsidR="00FB52C3" w:rsidRPr="005753F6">
        <w:rPr>
          <w:rFonts w:asciiTheme="minorHAnsi" w:hAnsiTheme="minorHAnsi" w:cstheme="minorHAnsi"/>
          <w:szCs w:val="22"/>
        </w:rPr>
        <w:t>,</w:t>
      </w:r>
      <w:r w:rsidRPr="005753F6">
        <w:rPr>
          <w:rFonts w:asciiTheme="minorHAnsi" w:hAnsiTheme="minorHAnsi" w:cstheme="minorHAnsi"/>
          <w:szCs w:val="22"/>
        </w:rPr>
        <w:t xml:space="preserve"> </w:t>
      </w:r>
      <w:r w:rsidR="00FB52C3" w:rsidRPr="005753F6">
        <w:rPr>
          <w:rFonts w:asciiTheme="minorHAnsi" w:hAnsiTheme="minorHAnsi" w:cstheme="minorHAnsi"/>
          <w:szCs w:val="22"/>
        </w:rPr>
        <w:t>which operates</w:t>
      </w:r>
      <w:r w:rsidR="00AE0136" w:rsidRPr="005753F6">
        <w:rPr>
          <w:rFonts w:asciiTheme="minorHAnsi" w:hAnsiTheme="minorHAnsi" w:cstheme="minorHAnsi"/>
          <w:szCs w:val="22"/>
        </w:rPr>
        <w:t xml:space="preserve"> in an international environment of intensifying competition, increasing uncertainties and multiple challenges, in a capital-intensive sector where access to funding is crucial to future growth, needs to take actions that would facilitate its access to funding under terms similar to those offered to its competitors. The Share Exchange Offer aims to facilitate the continuation of TITAN Group’s international reach, by strengthening its international profile and enabling the Group to fund its growth strategy under more competitive terms.</w:t>
      </w:r>
    </w:p>
    <w:p w:rsidR="00AE0136" w:rsidRPr="005753F6" w:rsidRDefault="00AE0136" w:rsidP="00AE0136">
      <w:pPr>
        <w:pStyle w:val="a7"/>
        <w:numPr>
          <w:ilvl w:val="0"/>
          <w:numId w:val="3"/>
        </w:numPr>
        <w:tabs>
          <w:tab w:val="left" w:pos="360"/>
          <w:tab w:val="left" w:pos="709"/>
        </w:tabs>
        <w:spacing w:after="120"/>
        <w:ind w:left="714" w:hanging="357"/>
        <w:jc w:val="both"/>
        <w:rPr>
          <w:rFonts w:asciiTheme="minorHAnsi" w:hAnsiTheme="minorHAnsi" w:cstheme="minorHAnsi"/>
        </w:rPr>
      </w:pPr>
      <w:r w:rsidRPr="005753F6">
        <w:rPr>
          <w:rFonts w:asciiTheme="minorHAnsi" w:hAnsiTheme="minorHAnsi" w:cstheme="minorHAnsi"/>
        </w:rPr>
        <w:t xml:space="preserve">TITAN Cement International's </w:t>
      </w:r>
      <w:r w:rsidR="00282C67" w:rsidRPr="005753F6">
        <w:rPr>
          <w:rFonts w:asciiTheme="minorHAnsi" w:hAnsiTheme="minorHAnsi" w:cstheme="minorHAnsi"/>
        </w:rPr>
        <w:t>statutory seat</w:t>
      </w:r>
      <w:r w:rsidRPr="005753F6">
        <w:rPr>
          <w:rFonts w:asciiTheme="minorHAnsi" w:hAnsiTheme="minorHAnsi" w:cstheme="minorHAnsi"/>
        </w:rPr>
        <w:t xml:space="preserve"> is in Belgium, a country at the center of the European Union,</w:t>
      </w:r>
      <w:r w:rsidR="00B7141F" w:rsidRPr="005753F6">
        <w:rPr>
          <w:rFonts w:asciiTheme="minorHAnsi" w:hAnsiTheme="minorHAnsi" w:cstheme="minorHAnsi"/>
        </w:rPr>
        <w:t xml:space="preserve"> while </w:t>
      </w:r>
      <w:r w:rsidR="00EB5189">
        <w:rPr>
          <w:rFonts w:asciiTheme="minorHAnsi" w:hAnsiTheme="minorHAnsi" w:cstheme="minorHAnsi"/>
        </w:rPr>
        <w:t>its management</w:t>
      </w:r>
      <w:r w:rsidR="00B7141F" w:rsidRPr="005753F6">
        <w:rPr>
          <w:rFonts w:asciiTheme="minorHAnsi" w:hAnsiTheme="minorHAnsi" w:cstheme="minorHAnsi"/>
        </w:rPr>
        <w:t xml:space="preserve"> </w:t>
      </w:r>
      <w:r w:rsidR="00EB5189">
        <w:rPr>
          <w:rFonts w:asciiTheme="minorHAnsi" w:hAnsiTheme="minorHAnsi" w:cstheme="minorHAnsi"/>
        </w:rPr>
        <w:t xml:space="preserve">function </w:t>
      </w:r>
      <w:r w:rsidR="00B7141F" w:rsidRPr="005753F6">
        <w:rPr>
          <w:rFonts w:asciiTheme="minorHAnsi" w:hAnsiTheme="minorHAnsi" w:cstheme="minorHAnsi"/>
        </w:rPr>
        <w:t xml:space="preserve">will be </w:t>
      </w:r>
      <w:r w:rsidR="00EB5189">
        <w:rPr>
          <w:rFonts w:asciiTheme="minorHAnsi" w:hAnsiTheme="minorHAnsi" w:cstheme="minorHAnsi"/>
        </w:rPr>
        <w:t xml:space="preserve">based in </w:t>
      </w:r>
      <w:r w:rsidRPr="005753F6">
        <w:rPr>
          <w:rFonts w:asciiTheme="minorHAnsi" w:hAnsiTheme="minorHAnsi" w:cstheme="minorHAnsi"/>
        </w:rPr>
        <w:t xml:space="preserve">Cyprus, where TITAN has a long-standing presence and experience. </w:t>
      </w:r>
    </w:p>
    <w:p w:rsidR="00AE0136" w:rsidRPr="005753F6" w:rsidRDefault="00AE0136" w:rsidP="00AE0136">
      <w:pPr>
        <w:pStyle w:val="a6"/>
        <w:numPr>
          <w:ilvl w:val="0"/>
          <w:numId w:val="3"/>
        </w:numPr>
        <w:tabs>
          <w:tab w:val="left" w:pos="709"/>
        </w:tabs>
        <w:spacing w:after="120" w:line="240" w:lineRule="auto"/>
        <w:rPr>
          <w:rFonts w:asciiTheme="minorHAnsi" w:hAnsiTheme="minorHAnsi" w:cstheme="minorHAnsi"/>
          <w:szCs w:val="22"/>
        </w:rPr>
      </w:pPr>
      <w:r w:rsidRPr="005753F6">
        <w:rPr>
          <w:rFonts w:asciiTheme="minorHAnsi" w:hAnsiTheme="minorHAnsi" w:cstheme="minorHAnsi"/>
          <w:szCs w:val="22"/>
          <w:lang w:val="en-US"/>
        </w:rPr>
        <w:t xml:space="preserve">Upon the listing of its shares on Euronext Brussels, </w:t>
      </w:r>
      <w:r w:rsidRPr="005753F6">
        <w:rPr>
          <w:rFonts w:asciiTheme="minorHAnsi" w:hAnsiTheme="minorHAnsi" w:cstheme="minorHAnsi"/>
          <w:szCs w:val="22"/>
        </w:rPr>
        <w:t>TITAN Cement International will adopt the corporate governance code of Belgium</w:t>
      </w:r>
      <w:r w:rsidR="002225CB" w:rsidRPr="005753F6">
        <w:rPr>
          <w:rFonts w:asciiTheme="minorHAnsi" w:hAnsiTheme="minorHAnsi" w:cstheme="minorHAnsi"/>
          <w:szCs w:val="22"/>
          <w:lang w:val="en-US"/>
        </w:rPr>
        <w:t xml:space="preserve"> </w:t>
      </w:r>
      <w:r w:rsidR="00142B8D" w:rsidRPr="005753F6">
        <w:rPr>
          <w:rFonts w:asciiTheme="minorHAnsi" w:hAnsiTheme="minorHAnsi" w:cstheme="minorHAnsi"/>
          <w:szCs w:val="22"/>
          <w:lang w:val="en-US"/>
        </w:rPr>
        <w:t>pursuant to</w:t>
      </w:r>
      <w:r w:rsidR="002225CB" w:rsidRPr="005753F6">
        <w:rPr>
          <w:rFonts w:asciiTheme="minorHAnsi" w:hAnsiTheme="minorHAnsi" w:cstheme="minorHAnsi"/>
          <w:szCs w:val="22"/>
          <w:lang w:val="en-US"/>
        </w:rPr>
        <w:t xml:space="preserve"> Directive 2013/34/</w:t>
      </w:r>
      <w:r w:rsidR="002225CB" w:rsidRPr="005753F6">
        <w:rPr>
          <w:rFonts w:asciiTheme="minorHAnsi" w:hAnsiTheme="minorHAnsi" w:cstheme="minorHAnsi"/>
          <w:szCs w:val="22"/>
          <w:lang w:val="el-GR"/>
        </w:rPr>
        <w:t>Ε</w:t>
      </w:r>
      <w:r w:rsidR="002225CB" w:rsidRPr="005753F6">
        <w:rPr>
          <w:rFonts w:asciiTheme="minorHAnsi" w:hAnsiTheme="minorHAnsi" w:cstheme="minorHAnsi"/>
          <w:szCs w:val="22"/>
          <w:lang w:val="en-US"/>
        </w:rPr>
        <w:t>U</w:t>
      </w:r>
      <w:r w:rsidRPr="005753F6">
        <w:rPr>
          <w:rFonts w:asciiTheme="minorHAnsi" w:hAnsiTheme="minorHAnsi" w:cstheme="minorHAnsi"/>
          <w:szCs w:val="22"/>
        </w:rPr>
        <w:t>.</w:t>
      </w:r>
    </w:p>
    <w:p w:rsidR="00AE0136" w:rsidRPr="005753F6" w:rsidRDefault="00AE0136" w:rsidP="00AE0136">
      <w:pPr>
        <w:pStyle w:val="a6"/>
        <w:numPr>
          <w:ilvl w:val="0"/>
          <w:numId w:val="6"/>
        </w:numPr>
        <w:spacing w:after="120" w:line="240" w:lineRule="auto"/>
        <w:rPr>
          <w:rFonts w:asciiTheme="minorHAnsi" w:hAnsiTheme="minorHAnsi" w:cstheme="minorHAnsi"/>
          <w:b/>
          <w:szCs w:val="22"/>
        </w:rPr>
      </w:pPr>
      <w:r w:rsidRPr="005753F6">
        <w:rPr>
          <w:rFonts w:asciiTheme="minorHAnsi" w:hAnsiTheme="minorHAnsi" w:cstheme="minorHAnsi"/>
          <w:szCs w:val="22"/>
        </w:rPr>
        <w:t>The</w:t>
      </w:r>
      <w:r w:rsidRPr="005753F6">
        <w:rPr>
          <w:rFonts w:asciiTheme="minorHAnsi" w:hAnsiTheme="minorHAnsi" w:cstheme="minorHAnsi"/>
          <w:szCs w:val="22"/>
          <w:lang w:val="en-US"/>
        </w:rPr>
        <w:t xml:space="preserve"> entry into force </w:t>
      </w:r>
      <w:r w:rsidRPr="005753F6">
        <w:rPr>
          <w:rFonts w:asciiTheme="minorHAnsi" w:hAnsiTheme="minorHAnsi" w:cstheme="minorHAnsi"/>
          <w:szCs w:val="22"/>
        </w:rPr>
        <w:t>of the Share Exchange Offer is subject to the following conditions:</w:t>
      </w:r>
    </w:p>
    <w:p w:rsidR="00AE0136" w:rsidRPr="005753F6" w:rsidRDefault="00AE0136" w:rsidP="00AE0136">
      <w:pPr>
        <w:pStyle w:val="a6"/>
        <w:spacing w:after="120" w:line="240" w:lineRule="auto"/>
        <w:ind w:left="1440" w:hanging="720"/>
        <w:rPr>
          <w:rFonts w:asciiTheme="minorHAnsi" w:hAnsiTheme="minorHAnsi" w:cstheme="minorHAnsi"/>
          <w:szCs w:val="22"/>
        </w:rPr>
      </w:pPr>
      <w:r w:rsidRPr="005753F6">
        <w:rPr>
          <w:rFonts w:asciiTheme="minorHAnsi" w:hAnsiTheme="minorHAnsi" w:cstheme="minorHAnsi"/>
          <w:szCs w:val="22"/>
        </w:rPr>
        <w:t>(a)</w:t>
      </w:r>
      <w:r w:rsidRPr="005753F6">
        <w:rPr>
          <w:rFonts w:asciiTheme="minorHAnsi" w:hAnsiTheme="minorHAnsi" w:cstheme="minorHAnsi"/>
          <w:szCs w:val="22"/>
        </w:rPr>
        <w:tab/>
        <w:t>the approval by the Financial Services and Markets Authority (“</w:t>
      </w:r>
      <w:r w:rsidRPr="005753F6">
        <w:rPr>
          <w:rFonts w:asciiTheme="minorHAnsi" w:hAnsiTheme="minorHAnsi" w:cstheme="minorHAnsi"/>
          <w:b/>
          <w:szCs w:val="22"/>
        </w:rPr>
        <w:t>FSMA</w:t>
      </w:r>
      <w:r w:rsidRPr="005753F6">
        <w:rPr>
          <w:rFonts w:asciiTheme="minorHAnsi" w:hAnsiTheme="minorHAnsi" w:cstheme="minorHAnsi"/>
          <w:szCs w:val="22"/>
        </w:rPr>
        <w:t xml:space="preserve">”) of Belgium of the prospectus that TITAN Cement International has prepared </w:t>
      </w:r>
      <w:r w:rsidR="002225CB" w:rsidRPr="005753F6">
        <w:rPr>
          <w:rFonts w:asciiTheme="minorHAnsi" w:hAnsiTheme="minorHAnsi" w:cstheme="minorHAnsi"/>
          <w:szCs w:val="22"/>
        </w:rPr>
        <w:t xml:space="preserve">and filed </w:t>
      </w:r>
      <w:r w:rsidRPr="005753F6">
        <w:rPr>
          <w:rFonts w:asciiTheme="minorHAnsi" w:hAnsiTheme="minorHAnsi" w:cstheme="minorHAnsi"/>
          <w:szCs w:val="22"/>
        </w:rPr>
        <w:t>in connection with the public offering of the Consideration Shares and the listing of all its</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shares on Euronext Brussels</w:t>
      </w:r>
      <w:r w:rsidRPr="005753F6">
        <w:rPr>
          <w:rFonts w:asciiTheme="minorHAnsi" w:hAnsiTheme="minorHAnsi" w:cstheme="minorHAnsi"/>
          <w:szCs w:val="22"/>
          <w:lang w:val="en-US"/>
        </w:rPr>
        <w:t xml:space="preserve"> (the “</w:t>
      </w:r>
      <w:r w:rsidRPr="005753F6">
        <w:rPr>
          <w:rFonts w:asciiTheme="minorHAnsi" w:hAnsiTheme="minorHAnsi" w:cstheme="minorHAnsi"/>
          <w:b/>
          <w:szCs w:val="22"/>
          <w:lang w:val="en-US"/>
        </w:rPr>
        <w:t>Prospectus</w:t>
      </w:r>
      <w:r w:rsidRPr="005753F6">
        <w:rPr>
          <w:rFonts w:asciiTheme="minorHAnsi" w:hAnsiTheme="minorHAnsi" w:cstheme="minorHAnsi"/>
          <w:szCs w:val="22"/>
          <w:lang w:val="en-US"/>
        </w:rPr>
        <w:t>”) and</w:t>
      </w:r>
      <w:r w:rsidRPr="005753F6">
        <w:rPr>
          <w:rFonts w:asciiTheme="minorHAnsi" w:hAnsiTheme="minorHAnsi" w:cstheme="minorHAnsi"/>
          <w:szCs w:val="22"/>
        </w:rPr>
        <w:t xml:space="preserve"> the approved Prospectus having been </w:t>
      </w:r>
      <w:proofErr w:type="spellStart"/>
      <w:r w:rsidRPr="005753F6">
        <w:rPr>
          <w:rFonts w:asciiTheme="minorHAnsi" w:hAnsiTheme="minorHAnsi" w:cstheme="minorHAnsi"/>
          <w:szCs w:val="22"/>
        </w:rPr>
        <w:t>passported</w:t>
      </w:r>
      <w:proofErr w:type="spellEnd"/>
      <w:r w:rsidRPr="005753F6">
        <w:rPr>
          <w:rFonts w:asciiTheme="minorHAnsi" w:hAnsiTheme="minorHAnsi" w:cstheme="minorHAnsi"/>
          <w:szCs w:val="22"/>
        </w:rPr>
        <w:t xml:space="preserve"> </w:t>
      </w:r>
      <w:r w:rsidR="001F00B9" w:rsidRPr="005753F6">
        <w:rPr>
          <w:rFonts w:asciiTheme="minorHAnsi" w:hAnsiTheme="minorHAnsi" w:cstheme="minorHAnsi"/>
          <w:szCs w:val="22"/>
        </w:rPr>
        <w:t xml:space="preserve">and notified to </w:t>
      </w:r>
      <w:r w:rsidR="00EB5189">
        <w:rPr>
          <w:rFonts w:asciiTheme="minorHAnsi" w:hAnsiTheme="minorHAnsi" w:cstheme="minorHAnsi"/>
          <w:szCs w:val="22"/>
        </w:rPr>
        <w:t>the Hellenic Capital Market</w:t>
      </w:r>
      <w:r w:rsidR="0050264E" w:rsidRPr="005753F6">
        <w:rPr>
          <w:rFonts w:asciiTheme="minorHAnsi" w:hAnsiTheme="minorHAnsi" w:cstheme="minorHAnsi"/>
          <w:szCs w:val="22"/>
        </w:rPr>
        <w:t xml:space="preserve"> Commission (“</w:t>
      </w:r>
      <w:r w:rsidR="0050264E" w:rsidRPr="005753F6">
        <w:rPr>
          <w:rFonts w:asciiTheme="minorHAnsi" w:hAnsiTheme="minorHAnsi" w:cstheme="minorHAnsi"/>
          <w:b/>
          <w:szCs w:val="22"/>
        </w:rPr>
        <w:t>HCMC</w:t>
      </w:r>
      <w:r w:rsidR="0050264E" w:rsidRPr="005753F6">
        <w:rPr>
          <w:rFonts w:asciiTheme="minorHAnsi" w:hAnsiTheme="minorHAnsi" w:cstheme="minorHAnsi"/>
          <w:szCs w:val="22"/>
        </w:rPr>
        <w:t>”)</w:t>
      </w:r>
      <w:r w:rsidRPr="005753F6">
        <w:rPr>
          <w:rFonts w:asciiTheme="minorHAnsi" w:hAnsiTheme="minorHAnsi" w:cstheme="minorHAnsi"/>
          <w:szCs w:val="22"/>
        </w:rPr>
        <w:t xml:space="preserve">; and </w:t>
      </w:r>
    </w:p>
    <w:p w:rsidR="00AE0136" w:rsidRPr="005753F6" w:rsidRDefault="00AE0136" w:rsidP="00AE0136">
      <w:pPr>
        <w:pStyle w:val="a6"/>
        <w:spacing w:after="120" w:line="240" w:lineRule="auto"/>
        <w:ind w:left="1440" w:hanging="720"/>
        <w:rPr>
          <w:rFonts w:asciiTheme="minorHAnsi" w:hAnsiTheme="minorHAnsi" w:cstheme="minorHAnsi"/>
          <w:b/>
          <w:szCs w:val="22"/>
        </w:rPr>
      </w:pPr>
      <w:r w:rsidRPr="005753F6">
        <w:rPr>
          <w:rFonts w:asciiTheme="minorHAnsi" w:hAnsiTheme="minorHAnsi" w:cstheme="minorHAnsi"/>
          <w:szCs w:val="22"/>
        </w:rPr>
        <w:t>(b)</w:t>
      </w:r>
      <w:r w:rsidRPr="005753F6">
        <w:rPr>
          <w:rFonts w:asciiTheme="minorHAnsi" w:hAnsiTheme="minorHAnsi" w:cstheme="minorHAnsi"/>
          <w:szCs w:val="22"/>
        </w:rPr>
        <w:tab/>
        <w:t xml:space="preserve">the approval by </w:t>
      </w:r>
      <w:r w:rsidR="00E116C9" w:rsidRPr="005753F6">
        <w:rPr>
          <w:rFonts w:asciiTheme="minorHAnsi" w:hAnsiTheme="minorHAnsi" w:cstheme="minorHAnsi"/>
          <w:szCs w:val="22"/>
        </w:rPr>
        <w:t xml:space="preserve">HCMC </w:t>
      </w:r>
      <w:r w:rsidRPr="005753F6">
        <w:rPr>
          <w:rFonts w:asciiTheme="minorHAnsi" w:hAnsiTheme="minorHAnsi" w:cstheme="minorHAnsi"/>
          <w:szCs w:val="22"/>
        </w:rPr>
        <w:t>of the information circular that TITAN Cement International has prepared in connection with the Share Exchange Offer in accordance with the Law (the “</w:t>
      </w:r>
      <w:r w:rsidRPr="005753F6">
        <w:rPr>
          <w:rFonts w:asciiTheme="minorHAnsi" w:hAnsiTheme="minorHAnsi" w:cstheme="minorHAnsi"/>
          <w:b/>
          <w:szCs w:val="22"/>
        </w:rPr>
        <w:t>Information Circular</w:t>
      </w:r>
      <w:r w:rsidRPr="005753F6">
        <w:rPr>
          <w:rFonts w:asciiTheme="minorHAnsi" w:hAnsiTheme="minorHAnsi" w:cstheme="minorHAnsi"/>
          <w:szCs w:val="22"/>
        </w:rPr>
        <w:t>”).</w:t>
      </w:r>
    </w:p>
    <w:p w:rsidR="00AE0136" w:rsidRPr="005753F6" w:rsidRDefault="00AE0136" w:rsidP="00AE0136">
      <w:pPr>
        <w:pStyle w:val="a7"/>
        <w:numPr>
          <w:ilvl w:val="0"/>
          <w:numId w:val="6"/>
        </w:numPr>
        <w:tabs>
          <w:tab w:val="left" w:pos="720"/>
        </w:tabs>
        <w:spacing w:after="120"/>
        <w:jc w:val="both"/>
        <w:rPr>
          <w:rFonts w:asciiTheme="minorHAnsi" w:hAnsiTheme="minorHAnsi" w:cstheme="minorHAnsi"/>
          <w:bCs/>
        </w:rPr>
      </w:pPr>
      <w:r w:rsidRPr="005753F6">
        <w:rPr>
          <w:rFonts w:asciiTheme="minorHAnsi" w:hAnsiTheme="minorHAnsi" w:cstheme="minorHAnsi"/>
        </w:rPr>
        <w:t xml:space="preserve">Completion of the Share Exchange Offer is subject to Euronext Brussels having approved the listing and admission of all shares of TITAN Cement International to trading on the securities market of Euronext Brussels, upon terms and conditions </w:t>
      </w:r>
      <w:r w:rsidR="00A666D6" w:rsidRPr="005753F6">
        <w:rPr>
          <w:rFonts w:asciiTheme="minorHAnsi" w:hAnsiTheme="minorHAnsi" w:cstheme="minorHAnsi"/>
        </w:rPr>
        <w:t>acceptable to TITAN Cement International</w:t>
      </w:r>
      <w:r w:rsidRPr="005753F6">
        <w:rPr>
          <w:rFonts w:asciiTheme="minorHAnsi" w:hAnsiTheme="minorHAnsi" w:cstheme="minorHAnsi"/>
        </w:rPr>
        <w:t xml:space="preserve"> (the "</w:t>
      </w:r>
      <w:r w:rsidRPr="005753F6">
        <w:rPr>
          <w:rFonts w:asciiTheme="minorHAnsi" w:hAnsiTheme="minorHAnsi" w:cstheme="minorHAnsi"/>
          <w:b/>
        </w:rPr>
        <w:t>Condition</w:t>
      </w:r>
      <w:r w:rsidRPr="005753F6">
        <w:rPr>
          <w:rFonts w:asciiTheme="minorHAnsi" w:hAnsiTheme="minorHAnsi" w:cstheme="minorHAnsi"/>
        </w:rPr>
        <w:t>")</w:t>
      </w:r>
      <w:r w:rsidRPr="005753F6">
        <w:rPr>
          <w:rFonts w:asciiTheme="minorHAnsi" w:hAnsiTheme="minorHAnsi" w:cstheme="minorHAnsi"/>
          <w:bCs/>
        </w:rPr>
        <w:t>.</w:t>
      </w:r>
    </w:p>
    <w:p w:rsidR="00AE0136" w:rsidRPr="005753F6" w:rsidRDefault="00AE0136" w:rsidP="00AE0136">
      <w:pPr>
        <w:pStyle w:val="a7"/>
        <w:numPr>
          <w:ilvl w:val="0"/>
          <w:numId w:val="5"/>
        </w:numPr>
        <w:spacing w:after="120"/>
        <w:jc w:val="both"/>
        <w:rPr>
          <w:rFonts w:asciiTheme="minorHAnsi" w:hAnsiTheme="minorHAnsi" w:cstheme="minorHAnsi"/>
        </w:rPr>
      </w:pPr>
      <w:r w:rsidRPr="005753F6">
        <w:rPr>
          <w:rFonts w:asciiTheme="minorHAnsi" w:hAnsiTheme="minorHAnsi" w:cstheme="minorHAnsi"/>
          <w:bCs/>
        </w:rPr>
        <w:t xml:space="preserve">The effectiveness of the Share Exchange Offer is </w:t>
      </w:r>
      <w:r w:rsidRPr="005753F6">
        <w:rPr>
          <w:rFonts w:asciiTheme="minorHAnsi" w:hAnsiTheme="minorHAnsi" w:cstheme="minorHAnsi"/>
        </w:rPr>
        <w:t xml:space="preserve">subject to the pre-requisite that, as at the end of the acceptance period </w:t>
      </w:r>
      <w:r w:rsidRPr="005753F6">
        <w:rPr>
          <w:rFonts w:asciiTheme="minorHAnsi" w:hAnsiTheme="minorHAnsi" w:cstheme="minorHAnsi"/>
          <w:bCs/>
        </w:rPr>
        <w:t>of the Share Exchange Offer (</w:t>
      </w:r>
      <w:r w:rsidRPr="005753F6">
        <w:rPr>
          <w:rFonts w:asciiTheme="minorHAnsi" w:hAnsiTheme="minorHAnsi" w:cstheme="minorHAnsi"/>
        </w:rPr>
        <w:t>the "</w:t>
      </w:r>
      <w:r w:rsidRPr="005753F6">
        <w:rPr>
          <w:rFonts w:asciiTheme="minorHAnsi" w:hAnsiTheme="minorHAnsi" w:cstheme="minorHAnsi"/>
          <w:b/>
        </w:rPr>
        <w:t>Acceptance Period</w:t>
      </w:r>
      <w:r w:rsidRPr="005753F6">
        <w:rPr>
          <w:rFonts w:asciiTheme="minorHAnsi" w:hAnsiTheme="minorHAnsi" w:cstheme="minorHAnsi"/>
        </w:rPr>
        <w:t xml:space="preserve">"), at least (i) 69,357,212 Ordinary Shares, corresponding to 90% of TITAN’S ordinary share capital and voting rights, and (ii) 6,812,064 Preference Shares, corresponding to 90% of TITAN’s preference share capital will have been lawfully and validly tendered to </w:t>
      </w:r>
      <w:r w:rsidRPr="005753F6">
        <w:rPr>
          <w:rFonts w:asciiTheme="minorHAnsi" w:hAnsiTheme="minorHAnsi" w:cstheme="minorHAnsi"/>
          <w:bCs/>
        </w:rPr>
        <w:t>TITAN Cement International.</w:t>
      </w:r>
    </w:p>
    <w:p w:rsidR="00AE0136" w:rsidRPr="005753F6" w:rsidRDefault="00AE0136" w:rsidP="00AE0136">
      <w:pPr>
        <w:pStyle w:val="a6"/>
        <w:tabs>
          <w:tab w:val="left" w:pos="720"/>
        </w:tabs>
        <w:spacing w:after="120" w:line="240" w:lineRule="auto"/>
        <w:ind w:left="0"/>
        <w:rPr>
          <w:rFonts w:asciiTheme="minorHAnsi" w:hAnsiTheme="minorHAnsi" w:cstheme="minorHAnsi"/>
          <w:b/>
          <w:szCs w:val="22"/>
        </w:rPr>
      </w:pPr>
      <w:r w:rsidRPr="005753F6">
        <w:rPr>
          <w:rFonts w:asciiTheme="minorHAnsi" w:hAnsiTheme="minorHAnsi" w:cstheme="minorHAnsi"/>
          <w:b/>
          <w:szCs w:val="22"/>
        </w:rPr>
        <w:t xml:space="preserve">The Share Exchange Offer </w:t>
      </w:r>
    </w:p>
    <w:p w:rsidR="00AE0136" w:rsidRPr="005753F6" w:rsidRDefault="00AE0136" w:rsidP="00AE0136">
      <w:pPr>
        <w:pStyle w:val="a6"/>
        <w:spacing w:after="120" w:line="240" w:lineRule="auto"/>
        <w:ind w:left="0"/>
        <w:rPr>
          <w:rFonts w:asciiTheme="minorHAnsi" w:hAnsiTheme="minorHAnsi" w:cstheme="minorHAnsi"/>
          <w:szCs w:val="22"/>
          <w:lang w:val="en-US"/>
        </w:rPr>
      </w:pPr>
      <w:r w:rsidRPr="005753F6">
        <w:rPr>
          <w:rFonts w:asciiTheme="minorHAnsi" w:hAnsiTheme="minorHAnsi" w:cstheme="minorHAnsi"/>
          <w:szCs w:val="22"/>
        </w:rPr>
        <w:t>1.</w:t>
      </w:r>
      <w:r w:rsidRPr="005753F6">
        <w:rPr>
          <w:rFonts w:asciiTheme="minorHAnsi" w:hAnsiTheme="minorHAnsi" w:cstheme="minorHAnsi"/>
          <w:szCs w:val="22"/>
        </w:rPr>
        <w:tab/>
        <w:t>In accordance with the Law, TITAN Cement International</w:t>
      </w:r>
      <w:r w:rsidRPr="005753F6">
        <w:rPr>
          <w:rFonts w:asciiTheme="minorHAnsi" w:hAnsiTheme="minorHAnsi" w:cstheme="minorHAnsi"/>
          <w:bCs/>
          <w:szCs w:val="22"/>
        </w:rPr>
        <w:t xml:space="preserve"> , a newly formed </w:t>
      </w:r>
      <w:proofErr w:type="spellStart"/>
      <w:r w:rsidRPr="005753F6">
        <w:rPr>
          <w:rFonts w:asciiTheme="minorHAnsi" w:hAnsiTheme="minorHAnsi" w:cstheme="minorHAnsi"/>
          <w:bCs/>
          <w:i/>
          <w:szCs w:val="22"/>
        </w:rPr>
        <w:t>société</w:t>
      </w:r>
      <w:proofErr w:type="spellEnd"/>
      <w:r w:rsidRPr="005753F6">
        <w:rPr>
          <w:rFonts w:asciiTheme="minorHAnsi" w:hAnsiTheme="minorHAnsi" w:cstheme="minorHAnsi"/>
          <w:bCs/>
          <w:i/>
          <w:szCs w:val="22"/>
        </w:rPr>
        <w:t xml:space="preserve"> </w:t>
      </w:r>
      <w:proofErr w:type="spellStart"/>
      <w:r w:rsidRPr="005753F6">
        <w:rPr>
          <w:rFonts w:asciiTheme="minorHAnsi" w:hAnsiTheme="minorHAnsi" w:cstheme="minorHAnsi"/>
          <w:bCs/>
          <w:i/>
          <w:szCs w:val="22"/>
        </w:rPr>
        <w:t>anonyme</w:t>
      </w:r>
      <w:proofErr w:type="spellEnd"/>
      <w:r w:rsidRPr="005753F6">
        <w:rPr>
          <w:rFonts w:asciiTheme="minorHAnsi" w:hAnsiTheme="minorHAnsi" w:cstheme="minorHAnsi"/>
          <w:bCs/>
          <w:szCs w:val="22"/>
        </w:rPr>
        <w:t xml:space="preserve"> incorporated under the laws of </w:t>
      </w:r>
      <w:r w:rsidRPr="005753F6">
        <w:rPr>
          <w:rFonts w:asciiTheme="minorHAnsi" w:hAnsiTheme="minorHAnsi" w:cstheme="minorHAnsi"/>
          <w:bCs/>
          <w:szCs w:val="22"/>
          <w:lang w:val="en-US"/>
        </w:rPr>
        <w:t>Belgium</w:t>
      </w:r>
      <w:r w:rsidRPr="005753F6">
        <w:rPr>
          <w:rFonts w:asciiTheme="minorHAnsi" w:hAnsiTheme="minorHAnsi" w:cstheme="minorHAnsi"/>
          <w:bCs/>
          <w:szCs w:val="22"/>
        </w:rPr>
        <w:t xml:space="preserve">, with corporate registration number </w:t>
      </w:r>
      <w:r w:rsidRPr="005753F6">
        <w:rPr>
          <w:rFonts w:asciiTheme="minorHAnsi" w:hAnsiTheme="minorHAnsi" w:cstheme="minorHAnsi"/>
          <w:bCs/>
          <w:szCs w:val="22"/>
          <w:lang w:val="en-US"/>
        </w:rPr>
        <w:t>0699.936.657</w:t>
      </w:r>
      <w:r w:rsidRPr="005753F6">
        <w:rPr>
          <w:rFonts w:asciiTheme="minorHAnsi" w:hAnsiTheme="minorHAnsi" w:cstheme="minorHAnsi"/>
          <w:bCs/>
          <w:szCs w:val="22"/>
        </w:rPr>
        <w:t xml:space="preserve"> and registered </w:t>
      </w:r>
      <w:r w:rsidRPr="005753F6">
        <w:rPr>
          <w:rFonts w:asciiTheme="minorHAnsi" w:hAnsiTheme="minorHAnsi" w:cstheme="minorHAnsi"/>
          <w:bCs/>
          <w:szCs w:val="22"/>
          <w:lang w:val="en-US"/>
        </w:rPr>
        <w:t xml:space="preserve">address at Rue </w:t>
      </w:r>
      <w:proofErr w:type="spellStart"/>
      <w:r w:rsidRPr="005753F6">
        <w:rPr>
          <w:rFonts w:asciiTheme="minorHAnsi" w:hAnsiTheme="minorHAnsi" w:cstheme="minorHAnsi"/>
          <w:bCs/>
          <w:szCs w:val="22"/>
          <w:lang w:val="en-US"/>
        </w:rPr>
        <w:t>Mareyde</w:t>
      </w:r>
      <w:proofErr w:type="spellEnd"/>
      <w:r w:rsidRPr="005753F6">
        <w:rPr>
          <w:rFonts w:asciiTheme="minorHAnsi" w:hAnsiTheme="minorHAnsi" w:cstheme="minorHAnsi"/>
          <w:bCs/>
          <w:szCs w:val="22"/>
          <w:lang w:val="en-US"/>
        </w:rPr>
        <w:t xml:space="preserve"> 43/6, 1150 Brussels, Belgium</w:t>
      </w:r>
      <w:r w:rsidRPr="005753F6">
        <w:rPr>
          <w:rFonts w:asciiTheme="minorHAnsi" w:hAnsiTheme="minorHAnsi" w:cstheme="minorHAnsi"/>
          <w:szCs w:val="22"/>
        </w:rPr>
        <w:t>, announces the submission of the Share Exchange Offer to acquire all of the TITAN Shares, which TITAN Cement International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does not hold,</w:t>
      </w:r>
      <w:r w:rsidR="00B40A20" w:rsidRPr="005753F6">
        <w:rPr>
          <w:rFonts w:asciiTheme="minorHAnsi" w:hAnsiTheme="minorHAnsi" w:cstheme="minorHAnsi"/>
          <w:szCs w:val="22"/>
        </w:rPr>
        <w:t xml:space="preserve"> </w:t>
      </w:r>
      <w:r w:rsidRPr="005753F6">
        <w:rPr>
          <w:rFonts w:asciiTheme="minorHAnsi" w:hAnsiTheme="minorHAnsi" w:cstheme="minorHAnsi"/>
          <w:szCs w:val="22"/>
        </w:rPr>
        <w:t>directly or indirectly, as at</w:t>
      </w:r>
      <w:r w:rsidRPr="005753F6">
        <w:rPr>
          <w:rFonts w:asciiTheme="minorHAnsi" w:hAnsiTheme="minorHAnsi" w:cstheme="minorHAnsi"/>
          <w:szCs w:val="22"/>
          <w:lang w:val="en-US"/>
        </w:rPr>
        <w:t xml:space="preserve"> </w:t>
      </w:r>
      <w:r w:rsidRPr="005753F6">
        <w:rPr>
          <w:rFonts w:asciiTheme="minorHAnsi" w:hAnsiTheme="minorHAnsi" w:cstheme="minorHAnsi"/>
          <w:szCs w:val="22"/>
        </w:rPr>
        <w:t>18 October 2018 (the “</w:t>
      </w:r>
      <w:r w:rsidRPr="005753F6">
        <w:rPr>
          <w:rFonts w:asciiTheme="minorHAnsi" w:hAnsiTheme="minorHAnsi" w:cstheme="minorHAnsi"/>
          <w:b/>
          <w:szCs w:val="22"/>
        </w:rPr>
        <w:t>Date of the Share Exchange Offer</w:t>
      </w:r>
      <w:r w:rsidRPr="005753F6">
        <w:rPr>
          <w:rFonts w:asciiTheme="minorHAnsi" w:hAnsiTheme="minorHAnsi" w:cstheme="minorHAnsi"/>
          <w:szCs w:val="22"/>
        </w:rPr>
        <w:t>”), namely</w:t>
      </w:r>
      <w:r w:rsidRPr="005753F6">
        <w:rPr>
          <w:rFonts w:asciiTheme="minorHAnsi" w:hAnsiTheme="minorHAnsi" w:cstheme="minorHAnsi"/>
          <w:szCs w:val="22"/>
          <w:lang w:val="en-US"/>
        </w:rPr>
        <w:t xml:space="preserve"> (i) </w:t>
      </w:r>
      <w:r w:rsidRPr="005753F6">
        <w:rPr>
          <w:rFonts w:asciiTheme="minorHAnsi" w:hAnsiTheme="minorHAnsi" w:cstheme="minorHAnsi"/>
          <w:szCs w:val="22"/>
        </w:rPr>
        <w:t xml:space="preserve">57,490,607Ordinary Shares representing approximately 74.60% of TITAN’s ordinary share capital </w:t>
      </w:r>
      <w:r w:rsidRPr="005753F6">
        <w:rPr>
          <w:rFonts w:asciiTheme="minorHAnsi" w:hAnsiTheme="minorHAnsi" w:cstheme="minorHAnsi"/>
          <w:szCs w:val="22"/>
        </w:rPr>
        <w:lastRenderedPageBreak/>
        <w:t>and voting rights and (ii) 7,541,344 Preference Shares, representing approximately 99.64% of TITAN’s preference share capital as at</w:t>
      </w:r>
      <w:r w:rsidRPr="005753F6">
        <w:rPr>
          <w:rFonts w:asciiTheme="minorHAnsi" w:hAnsiTheme="minorHAnsi" w:cstheme="minorHAnsi"/>
          <w:szCs w:val="22"/>
          <w:lang w:val="en-US"/>
        </w:rPr>
        <w:t xml:space="preserve"> that date. </w:t>
      </w:r>
    </w:p>
    <w:p w:rsidR="00AE0136" w:rsidRPr="005753F6" w:rsidRDefault="00AE0136" w:rsidP="00AE0136">
      <w:pPr>
        <w:pStyle w:val="a6"/>
        <w:spacing w:after="120" w:line="240" w:lineRule="auto"/>
        <w:ind w:left="0"/>
        <w:rPr>
          <w:rFonts w:asciiTheme="minorHAnsi" w:hAnsiTheme="minorHAnsi" w:cstheme="minorHAnsi"/>
          <w:szCs w:val="22"/>
          <w:lang w:val="en-US"/>
        </w:rPr>
      </w:pPr>
      <w:r w:rsidRPr="005753F6">
        <w:rPr>
          <w:rFonts w:asciiTheme="minorHAnsi" w:hAnsiTheme="minorHAnsi" w:cstheme="minorHAnsi"/>
          <w:szCs w:val="22"/>
          <w:lang w:val="en-US"/>
        </w:rPr>
        <w:t>TITAN is</w:t>
      </w:r>
      <w:r w:rsidRPr="005753F6">
        <w:rPr>
          <w:rFonts w:asciiTheme="minorHAnsi" w:hAnsiTheme="minorHAnsi" w:cstheme="minorHAnsi"/>
          <w:szCs w:val="22"/>
        </w:rPr>
        <w:t xml:space="preserve"> a Greek </w:t>
      </w:r>
      <w:proofErr w:type="spellStart"/>
      <w:r w:rsidRPr="005753F6">
        <w:rPr>
          <w:rFonts w:asciiTheme="minorHAnsi" w:hAnsiTheme="minorHAnsi" w:cstheme="minorHAnsi"/>
          <w:i/>
          <w:szCs w:val="22"/>
        </w:rPr>
        <w:t>société</w:t>
      </w:r>
      <w:proofErr w:type="spellEnd"/>
      <w:r w:rsidRPr="005753F6">
        <w:rPr>
          <w:rFonts w:asciiTheme="minorHAnsi" w:hAnsiTheme="minorHAnsi" w:cstheme="minorHAnsi"/>
          <w:i/>
          <w:szCs w:val="22"/>
        </w:rPr>
        <w:t xml:space="preserve"> </w:t>
      </w:r>
      <w:proofErr w:type="spellStart"/>
      <w:r w:rsidRPr="005753F6">
        <w:rPr>
          <w:rFonts w:asciiTheme="minorHAnsi" w:hAnsiTheme="minorHAnsi" w:cstheme="minorHAnsi"/>
          <w:i/>
          <w:szCs w:val="22"/>
        </w:rPr>
        <w:t>anonyme</w:t>
      </w:r>
      <w:proofErr w:type="spellEnd"/>
      <w:r w:rsidRPr="005753F6">
        <w:rPr>
          <w:rFonts w:asciiTheme="minorHAnsi" w:hAnsiTheme="minorHAnsi" w:cstheme="minorHAnsi"/>
          <w:szCs w:val="22"/>
        </w:rPr>
        <w:t xml:space="preserve"> </w:t>
      </w:r>
      <w:r w:rsidRPr="005753F6">
        <w:rPr>
          <w:rFonts w:asciiTheme="minorHAnsi" w:hAnsiTheme="minorHAnsi" w:cstheme="minorHAnsi"/>
          <w:szCs w:val="22"/>
          <w:lang w:val="en-US"/>
        </w:rPr>
        <w:t xml:space="preserve">registered with the General Commercial Registry with registration number 224301000 and registered seat at 22A </w:t>
      </w:r>
      <w:proofErr w:type="spellStart"/>
      <w:r w:rsidRPr="005753F6">
        <w:rPr>
          <w:rFonts w:asciiTheme="minorHAnsi" w:hAnsiTheme="minorHAnsi" w:cstheme="minorHAnsi"/>
          <w:szCs w:val="22"/>
          <w:lang w:val="en-US"/>
        </w:rPr>
        <w:t>Halkidos</w:t>
      </w:r>
      <w:proofErr w:type="spellEnd"/>
      <w:r w:rsidRPr="005753F6">
        <w:rPr>
          <w:rFonts w:asciiTheme="minorHAnsi" w:hAnsiTheme="minorHAnsi" w:cstheme="minorHAnsi"/>
          <w:szCs w:val="22"/>
          <w:lang w:val="en-US"/>
        </w:rPr>
        <w:t xml:space="preserve"> Street, 111 43 Athens. As at the Date of the Share Exchange Offer, TITAN’s paid-up share capital amounts to €291,982,221.60 and is divided into 77,063,568 Ordinary Shares and 7,568,960 Preference Shares.</w:t>
      </w:r>
      <w:r w:rsidRPr="005753F6">
        <w:rPr>
          <w:rFonts w:asciiTheme="minorHAnsi" w:hAnsiTheme="minorHAnsi" w:cstheme="minorHAnsi"/>
          <w:szCs w:val="22"/>
        </w:rPr>
        <w:t xml:space="preserve"> The Ordinary Shares and the Preference Shares are listed and traded on the main market of the ATHEX under </w:t>
      </w:r>
      <w:r w:rsidRPr="005753F6">
        <w:rPr>
          <w:rFonts w:asciiTheme="minorHAnsi" w:hAnsiTheme="minorHAnsi" w:cstheme="minorHAnsi"/>
          <w:szCs w:val="22"/>
          <w:lang w:val="en-US"/>
        </w:rPr>
        <w:t>the reference symbols “TITK” and “TITP”, respectively</w:t>
      </w:r>
      <w:r w:rsidRPr="005753F6">
        <w:rPr>
          <w:rFonts w:asciiTheme="minorHAnsi" w:hAnsiTheme="minorHAnsi" w:cstheme="minorHAnsi"/>
          <w:szCs w:val="22"/>
        </w:rPr>
        <w:t>.</w:t>
      </w:r>
    </w:p>
    <w:p w:rsidR="00AE0136" w:rsidRPr="005753F6" w:rsidRDefault="00AE0136" w:rsidP="00AE0136">
      <w:pPr>
        <w:pStyle w:val="a6"/>
        <w:spacing w:after="120" w:line="240" w:lineRule="auto"/>
        <w:ind w:left="0"/>
        <w:rPr>
          <w:rFonts w:asciiTheme="minorHAnsi" w:hAnsiTheme="minorHAnsi" w:cstheme="minorHAnsi"/>
          <w:szCs w:val="22"/>
          <w:lang w:val="en-US"/>
        </w:rPr>
      </w:pPr>
      <w:r w:rsidRPr="005753F6">
        <w:rPr>
          <w:rFonts w:asciiTheme="minorHAnsi" w:hAnsiTheme="minorHAnsi" w:cstheme="minorHAnsi"/>
          <w:szCs w:val="22"/>
        </w:rPr>
        <w:t>2.</w:t>
      </w:r>
      <w:r w:rsidRPr="005753F6">
        <w:rPr>
          <w:rFonts w:asciiTheme="minorHAnsi" w:hAnsiTheme="minorHAnsi" w:cstheme="minorHAnsi"/>
          <w:szCs w:val="22"/>
        </w:rPr>
        <w:tab/>
        <w:t>The purpose of the Share Exchange Offer is not to acquire control of TITAN but to facilitate the listing of TITAN Group on Euronext Brussels,</w:t>
      </w:r>
      <w:r w:rsidRPr="005753F6" w:rsidDel="0008417F">
        <w:rPr>
          <w:rFonts w:asciiTheme="minorHAnsi" w:hAnsiTheme="minorHAnsi" w:cstheme="minorHAnsi"/>
          <w:szCs w:val="22"/>
        </w:rPr>
        <w:t xml:space="preserve"> </w:t>
      </w:r>
      <w:r w:rsidRPr="005753F6">
        <w:rPr>
          <w:rFonts w:asciiTheme="minorHAnsi" w:hAnsiTheme="minorHAnsi" w:cstheme="minorHAnsi"/>
          <w:szCs w:val="22"/>
        </w:rPr>
        <w:t>through the primary listing and admission to trading of all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shares of TITAN Cement International on the securities market of Euronext Brussels, one of the largest European stock exchanges</w:t>
      </w:r>
      <w:r w:rsidR="00DD20CF" w:rsidRPr="005753F6">
        <w:rPr>
          <w:rFonts w:asciiTheme="minorHAnsi" w:hAnsiTheme="minorHAnsi" w:cstheme="minorHAnsi"/>
          <w:szCs w:val="22"/>
        </w:rPr>
        <w:t xml:space="preserve">. </w:t>
      </w:r>
      <w:r w:rsidR="005753F6">
        <w:rPr>
          <w:rFonts w:asciiTheme="minorHAnsi" w:hAnsiTheme="minorHAnsi" w:cstheme="minorHAnsi"/>
          <w:szCs w:val="22"/>
        </w:rPr>
        <w:t xml:space="preserve">Pursuant to </w:t>
      </w:r>
      <w:r w:rsidR="005753F6" w:rsidRPr="005753F6">
        <w:rPr>
          <w:rFonts w:asciiTheme="minorHAnsi" w:hAnsiTheme="minorHAnsi" w:cstheme="minorHAnsi"/>
          <w:szCs w:val="22"/>
        </w:rPr>
        <w:t>the Share Exchange Offer</w:t>
      </w:r>
      <w:r w:rsidRPr="005753F6">
        <w:rPr>
          <w:rFonts w:asciiTheme="minorHAnsi" w:hAnsiTheme="minorHAnsi" w:cstheme="minorHAnsi"/>
          <w:szCs w:val="22"/>
        </w:rPr>
        <w:t xml:space="preserve"> TITAN Cement International </w:t>
      </w:r>
      <w:r w:rsidR="005753F6">
        <w:rPr>
          <w:rFonts w:asciiTheme="minorHAnsi" w:hAnsiTheme="minorHAnsi" w:cstheme="minorHAnsi"/>
          <w:szCs w:val="22"/>
        </w:rPr>
        <w:t>seeks to</w:t>
      </w:r>
      <w:r w:rsidR="00DD20CF" w:rsidRPr="005753F6">
        <w:rPr>
          <w:rFonts w:asciiTheme="minorHAnsi" w:hAnsiTheme="minorHAnsi" w:cstheme="minorHAnsi"/>
          <w:szCs w:val="22"/>
        </w:rPr>
        <w:t xml:space="preserve"> become</w:t>
      </w:r>
      <w:r w:rsidRPr="005753F6">
        <w:rPr>
          <w:rFonts w:asciiTheme="minorHAnsi" w:hAnsiTheme="minorHAnsi" w:cstheme="minorHAnsi"/>
          <w:szCs w:val="22"/>
        </w:rPr>
        <w:t xml:space="preserve"> the direct parent company of TITAN and the ultimate parent company of TITAN Group with a shareholding structure reflecting the current shareholding structure of TITAN. Titan Cement International will apply for the primary listing and admission to trading of all its shares, including the Consideration Shares, on Euronext Brussels, one of the largest European stock exchanges, </w:t>
      </w:r>
      <w:r w:rsidR="00DD20CF" w:rsidRPr="005753F6">
        <w:rPr>
          <w:rFonts w:asciiTheme="minorHAnsi" w:hAnsiTheme="minorHAnsi" w:cstheme="minorHAnsi"/>
          <w:szCs w:val="22"/>
        </w:rPr>
        <w:t>as well as</w:t>
      </w:r>
      <w:r w:rsidRPr="005753F6">
        <w:rPr>
          <w:rFonts w:asciiTheme="minorHAnsi" w:hAnsiTheme="minorHAnsi" w:cstheme="minorHAnsi"/>
          <w:szCs w:val="22"/>
        </w:rPr>
        <w:t xml:space="preserve"> for the secondary listing and admission to trading of such shares on the ATHEX and Euronext Paris, in each case subject to necessary approvals.</w:t>
      </w:r>
      <w:r w:rsidRPr="005753F6">
        <w:rPr>
          <w:rFonts w:asciiTheme="minorHAnsi" w:hAnsiTheme="minorHAnsi" w:cstheme="minorHAnsi"/>
          <w:szCs w:val="22"/>
          <w:lang w:val="en-US"/>
        </w:rPr>
        <w:t xml:space="preserve"> Upon their listing and admission to trading on Euronext Brussels, transactions in</w:t>
      </w:r>
      <w:r w:rsidRPr="005753F6">
        <w:rPr>
          <w:rFonts w:asciiTheme="minorHAnsi" w:hAnsiTheme="minorHAnsi" w:cstheme="minorHAnsi"/>
          <w:bCs/>
          <w:szCs w:val="22"/>
          <w:lang w:val="en-US"/>
        </w:rPr>
        <w:t xml:space="preserve"> </w:t>
      </w:r>
      <w:r w:rsidRPr="005753F6">
        <w:rPr>
          <w:rFonts w:asciiTheme="minorHAnsi" w:hAnsiTheme="minorHAnsi" w:cstheme="minorHAnsi"/>
          <w:szCs w:val="22"/>
          <w:lang w:val="en-US"/>
        </w:rPr>
        <w:t xml:space="preserve">shares of TITAN </w:t>
      </w:r>
      <w:r w:rsidRPr="005753F6">
        <w:rPr>
          <w:rFonts w:asciiTheme="minorHAnsi" w:hAnsiTheme="minorHAnsi" w:cstheme="minorHAnsi"/>
          <w:szCs w:val="22"/>
        </w:rPr>
        <w:t xml:space="preserve">Cement </w:t>
      </w:r>
      <w:r w:rsidRPr="005753F6">
        <w:rPr>
          <w:rFonts w:asciiTheme="minorHAnsi" w:hAnsiTheme="minorHAnsi" w:cstheme="minorHAnsi"/>
          <w:szCs w:val="22"/>
          <w:lang w:val="en-US"/>
        </w:rPr>
        <w:t xml:space="preserve">International executed on Euronext Brussels will be cleared and settled through </w:t>
      </w:r>
      <w:proofErr w:type="spellStart"/>
      <w:r w:rsidRPr="005753F6">
        <w:rPr>
          <w:rFonts w:asciiTheme="minorHAnsi" w:hAnsiTheme="minorHAnsi" w:cstheme="minorHAnsi"/>
          <w:szCs w:val="22"/>
          <w:lang w:val="en-US"/>
        </w:rPr>
        <w:t>Euroclear</w:t>
      </w:r>
      <w:proofErr w:type="spellEnd"/>
      <w:r w:rsidRPr="005753F6">
        <w:rPr>
          <w:rFonts w:asciiTheme="minorHAnsi" w:hAnsiTheme="minorHAnsi" w:cstheme="minorHAnsi"/>
          <w:szCs w:val="22"/>
          <w:lang w:val="en-US"/>
        </w:rPr>
        <w:t xml:space="preserve"> Belgium.</w:t>
      </w:r>
    </w:p>
    <w:p w:rsidR="00AE0136" w:rsidRPr="005753F6" w:rsidRDefault="00AE0136" w:rsidP="00AE0136">
      <w:pPr>
        <w:pStyle w:val="a6"/>
        <w:spacing w:after="120" w:line="240" w:lineRule="auto"/>
        <w:ind w:left="0"/>
        <w:rPr>
          <w:rFonts w:asciiTheme="minorHAnsi" w:hAnsiTheme="minorHAnsi" w:cstheme="minorHAnsi"/>
          <w:szCs w:val="22"/>
          <w:lang w:val="en-US"/>
        </w:rPr>
      </w:pPr>
      <w:r w:rsidRPr="005753F6">
        <w:rPr>
          <w:rFonts w:asciiTheme="minorHAnsi" w:hAnsiTheme="minorHAnsi" w:cstheme="minorHAnsi"/>
          <w:szCs w:val="22"/>
        </w:rPr>
        <w:t>3.</w:t>
      </w:r>
      <w:r w:rsidRPr="005753F6">
        <w:rPr>
          <w:rFonts w:asciiTheme="minorHAnsi" w:hAnsiTheme="minorHAnsi" w:cstheme="minorHAnsi"/>
          <w:szCs w:val="22"/>
        </w:rPr>
        <w:tab/>
      </w:r>
      <w:r w:rsidRPr="005753F6">
        <w:rPr>
          <w:rFonts w:asciiTheme="minorHAnsi" w:hAnsiTheme="minorHAnsi" w:cstheme="minorHAnsi"/>
          <w:szCs w:val="22"/>
          <w:lang w:val="en-US"/>
        </w:rPr>
        <w:t xml:space="preserve">The </w:t>
      </w:r>
      <w:r w:rsidR="005A1C77" w:rsidRPr="005753F6">
        <w:rPr>
          <w:rFonts w:asciiTheme="minorHAnsi" w:hAnsiTheme="minorHAnsi" w:cstheme="minorHAnsi"/>
          <w:szCs w:val="22"/>
          <w:lang w:val="en-US"/>
        </w:rPr>
        <w:t xml:space="preserve">following </w:t>
      </w:r>
      <w:r w:rsidRPr="005753F6">
        <w:rPr>
          <w:rFonts w:asciiTheme="minorHAnsi" w:hAnsiTheme="minorHAnsi" w:cstheme="minorHAnsi"/>
          <w:szCs w:val="22"/>
          <w:lang w:val="en-US"/>
        </w:rPr>
        <w:t>current shareholders of TITAN</w:t>
      </w:r>
      <w:r w:rsidR="00C4745F" w:rsidRPr="005753F6">
        <w:rPr>
          <w:rFonts w:asciiTheme="minorHAnsi" w:hAnsiTheme="minorHAnsi" w:cstheme="minorHAnsi"/>
          <w:szCs w:val="22"/>
          <w:lang w:val="en-US"/>
        </w:rPr>
        <w:t>, namely</w:t>
      </w:r>
      <w:r w:rsidRPr="005753F6">
        <w:rPr>
          <w:rFonts w:asciiTheme="minorHAnsi" w:hAnsiTheme="minorHAnsi" w:cstheme="minorHAnsi"/>
          <w:bCs/>
          <w:szCs w:val="22"/>
          <w:lang w:val="en-US"/>
        </w:rPr>
        <w:t xml:space="preserve"> </w:t>
      </w:r>
      <w:r w:rsidRPr="005753F6">
        <w:rPr>
          <w:rFonts w:asciiTheme="minorHAnsi" w:hAnsiTheme="minorHAnsi" w:cstheme="minorHAnsi"/>
          <w:szCs w:val="22"/>
          <w:lang w:val="en-US"/>
        </w:rPr>
        <w:t xml:space="preserve">Andreas </w:t>
      </w:r>
      <w:proofErr w:type="spellStart"/>
      <w:r w:rsidRPr="005753F6">
        <w:rPr>
          <w:rFonts w:asciiTheme="minorHAnsi" w:hAnsiTheme="minorHAnsi" w:cstheme="minorHAnsi"/>
          <w:szCs w:val="22"/>
          <w:lang w:val="en-US"/>
        </w:rPr>
        <w:t>Canellopoulos</w:t>
      </w:r>
      <w:proofErr w:type="spellEnd"/>
      <w:r w:rsidRPr="005753F6">
        <w:rPr>
          <w:rFonts w:asciiTheme="minorHAnsi" w:hAnsiTheme="minorHAnsi" w:cstheme="minorHAnsi"/>
          <w:szCs w:val="22"/>
          <w:lang w:val="en-US"/>
        </w:rPr>
        <w:t xml:space="preserve">, Leonidas </w:t>
      </w:r>
      <w:proofErr w:type="spellStart"/>
      <w:r w:rsidRPr="005753F6">
        <w:rPr>
          <w:rFonts w:asciiTheme="minorHAnsi" w:hAnsiTheme="minorHAnsi" w:cstheme="minorHAnsi"/>
          <w:szCs w:val="22"/>
          <w:lang w:val="en-US"/>
        </w:rPr>
        <w:t>Kanellopoulos</w:t>
      </w:r>
      <w:proofErr w:type="spellEnd"/>
      <w:r w:rsidRPr="005753F6">
        <w:rPr>
          <w:rFonts w:asciiTheme="minorHAnsi" w:hAnsiTheme="minorHAnsi" w:cstheme="minorHAnsi"/>
          <w:szCs w:val="22"/>
          <w:lang w:val="en-US"/>
        </w:rPr>
        <w:t xml:space="preserve">, </w:t>
      </w:r>
      <w:proofErr w:type="spellStart"/>
      <w:r w:rsidRPr="005753F6">
        <w:rPr>
          <w:rFonts w:asciiTheme="minorHAnsi" w:hAnsiTheme="minorHAnsi" w:cstheme="minorHAnsi"/>
          <w:szCs w:val="22"/>
          <w:lang w:val="en-US"/>
        </w:rPr>
        <w:t>Nellos</w:t>
      </w:r>
      <w:proofErr w:type="spellEnd"/>
      <w:r w:rsidRPr="005753F6">
        <w:rPr>
          <w:rFonts w:asciiTheme="minorHAnsi" w:hAnsiTheme="minorHAnsi" w:cstheme="minorHAnsi"/>
          <w:szCs w:val="22"/>
          <w:lang w:val="en-US"/>
        </w:rPr>
        <w:t xml:space="preserve"> - Panagiotis </w:t>
      </w:r>
      <w:proofErr w:type="spellStart"/>
      <w:r w:rsidRPr="005753F6">
        <w:rPr>
          <w:rFonts w:asciiTheme="minorHAnsi" w:hAnsiTheme="minorHAnsi" w:cstheme="minorHAnsi"/>
          <w:szCs w:val="22"/>
          <w:lang w:val="en-US"/>
        </w:rPr>
        <w:t>Canellopoulos</w:t>
      </w:r>
      <w:proofErr w:type="spellEnd"/>
      <w:r w:rsidRPr="005753F6">
        <w:rPr>
          <w:rFonts w:asciiTheme="minorHAnsi" w:hAnsiTheme="minorHAnsi" w:cstheme="minorHAnsi"/>
          <w:szCs w:val="22"/>
          <w:lang w:val="en-US"/>
        </w:rPr>
        <w:t xml:space="preserve">, </w:t>
      </w:r>
      <w:proofErr w:type="spellStart"/>
      <w:r w:rsidRPr="005753F6">
        <w:rPr>
          <w:rFonts w:asciiTheme="minorHAnsi" w:hAnsiTheme="minorHAnsi" w:cstheme="minorHAnsi"/>
          <w:szCs w:val="22"/>
          <w:lang w:val="en-US"/>
        </w:rPr>
        <w:t>Takis</w:t>
      </w:r>
      <w:proofErr w:type="spellEnd"/>
      <w:r w:rsidRPr="005753F6">
        <w:rPr>
          <w:rFonts w:asciiTheme="minorHAnsi" w:hAnsiTheme="minorHAnsi" w:cstheme="minorHAnsi"/>
          <w:szCs w:val="22"/>
          <w:lang w:val="en-US"/>
        </w:rPr>
        <w:t xml:space="preserve"> - Panagiotis </w:t>
      </w:r>
      <w:proofErr w:type="spellStart"/>
      <w:r w:rsidRPr="005753F6">
        <w:rPr>
          <w:rFonts w:asciiTheme="minorHAnsi" w:hAnsiTheme="minorHAnsi" w:cstheme="minorHAnsi"/>
          <w:szCs w:val="22"/>
          <w:lang w:val="en-US"/>
        </w:rPr>
        <w:t>Canellopoulos</w:t>
      </w:r>
      <w:proofErr w:type="spellEnd"/>
      <w:r w:rsidRPr="005753F6">
        <w:rPr>
          <w:rFonts w:asciiTheme="minorHAnsi" w:hAnsiTheme="minorHAnsi" w:cstheme="minorHAnsi"/>
          <w:szCs w:val="22"/>
          <w:lang w:val="en-US"/>
        </w:rPr>
        <w:t xml:space="preserve">, </w:t>
      </w:r>
      <w:proofErr w:type="spellStart"/>
      <w:r w:rsidRPr="005753F6">
        <w:rPr>
          <w:rFonts w:asciiTheme="minorHAnsi" w:hAnsiTheme="minorHAnsi" w:cstheme="minorHAnsi"/>
          <w:szCs w:val="22"/>
          <w:lang w:val="en-US"/>
        </w:rPr>
        <w:t>Pavlos</w:t>
      </w:r>
      <w:proofErr w:type="spellEnd"/>
      <w:r w:rsidRPr="005753F6">
        <w:rPr>
          <w:rFonts w:asciiTheme="minorHAnsi" w:hAnsiTheme="minorHAnsi" w:cstheme="minorHAnsi"/>
          <w:szCs w:val="22"/>
          <w:lang w:val="en-US"/>
        </w:rPr>
        <w:t xml:space="preserve"> </w:t>
      </w:r>
      <w:proofErr w:type="spellStart"/>
      <w:r w:rsidRPr="005753F6">
        <w:rPr>
          <w:rFonts w:asciiTheme="minorHAnsi" w:hAnsiTheme="minorHAnsi" w:cstheme="minorHAnsi"/>
          <w:szCs w:val="22"/>
          <w:lang w:val="en-US"/>
        </w:rPr>
        <w:t>Kanellopoulos</w:t>
      </w:r>
      <w:proofErr w:type="spellEnd"/>
      <w:r w:rsidRPr="005753F6">
        <w:rPr>
          <w:rFonts w:asciiTheme="minorHAnsi" w:hAnsiTheme="minorHAnsi" w:cstheme="minorHAnsi"/>
          <w:szCs w:val="22"/>
          <w:lang w:val="en-US"/>
        </w:rPr>
        <w:t xml:space="preserve">, Dimitris </w:t>
      </w:r>
      <w:proofErr w:type="spellStart"/>
      <w:r w:rsidRPr="005753F6">
        <w:rPr>
          <w:rFonts w:asciiTheme="minorHAnsi" w:hAnsiTheme="minorHAnsi" w:cstheme="minorHAnsi"/>
          <w:szCs w:val="22"/>
          <w:lang w:val="en-US"/>
        </w:rPr>
        <w:t>Papalexopoulos</w:t>
      </w:r>
      <w:proofErr w:type="spellEnd"/>
      <w:r w:rsidRPr="005753F6">
        <w:rPr>
          <w:rFonts w:asciiTheme="minorHAnsi" w:hAnsiTheme="minorHAnsi" w:cstheme="minorHAnsi"/>
          <w:szCs w:val="22"/>
          <w:lang w:val="en-US"/>
        </w:rPr>
        <w:t xml:space="preserve">, Alexandra </w:t>
      </w:r>
      <w:proofErr w:type="spellStart"/>
      <w:r w:rsidRPr="005753F6">
        <w:rPr>
          <w:rFonts w:asciiTheme="minorHAnsi" w:hAnsiTheme="minorHAnsi" w:cstheme="minorHAnsi"/>
          <w:szCs w:val="22"/>
          <w:lang w:val="en-US"/>
        </w:rPr>
        <w:t>Papalexopoulou</w:t>
      </w:r>
      <w:proofErr w:type="spellEnd"/>
      <w:r w:rsidRPr="005753F6">
        <w:rPr>
          <w:rFonts w:asciiTheme="minorHAnsi" w:hAnsiTheme="minorHAnsi" w:cstheme="minorHAnsi"/>
          <w:szCs w:val="22"/>
          <w:lang w:val="en-US"/>
        </w:rPr>
        <w:t xml:space="preserve"> and Eleni </w:t>
      </w:r>
      <w:proofErr w:type="spellStart"/>
      <w:r w:rsidRPr="005753F6">
        <w:rPr>
          <w:rFonts w:asciiTheme="minorHAnsi" w:hAnsiTheme="minorHAnsi" w:cstheme="minorHAnsi"/>
          <w:szCs w:val="22"/>
          <w:lang w:val="en-US"/>
        </w:rPr>
        <w:t>Papalexopoulou</w:t>
      </w:r>
      <w:proofErr w:type="spellEnd"/>
      <w:r w:rsidRPr="005753F6">
        <w:rPr>
          <w:rFonts w:asciiTheme="minorHAnsi" w:hAnsiTheme="minorHAnsi" w:cstheme="minorHAnsi"/>
          <w:szCs w:val="22"/>
          <w:lang w:val="en-US"/>
        </w:rPr>
        <w:t xml:space="preserve"> (together the “</w:t>
      </w:r>
      <w:r w:rsidRPr="005753F6">
        <w:rPr>
          <w:rFonts w:asciiTheme="minorHAnsi" w:hAnsiTheme="minorHAnsi" w:cstheme="minorHAnsi"/>
          <w:b/>
          <w:szCs w:val="22"/>
          <w:lang w:val="en-US"/>
        </w:rPr>
        <w:t>Founders</w:t>
      </w:r>
      <w:r w:rsidRPr="005753F6">
        <w:rPr>
          <w:rFonts w:asciiTheme="minorHAnsi" w:hAnsiTheme="minorHAnsi" w:cstheme="minorHAnsi"/>
          <w:szCs w:val="22"/>
          <w:lang w:val="en-US"/>
        </w:rPr>
        <w:t xml:space="preserve">”), </w:t>
      </w:r>
      <w:r w:rsidR="00624023" w:rsidRPr="005753F6">
        <w:rPr>
          <w:rFonts w:asciiTheme="minorHAnsi" w:hAnsiTheme="minorHAnsi" w:cstheme="minorHAnsi"/>
          <w:szCs w:val="22"/>
          <w:lang w:val="en-US"/>
        </w:rPr>
        <w:t xml:space="preserve">are the founders and hold </w:t>
      </w:r>
      <w:r w:rsidR="00416846" w:rsidRPr="005753F6">
        <w:rPr>
          <w:rFonts w:asciiTheme="minorHAnsi" w:hAnsiTheme="minorHAnsi" w:cstheme="minorHAnsi"/>
          <w:szCs w:val="22"/>
          <w:lang w:val="en-US"/>
        </w:rPr>
        <w:t xml:space="preserve">up to the date hereof </w:t>
      </w:r>
      <w:r w:rsidR="00624023" w:rsidRPr="005753F6">
        <w:rPr>
          <w:rFonts w:asciiTheme="minorHAnsi" w:hAnsiTheme="minorHAnsi" w:cstheme="minorHAnsi"/>
          <w:szCs w:val="22"/>
          <w:lang w:val="en-US"/>
        </w:rPr>
        <w:t xml:space="preserve">100% of the share capital in TITAN </w:t>
      </w:r>
      <w:r w:rsidR="00624023" w:rsidRPr="005753F6">
        <w:rPr>
          <w:rFonts w:asciiTheme="minorHAnsi" w:hAnsiTheme="minorHAnsi" w:cstheme="minorHAnsi"/>
          <w:szCs w:val="22"/>
        </w:rPr>
        <w:t xml:space="preserve">Cement </w:t>
      </w:r>
      <w:r w:rsidR="00624023" w:rsidRPr="005753F6">
        <w:rPr>
          <w:rFonts w:asciiTheme="minorHAnsi" w:hAnsiTheme="minorHAnsi" w:cstheme="minorHAnsi"/>
          <w:szCs w:val="22"/>
          <w:lang w:val="en-US"/>
        </w:rPr>
        <w:t>International</w:t>
      </w:r>
      <w:r w:rsidRPr="005753F6">
        <w:rPr>
          <w:rFonts w:asciiTheme="minorHAnsi" w:hAnsiTheme="minorHAnsi" w:cstheme="minorHAnsi"/>
          <w:szCs w:val="22"/>
          <w:lang w:val="en-US"/>
        </w:rPr>
        <w:t xml:space="preserve">. The Founders hold in aggregate (i) </w:t>
      </w:r>
      <w:r w:rsidRPr="005753F6">
        <w:rPr>
          <w:rFonts w:asciiTheme="minorHAnsi" w:hAnsiTheme="minorHAnsi" w:cstheme="minorHAnsi"/>
          <w:szCs w:val="22"/>
        </w:rPr>
        <w:t>19.600.577 TITAN Shares corresponding to approximately 23</w:t>
      </w:r>
      <w:r w:rsidRPr="005753F6">
        <w:rPr>
          <w:rFonts w:asciiTheme="minorHAnsi" w:hAnsiTheme="minorHAnsi" w:cstheme="minorHAnsi"/>
          <w:szCs w:val="22"/>
          <w:lang w:val="en-US"/>
        </w:rPr>
        <w:t>.</w:t>
      </w:r>
      <w:r w:rsidRPr="005753F6">
        <w:rPr>
          <w:rFonts w:asciiTheme="minorHAnsi" w:hAnsiTheme="minorHAnsi" w:cstheme="minorHAnsi"/>
          <w:szCs w:val="22"/>
        </w:rPr>
        <w:t>1</w:t>
      </w:r>
      <w:r w:rsidRPr="005753F6">
        <w:rPr>
          <w:rFonts w:asciiTheme="minorHAnsi" w:hAnsiTheme="minorHAnsi" w:cstheme="minorHAnsi"/>
          <w:szCs w:val="22"/>
          <w:lang w:val="en-US"/>
        </w:rPr>
        <w:t>6</w:t>
      </w:r>
      <w:r w:rsidRPr="005753F6">
        <w:rPr>
          <w:rFonts w:asciiTheme="minorHAnsi" w:hAnsiTheme="minorHAnsi" w:cstheme="minorHAnsi"/>
          <w:szCs w:val="22"/>
        </w:rPr>
        <w:t>%</w:t>
      </w:r>
      <w:r w:rsidRPr="005753F6">
        <w:rPr>
          <w:rFonts w:asciiTheme="minorHAnsi" w:hAnsiTheme="minorHAnsi" w:cstheme="minorHAnsi"/>
          <w:bCs/>
          <w:szCs w:val="22"/>
        </w:rPr>
        <w:t xml:space="preserve"> of TITAN’s total paid-up share capital (the </w:t>
      </w:r>
      <w:r w:rsidRPr="005753F6">
        <w:rPr>
          <w:rFonts w:asciiTheme="minorHAnsi" w:hAnsiTheme="minorHAnsi" w:cstheme="minorHAnsi"/>
          <w:bCs/>
          <w:szCs w:val="22"/>
          <w:lang w:val="en-US"/>
        </w:rPr>
        <w:t>“</w:t>
      </w:r>
      <w:r w:rsidRPr="005753F6">
        <w:rPr>
          <w:rFonts w:asciiTheme="minorHAnsi" w:hAnsiTheme="minorHAnsi" w:cstheme="minorHAnsi"/>
          <w:b/>
          <w:bCs/>
          <w:szCs w:val="22"/>
          <w:lang w:val="en-US"/>
        </w:rPr>
        <w:t>Founders’ Shares</w:t>
      </w:r>
      <w:r w:rsidRPr="005753F6">
        <w:rPr>
          <w:rFonts w:asciiTheme="minorHAnsi" w:hAnsiTheme="minorHAnsi" w:cstheme="minorHAnsi"/>
          <w:bCs/>
          <w:szCs w:val="22"/>
          <w:lang w:val="en-US"/>
        </w:rPr>
        <w:t>”)</w:t>
      </w:r>
      <w:r w:rsidRPr="005753F6">
        <w:rPr>
          <w:rFonts w:asciiTheme="minorHAnsi" w:hAnsiTheme="minorHAnsi" w:cstheme="minorHAnsi"/>
          <w:bCs/>
          <w:szCs w:val="22"/>
        </w:rPr>
        <w:t xml:space="preserve">, and (ii) </w:t>
      </w:r>
      <w:r w:rsidRPr="005753F6">
        <w:rPr>
          <w:rFonts w:asciiTheme="minorHAnsi" w:hAnsiTheme="minorHAnsi" w:cstheme="minorHAnsi"/>
          <w:szCs w:val="22"/>
          <w:lang w:val="en-US"/>
        </w:rPr>
        <w:t>14,330,705 voting rights corresponding to approximately 18.60% of the total voting rights in TITAN.</w:t>
      </w:r>
    </w:p>
    <w:p w:rsidR="00901765" w:rsidRPr="005753F6" w:rsidRDefault="001575D3" w:rsidP="00AE0136">
      <w:pPr>
        <w:pStyle w:val="a6"/>
        <w:spacing w:after="120" w:line="240" w:lineRule="auto"/>
        <w:ind w:left="0"/>
        <w:rPr>
          <w:rFonts w:asciiTheme="minorHAnsi" w:hAnsiTheme="minorHAnsi" w:cstheme="minorHAnsi"/>
          <w:szCs w:val="22"/>
          <w:lang w:val="en-US"/>
        </w:rPr>
      </w:pPr>
      <w:r w:rsidRPr="005753F6">
        <w:rPr>
          <w:rFonts w:asciiTheme="minorHAnsi" w:hAnsiTheme="minorHAnsi" w:cstheme="minorHAnsi"/>
          <w:szCs w:val="22"/>
          <w:lang w:val="en-US"/>
        </w:rPr>
        <w:t xml:space="preserve">As a result of a </w:t>
      </w:r>
      <w:r w:rsidR="004A432E" w:rsidRPr="005753F6">
        <w:rPr>
          <w:rFonts w:asciiTheme="minorHAnsi" w:hAnsiTheme="minorHAnsi" w:cstheme="minorHAnsi"/>
          <w:szCs w:val="22"/>
          <w:lang w:val="en-US"/>
        </w:rPr>
        <w:t>shareholders</w:t>
      </w:r>
      <w:r w:rsidRPr="005753F6">
        <w:rPr>
          <w:rFonts w:asciiTheme="minorHAnsi" w:hAnsiTheme="minorHAnsi" w:cstheme="minorHAnsi"/>
          <w:szCs w:val="22"/>
          <w:lang w:val="en-US"/>
        </w:rPr>
        <w:t xml:space="preserve">' </w:t>
      </w:r>
      <w:r w:rsidR="004A432E" w:rsidRPr="005753F6">
        <w:rPr>
          <w:rFonts w:asciiTheme="minorHAnsi" w:hAnsiTheme="minorHAnsi" w:cstheme="minorHAnsi"/>
          <w:szCs w:val="22"/>
          <w:lang w:val="en-US"/>
        </w:rPr>
        <w:t>agreement</w:t>
      </w:r>
      <w:r w:rsidRPr="005753F6">
        <w:rPr>
          <w:rFonts w:asciiTheme="minorHAnsi" w:hAnsiTheme="minorHAnsi" w:cstheme="minorHAnsi"/>
          <w:szCs w:val="22"/>
          <w:lang w:val="en-US"/>
        </w:rPr>
        <w:t xml:space="preserve"> dated </w:t>
      </w:r>
      <w:r w:rsidR="004A432E" w:rsidRPr="005753F6">
        <w:rPr>
          <w:rFonts w:asciiTheme="minorHAnsi" w:hAnsiTheme="minorHAnsi" w:cstheme="minorHAnsi"/>
          <w:szCs w:val="22"/>
          <w:lang w:val="en-US"/>
        </w:rPr>
        <w:t xml:space="preserve">October 18, 2018, the Founders </w:t>
      </w:r>
      <w:r w:rsidR="00416846" w:rsidRPr="005753F6">
        <w:rPr>
          <w:rFonts w:asciiTheme="minorHAnsi" w:hAnsiTheme="minorHAnsi" w:cstheme="minorHAnsi"/>
          <w:szCs w:val="22"/>
          <w:lang w:val="en-US"/>
        </w:rPr>
        <w:t xml:space="preserve">became </w:t>
      </w:r>
      <w:r w:rsidR="00584DB6" w:rsidRPr="005753F6">
        <w:rPr>
          <w:rFonts w:asciiTheme="minorHAnsi" w:hAnsiTheme="minorHAnsi" w:cstheme="minorHAnsi"/>
          <w:szCs w:val="22"/>
          <w:lang w:val="en-US"/>
        </w:rPr>
        <w:t xml:space="preserve">"persons </w:t>
      </w:r>
      <w:r w:rsidR="00584DB6" w:rsidRPr="005753F6">
        <w:rPr>
          <w:rFonts w:asciiTheme="minorHAnsi" w:hAnsiTheme="minorHAnsi" w:cstheme="minorHAnsi"/>
          <w:szCs w:val="22"/>
        </w:rPr>
        <w:t xml:space="preserve">acting in concert" (as defined in article 2, paragraph (e) of the Law) among themselves and with </w:t>
      </w:r>
      <w:r w:rsidR="00584DB6" w:rsidRPr="005753F6">
        <w:rPr>
          <w:rFonts w:asciiTheme="minorHAnsi" w:hAnsiTheme="minorHAnsi" w:cstheme="minorHAnsi"/>
          <w:szCs w:val="22"/>
          <w:lang w:val="en-US"/>
        </w:rPr>
        <w:t xml:space="preserve">TITAN Cement International for the purposes of the Share Exchange Offer. Consequently, as at the </w:t>
      </w:r>
      <w:r w:rsidR="00962127" w:rsidRPr="005753F6">
        <w:rPr>
          <w:rFonts w:asciiTheme="minorHAnsi" w:hAnsiTheme="minorHAnsi" w:cstheme="minorHAnsi"/>
          <w:szCs w:val="22"/>
          <w:lang w:val="en-US"/>
        </w:rPr>
        <w:t>Date of the Share Exchange Offer</w:t>
      </w:r>
      <w:r w:rsidR="00584DB6" w:rsidRPr="005753F6">
        <w:rPr>
          <w:rFonts w:asciiTheme="minorHAnsi" w:hAnsiTheme="minorHAnsi" w:cstheme="minorHAnsi"/>
          <w:szCs w:val="22"/>
          <w:lang w:val="en-US"/>
        </w:rPr>
        <w:t xml:space="preserve">, </w:t>
      </w:r>
      <w:r w:rsidR="00901765" w:rsidRPr="005753F6">
        <w:rPr>
          <w:rFonts w:asciiTheme="minorHAnsi" w:hAnsiTheme="minorHAnsi" w:cstheme="minorHAnsi"/>
          <w:szCs w:val="22"/>
          <w:lang w:val="en-US"/>
        </w:rPr>
        <w:t xml:space="preserve">TITAN Cement International indirectly holds approximately 18.60% of the </w:t>
      </w:r>
      <w:r w:rsidR="00416846" w:rsidRPr="005753F6">
        <w:rPr>
          <w:rFonts w:asciiTheme="minorHAnsi" w:hAnsiTheme="minorHAnsi" w:cstheme="minorHAnsi"/>
          <w:szCs w:val="22"/>
          <w:lang w:val="en-US"/>
        </w:rPr>
        <w:t xml:space="preserve">total </w:t>
      </w:r>
      <w:r w:rsidR="00901765" w:rsidRPr="005753F6">
        <w:rPr>
          <w:rFonts w:asciiTheme="minorHAnsi" w:hAnsiTheme="minorHAnsi" w:cstheme="minorHAnsi"/>
          <w:szCs w:val="22"/>
          <w:lang w:val="en-US"/>
        </w:rPr>
        <w:t>voting rights in TITAN.</w:t>
      </w:r>
      <w:r w:rsidR="00416846" w:rsidRPr="005753F6">
        <w:rPr>
          <w:rFonts w:asciiTheme="minorHAnsi" w:hAnsiTheme="minorHAnsi" w:cstheme="minorHAnsi"/>
          <w:szCs w:val="22"/>
          <w:lang w:val="en-US"/>
        </w:rPr>
        <w:t xml:space="preserve"> </w:t>
      </w:r>
      <w:r w:rsidR="00901765" w:rsidRPr="005753F6">
        <w:rPr>
          <w:rFonts w:asciiTheme="minorHAnsi" w:hAnsiTheme="minorHAnsi" w:cstheme="minorHAnsi"/>
          <w:szCs w:val="22"/>
          <w:lang w:val="en-US"/>
        </w:rPr>
        <w:t xml:space="preserve">The Founders have stated that they will tender their respective Founders’ Shares for Consideration Shares, </w:t>
      </w:r>
      <w:r w:rsidR="00560B90" w:rsidRPr="005753F6">
        <w:rPr>
          <w:rFonts w:asciiTheme="minorHAnsi" w:hAnsiTheme="minorHAnsi" w:cstheme="minorHAnsi"/>
          <w:szCs w:val="22"/>
          <w:lang w:val="en-US"/>
        </w:rPr>
        <w:t>on</w:t>
      </w:r>
      <w:r w:rsidR="00901765" w:rsidRPr="005753F6">
        <w:rPr>
          <w:rFonts w:asciiTheme="minorHAnsi" w:hAnsiTheme="minorHAnsi" w:cstheme="minorHAnsi"/>
          <w:szCs w:val="22"/>
          <w:lang w:val="en-US"/>
        </w:rPr>
        <w:t xml:space="preserve"> the </w:t>
      </w:r>
      <w:r w:rsidR="00AA3246" w:rsidRPr="005753F6">
        <w:rPr>
          <w:rFonts w:asciiTheme="minorHAnsi" w:hAnsiTheme="minorHAnsi" w:cstheme="minorHAnsi"/>
          <w:szCs w:val="22"/>
          <w:lang w:val="en-US"/>
        </w:rPr>
        <w:t xml:space="preserve">same </w:t>
      </w:r>
      <w:r w:rsidR="00901765" w:rsidRPr="005753F6">
        <w:rPr>
          <w:rFonts w:asciiTheme="minorHAnsi" w:hAnsiTheme="minorHAnsi" w:cstheme="minorHAnsi"/>
          <w:szCs w:val="22"/>
          <w:lang w:val="en-US"/>
        </w:rPr>
        <w:t xml:space="preserve">terms and </w:t>
      </w:r>
      <w:r w:rsidR="00560B90" w:rsidRPr="005753F6">
        <w:rPr>
          <w:rFonts w:asciiTheme="minorHAnsi" w:hAnsiTheme="minorHAnsi" w:cstheme="minorHAnsi"/>
          <w:szCs w:val="22"/>
          <w:lang w:val="en-US"/>
        </w:rPr>
        <w:t xml:space="preserve">subject to the same </w:t>
      </w:r>
      <w:r w:rsidR="00901765" w:rsidRPr="005753F6">
        <w:rPr>
          <w:rFonts w:asciiTheme="minorHAnsi" w:hAnsiTheme="minorHAnsi" w:cstheme="minorHAnsi"/>
          <w:szCs w:val="22"/>
          <w:lang w:val="en-US"/>
        </w:rPr>
        <w:t xml:space="preserve">conditions </w:t>
      </w:r>
      <w:r w:rsidR="00560B90" w:rsidRPr="005753F6">
        <w:rPr>
          <w:rFonts w:asciiTheme="minorHAnsi" w:hAnsiTheme="minorHAnsi" w:cstheme="minorHAnsi"/>
          <w:szCs w:val="22"/>
          <w:lang w:val="en-US"/>
        </w:rPr>
        <w:t>as all other TITAN s</w:t>
      </w:r>
      <w:r w:rsidR="00901765" w:rsidRPr="005753F6">
        <w:rPr>
          <w:rFonts w:asciiTheme="minorHAnsi" w:hAnsiTheme="minorHAnsi" w:cstheme="minorHAnsi"/>
          <w:szCs w:val="22"/>
          <w:lang w:val="en-US"/>
        </w:rPr>
        <w:t>hareholders, such that</w:t>
      </w:r>
      <w:r w:rsidR="00560B90" w:rsidRPr="005753F6">
        <w:rPr>
          <w:rFonts w:asciiTheme="minorHAnsi" w:hAnsiTheme="minorHAnsi" w:cstheme="minorHAnsi"/>
          <w:szCs w:val="22"/>
          <w:lang w:val="en-US"/>
        </w:rPr>
        <w:t xml:space="preserve"> </w:t>
      </w:r>
      <w:r w:rsidR="00901765" w:rsidRPr="005753F6">
        <w:rPr>
          <w:rFonts w:asciiTheme="minorHAnsi" w:hAnsiTheme="minorHAnsi" w:cstheme="minorHAnsi"/>
          <w:szCs w:val="22"/>
          <w:lang w:val="en-US"/>
        </w:rPr>
        <w:t xml:space="preserve">all TITAN Shares are held directly by </w:t>
      </w:r>
      <w:r w:rsidR="009F6BCC" w:rsidRPr="005753F6">
        <w:rPr>
          <w:rFonts w:asciiTheme="minorHAnsi" w:hAnsiTheme="minorHAnsi" w:cstheme="minorHAnsi"/>
          <w:szCs w:val="22"/>
        </w:rPr>
        <w:t>TITAN Cement International</w:t>
      </w:r>
      <w:r w:rsidR="00901765" w:rsidRPr="005753F6">
        <w:rPr>
          <w:rFonts w:asciiTheme="minorHAnsi" w:hAnsiTheme="minorHAnsi" w:cstheme="minorHAnsi"/>
          <w:szCs w:val="22"/>
          <w:lang w:val="en-US"/>
        </w:rPr>
        <w:t>.</w:t>
      </w:r>
    </w:p>
    <w:p w:rsidR="00AE0136" w:rsidRPr="005753F6" w:rsidRDefault="00AE0136" w:rsidP="00AE0136">
      <w:pPr>
        <w:pStyle w:val="a6"/>
        <w:spacing w:after="120" w:line="240" w:lineRule="auto"/>
        <w:ind w:left="0"/>
        <w:rPr>
          <w:rFonts w:asciiTheme="minorHAnsi" w:hAnsiTheme="minorHAnsi" w:cstheme="minorHAnsi"/>
          <w:szCs w:val="22"/>
        </w:rPr>
      </w:pPr>
      <w:r w:rsidRPr="005753F6">
        <w:rPr>
          <w:rFonts w:asciiTheme="minorHAnsi" w:hAnsiTheme="minorHAnsi" w:cstheme="minorHAnsi"/>
          <w:szCs w:val="22"/>
        </w:rPr>
        <w:t>4.</w:t>
      </w:r>
      <w:r w:rsidRPr="005753F6">
        <w:rPr>
          <w:rFonts w:asciiTheme="minorHAnsi" w:hAnsiTheme="minorHAnsi" w:cstheme="minorHAnsi"/>
          <w:szCs w:val="22"/>
        </w:rPr>
        <w:tab/>
        <w:t>The Date of the Share Exchange Offer is the date on which TITAN Cement International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 xml:space="preserve">initiated the Share Exchange Offer process by informing the HCMC and the board of directors of TITAN of the Share Exchange Offer and submitted to them a draft of the Information Circular, in accordance with article 10, paragraph 1 of the Law. </w:t>
      </w:r>
    </w:p>
    <w:p w:rsidR="00AE0136" w:rsidRPr="005753F6" w:rsidRDefault="00AE0136" w:rsidP="00AE0136">
      <w:pPr>
        <w:pStyle w:val="a6"/>
        <w:spacing w:after="120" w:line="240" w:lineRule="auto"/>
        <w:ind w:left="0"/>
        <w:rPr>
          <w:rFonts w:asciiTheme="minorHAnsi" w:hAnsiTheme="minorHAnsi" w:cstheme="minorHAnsi"/>
          <w:b/>
          <w:szCs w:val="22"/>
        </w:rPr>
      </w:pPr>
      <w:r w:rsidRPr="005753F6">
        <w:rPr>
          <w:rFonts w:asciiTheme="minorHAnsi" w:hAnsiTheme="minorHAnsi" w:cstheme="minorHAnsi"/>
          <w:b/>
          <w:szCs w:val="22"/>
        </w:rPr>
        <w:t>Consideration and Share Exchange Offer Structure</w:t>
      </w:r>
    </w:p>
    <w:p w:rsidR="00AE0136" w:rsidRPr="005753F6" w:rsidRDefault="009F6BCC" w:rsidP="00AE0136">
      <w:pPr>
        <w:pStyle w:val="a6"/>
        <w:spacing w:after="120" w:line="240" w:lineRule="auto"/>
        <w:ind w:left="0"/>
        <w:rPr>
          <w:rFonts w:asciiTheme="minorHAnsi" w:hAnsiTheme="minorHAnsi" w:cstheme="minorHAnsi"/>
          <w:szCs w:val="22"/>
        </w:rPr>
      </w:pPr>
      <w:r w:rsidRPr="005753F6">
        <w:rPr>
          <w:rFonts w:asciiTheme="minorHAnsi" w:hAnsiTheme="minorHAnsi" w:cstheme="minorHAnsi"/>
          <w:szCs w:val="22"/>
        </w:rPr>
        <w:t>5</w:t>
      </w:r>
      <w:r w:rsidR="00AE0136" w:rsidRPr="005753F6">
        <w:rPr>
          <w:rFonts w:asciiTheme="minorHAnsi" w:hAnsiTheme="minorHAnsi" w:cstheme="minorHAnsi"/>
          <w:szCs w:val="22"/>
        </w:rPr>
        <w:tab/>
        <w:t xml:space="preserve">In accordance with the first sentence of </w:t>
      </w:r>
      <w:r w:rsidR="00AE0136" w:rsidRPr="005753F6">
        <w:rPr>
          <w:rFonts w:asciiTheme="minorHAnsi" w:hAnsiTheme="minorHAnsi" w:cstheme="minorHAnsi"/>
          <w:szCs w:val="22"/>
          <w:lang w:val="en-US"/>
        </w:rPr>
        <w:t>paragraph 1 of article</w:t>
      </w:r>
      <w:r w:rsidR="00AE0136" w:rsidRPr="005753F6">
        <w:rPr>
          <w:rFonts w:asciiTheme="minorHAnsi" w:hAnsiTheme="minorHAnsi" w:cstheme="minorHAnsi"/>
          <w:szCs w:val="22"/>
        </w:rPr>
        <w:t xml:space="preserve"> 9 of the Law, TITAN Cement International</w:t>
      </w:r>
      <w:r w:rsidR="00AE0136" w:rsidRPr="005753F6">
        <w:rPr>
          <w:rFonts w:asciiTheme="minorHAnsi" w:hAnsiTheme="minorHAnsi" w:cstheme="minorHAnsi"/>
          <w:bCs/>
          <w:szCs w:val="22"/>
          <w:lang w:val="en-US"/>
        </w:rPr>
        <w:t xml:space="preserve"> </w:t>
      </w:r>
      <w:r w:rsidR="00AE0136" w:rsidRPr="005753F6">
        <w:rPr>
          <w:rFonts w:asciiTheme="minorHAnsi" w:hAnsiTheme="minorHAnsi" w:cstheme="minorHAnsi"/>
          <w:szCs w:val="22"/>
        </w:rPr>
        <w:t>offers (i) one Consideration Share for each Ordinary Share, and (ii) one Consideration Share for each Preference Share, in each case which are lawfully and validly tendered during the acceptance period of the Share Exchange Offer (the “</w:t>
      </w:r>
      <w:r w:rsidR="00AE0136" w:rsidRPr="005753F6">
        <w:rPr>
          <w:rFonts w:asciiTheme="minorHAnsi" w:hAnsiTheme="minorHAnsi" w:cstheme="minorHAnsi"/>
          <w:b/>
          <w:szCs w:val="22"/>
        </w:rPr>
        <w:t>Tendered Shares</w:t>
      </w:r>
      <w:r w:rsidR="00AE0136" w:rsidRPr="005753F6">
        <w:rPr>
          <w:rFonts w:asciiTheme="minorHAnsi" w:hAnsiTheme="minorHAnsi" w:cstheme="minorHAnsi"/>
          <w:szCs w:val="22"/>
        </w:rPr>
        <w:t xml:space="preserve">”). </w:t>
      </w:r>
    </w:p>
    <w:p w:rsidR="00AE0136" w:rsidRPr="005753F6" w:rsidRDefault="00AE0136" w:rsidP="00AE0136">
      <w:pPr>
        <w:pStyle w:val="a6"/>
        <w:spacing w:after="120" w:line="240" w:lineRule="auto"/>
        <w:ind w:left="0"/>
        <w:rPr>
          <w:rFonts w:asciiTheme="minorHAnsi" w:hAnsiTheme="minorHAnsi" w:cstheme="minorHAnsi"/>
          <w:szCs w:val="22"/>
        </w:rPr>
      </w:pPr>
      <w:r w:rsidRPr="005753F6">
        <w:rPr>
          <w:rFonts w:asciiTheme="minorHAnsi" w:hAnsiTheme="minorHAnsi" w:cstheme="minorHAnsi"/>
          <w:szCs w:val="22"/>
        </w:rPr>
        <w:t>In particular, holders of TITAN Shares who lawfully and validly accept the Share Exchange Offer (the “</w:t>
      </w:r>
      <w:r w:rsidRPr="005753F6">
        <w:rPr>
          <w:rFonts w:asciiTheme="minorHAnsi" w:hAnsiTheme="minorHAnsi" w:cstheme="minorHAnsi"/>
          <w:b/>
          <w:szCs w:val="22"/>
        </w:rPr>
        <w:t>Accepting Shareholders</w:t>
      </w:r>
      <w:r w:rsidRPr="005753F6">
        <w:rPr>
          <w:rFonts w:asciiTheme="minorHAnsi" w:hAnsiTheme="minorHAnsi" w:cstheme="minorHAnsi"/>
          <w:szCs w:val="22"/>
        </w:rPr>
        <w:t xml:space="preserve">”) will be entitled to elect to receive, for each Tendered Share (i) one Consideration Share held in book-entry form through </w:t>
      </w:r>
      <w:proofErr w:type="spellStart"/>
      <w:r w:rsidRPr="005753F6">
        <w:rPr>
          <w:rFonts w:asciiTheme="minorHAnsi" w:hAnsiTheme="minorHAnsi" w:cstheme="minorHAnsi"/>
          <w:szCs w:val="22"/>
        </w:rPr>
        <w:t>Euroclear</w:t>
      </w:r>
      <w:proofErr w:type="spellEnd"/>
      <w:r w:rsidRPr="005753F6">
        <w:rPr>
          <w:rFonts w:asciiTheme="minorHAnsi" w:hAnsiTheme="minorHAnsi" w:cstheme="minorHAnsi"/>
          <w:szCs w:val="22"/>
        </w:rPr>
        <w:t xml:space="preserve"> Belgium, or (ii) one Consideration </w:t>
      </w:r>
      <w:r w:rsidRPr="005753F6">
        <w:rPr>
          <w:rFonts w:asciiTheme="minorHAnsi" w:hAnsiTheme="minorHAnsi" w:cstheme="minorHAnsi"/>
          <w:szCs w:val="22"/>
        </w:rPr>
        <w:lastRenderedPageBreak/>
        <w:t>Share held in book-entry form at the Dematerialised Securities System (“</w:t>
      </w:r>
      <w:r w:rsidRPr="005753F6">
        <w:rPr>
          <w:rFonts w:asciiTheme="minorHAnsi" w:hAnsiTheme="minorHAnsi" w:cstheme="minorHAnsi"/>
          <w:b/>
          <w:szCs w:val="22"/>
        </w:rPr>
        <w:t>DSS</w:t>
      </w:r>
      <w:r w:rsidRPr="005753F6">
        <w:rPr>
          <w:rFonts w:asciiTheme="minorHAnsi" w:hAnsiTheme="minorHAnsi" w:cstheme="minorHAnsi"/>
          <w:szCs w:val="22"/>
        </w:rPr>
        <w:t xml:space="preserve">”) through the </w:t>
      </w:r>
      <w:r w:rsidRPr="005753F6">
        <w:rPr>
          <w:rFonts w:asciiTheme="minorHAnsi" w:hAnsiTheme="minorHAnsi" w:cstheme="minorHAnsi"/>
          <w:szCs w:val="22"/>
          <w:lang w:val="en-US"/>
        </w:rPr>
        <w:t>Hellenic Central Securities Depository S.A. (“</w:t>
      </w:r>
      <w:r w:rsidRPr="005753F6">
        <w:rPr>
          <w:rFonts w:asciiTheme="minorHAnsi" w:hAnsiTheme="minorHAnsi" w:cstheme="minorHAnsi"/>
          <w:b/>
          <w:szCs w:val="22"/>
          <w:lang w:val="en-US"/>
        </w:rPr>
        <w:t>HCSD</w:t>
      </w:r>
      <w:r w:rsidRPr="005753F6">
        <w:rPr>
          <w:rFonts w:asciiTheme="minorHAnsi" w:hAnsiTheme="minorHAnsi" w:cstheme="minorHAnsi"/>
          <w:szCs w:val="22"/>
          <w:lang w:val="en-US"/>
        </w:rPr>
        <w:t>”)</w:t>
      </w:r>
      <w:r w:rsidRPr="005753F6">
        <w:rPr>
          <w:rFonts w:asciiTheme="minorHAnsi" w:hAnsiTheme="minorHAnsi" w:cstheme="minorHAnsi"/>
          <w:szCs w:val="22"/>
        </w:rPr>
        <w:t>.</w:t>
      </w:r>
    </w:p>
    <w:p w:rsidR="00AE0136" w:rsidRPr="005753F6" w:rsidRDefault="009F6BCC" w:rsidP="00AE0136">
      <w:pPr>
        <w:pStyle w:val="a6"/>
        <w:tabs>
          <w:tab w:val="left" w:pos="720"/>
        </w:tabs>
        <w:spacing w:after="120" w:line="240" w:lineRule="auto"/>
        <w:ind w:left="0"/>
        <w:rPr>
          <w:rFonts w:asciiTheme="minorHAnsi" w:hAnsiTheme="minorHAnsi" w:cstheme="minorHAnsi"/>
          <w:szCs w:val="22"/>
        </w:rPr>
      </w:pPr>
      <w:r w:rsidRPr="005753F6">
        <w:rPr>
          <w:rFonts w:asciiTheme="minorHAnsi" w:hAnsiTheme="minorHAnsi" w:cstheme="minorHAnsi"/>
          <w:szCs w:val="22"/>
        </w:rPr>
        <w:t>6</w:t>
      </w:r>
      <w:r w:rsidR="00AE0136" w:rsidRPr="005753F6">
        <w:rPr>
          <w:rFonts w:asciiTheme="minorHAnsi" w:hAnsiTheme="minorHAnsi" w:cstheme="minorHAnsi"/>
          <w:szCs w:val="22"/>
        </w:rPr>
        <w:t>.</w:t>
      </w:r>
      <w:r w:rsidR="00AE0136" w:rsidRPr="005753F6">
        <w:rPr>
          <w:rFonts w:asciiTheme="minorHAnsi" w:hAnsiTheme="minorHAnsi" w:cstheme="minorHAnsi"/>
          <w:szCs w:val="22"/>
        </w:rPr>
        <w:tab/>
        <w:t>Titan Cement International</w:t>
      </w:r>
      <w:r w:rsidR="00AE0136" w:rsidRPr="005753F6">
        <w:rPr>
          <w:rFonts w:asciiTheme="minorHAnsi" w:hAnsiTheme="minorHAnsi" w:cstheme="minorHAnsi"/>
          <w:bCs/>
          <w:szCs w:val="22"/>
          <w:lang w:val="en-US"/>
        </w:rPr>
        <w:t xml:space="preserve"> </w:t>
      </w:r>
      <w:r w:rsidR="00AE0136" w:rsidRPr="005753F6">
        <w:rPr>
          <w:rFonts w:asciiTheme="minorHAnsi" w:hAnsiTheme="minorHAnsi" w:cstheme="minorHAnsi"/>
          <w:szCs w:val="22"/>
          <w:lang w:val="en-US"/>
        </w:rPr>
        <w:t xml:space="preserve">will assume payment of the duties </w:t>
      </w:r>
      <w:r w:rsidR="00AE0136" w:rsidRPr="005753F6">
        <w:rPr>
          <w:rFonts w:asciiTheme="minorHAnsi" w:hAnsiTheme="minorHAnsi" w:cstheme="minorHAnsi"/>
          <w:szCs w:val="22"/>
        </w:rPr>
        <w:t xml:space="preserve">levied </w:t>
      </w:r>
      <w:r w:rsidR="00AE0136" w:rsidRPr="005753F6">
        <w:rPr>
          <w:rFonts w:asciiTheme="minorHAnsi" w:hAnsiTheme="minorHAnsi" w:cstheme="minorHAnsi"/>
          <w:szCs w:val="22"/>
          <w:lang w:val="en-US"/>
        </w:rPr>
        <w:t xml:space="preserve">in favor of the HCSD </w:t>
      </w:r>
      <w:r w:rsidR="00AE0136" w:rsidRPr="005753F6">
        <w:rPr>
          <w:rFonts w:asciiTheme="minorHAnsi" w:hAnsiTheme="minorHAnsi" w:cstheme="minorHAnsi"/>
          <w:szCs w:val="22"/>
        </w:rPr>
        <w:t>on</w:t>
      </w:r>
      <w:r w:rsidR="00AE0136" w:rsidRPr="005753F6">
        <w:rPr>
          <w:rFonts w:asciiTheme="minorHAnsi" w:hAnsiTheme="minorHAnsi" w:cstheme="minorHAnsi"/>
          <w:szCs w:val="22"/>
          <w:lang w:val="en-US"/>
        </w:rPr>
        <w:t xml:space="preserve"> the registration of the off-exchange transfer of the Tendered Shares</w:t>
      </w:r>
      <w:r w:rsidR="00AE0136" w:rsidRPr="005753F6">
        <w:rPr>
          <w:rFonts w:asciiTheme="minorHAnsi" w:hAnsiTheme="minorHAnsi" w:cstheme="minorHAnsi"/>
          <w:szCs w:val="22"/>
        </w:rPr>
        <w:t xml:space="preserve"> transferred to TITAN Cement International</w:t>
      </w:r>
      <w:r w:rsidR="00AE0136" w:rsidRPr="005753F6">
        <w:rPr>
          <w:rFonts w:asciiTheme="minorHAnsi" w:hAnsiTheme="minorHAnsi" w:cstheme="minorHAnsi"/>
          <w:bCs/>
          <w:szCs w:val="22"/>
          <w:lang w:val="en-US"/>
        </w:rPr>
        <w:t xml:space="preserve"> </w:t>
      </w:r>
      <w:r w:rsidR="00AE0136" w:rsidRPr="005753F6">
        <w:rPr>
          <w:rFonts w:asciiTheme="minorHAnsi" w:hAnsiTheme="minorHAnsi" w:cstheme="minorHAnsi"/>
          <w:szCs w:val="22"/>
          <w:lang w:val="en-US"/>
        </w:rPr>
        <w:t>in accordance with article 7 of the Codified Decision 1 (session 223/28.1.2014) of the Board of Directors of the HCSD</w:t>
      </w:r>
      <w:r w:rsidR="00AE0136" w:rsidRPr="005753F6">
        <w:rPr>
          <w:rFonts w:asciiTheme="minorHAnsi" w:hAnsiTheme="minorHAnsi" w:cstheme="minorHAnsi"/>
          <w:szCs w:val="22"/>
        </w:rPr>
        <w:t xml:space="preserve">, </w:t>
      </w:r>
      <w:r w:rsidR="00AE0136" w:rsidRPr="005753F6">
        <w:rPr>
          <w:rFonts w:asciiTheme="minorHAnsi" w:hAnsiTheme="minorHAnsi" w:cstheme="minorHAnsi"/>
          <w:szCs w:val="22"/>
          <w:lang w:val="en-US"/>
        </w:rPr>
        <w:t xml:space="preserve">as in force, </w:t>
      </w:r>
      <w:r w:rsidR="00AE0136" w:rsidRPr="005753F6">
        <w:rPr>
          <w:rFonts w:asciiTheme="minorHAnsi" w:hAnsiTheme="minorHAnsi" w:cstheme="minorHAnsi"/>
          <w:szCs w:val="22"/>
        </w:rPr>
        <w:t xml:space="preserve">which would otherwise be payable by the Accepting Shareholders. Such duties amount to 0.08% of the value of the Tendered Shares transferred and are calculated in accordance with the abovementioned provision. </w:t>
      </w:r>
    </w:p>
    <w:p w:rsidR="00AE0136" w:rsidRPr="005753F6" w:rsidRDefault="009B44D9" w:rsidP="00AE0136">
      <w:pPr>
        <w:pStyle w:val="a6"/>
        <w:spacing w:after="120" w:line="240" w:lineRule="auto"/>
        <w:ind w:left="0"/>
        <w:rPr>
          <w:rFonts w:asciiTheme="minorHAnsi" w:hAnsiTheme="minorHAnsi" w:cstheme="minorHAnsi"/>
          <w:szCs w:val="22"/>
        </w:rPr>
      </w:pPr>
      <w:r w:rsidRPr="005753F6">
        <w:rPr>
          <w:rFonts w:asciiTheme="minorHAnsi" w:hAnsiTheme="minorHAnsi" w:cstheme="minorHAnsi"/>
          <w:szCs w:val="22"/>
        </w:rPr>
        <w:t>The</w:t>
      </w:r>
      <w:r w:rsidR="00AE0136" w:rsidRPr="005753F6">
        <w:rPr>
          <w:rFonts w:asciiTheme="minorHAnsi" w:hAnsiTheme="minorHAnsi" w:cstheme="minorHAnsi"/>
          <w:color w:val="231F20"/>
          <w:szCs w:val="22"/>
        </w:rPr>
        <w:t xml:space="preserve"> transfer of the Tendered Shares to </w:t>
      </w:r>
      <w:r w:rsidR="00AE0136" w:rsidRPr="005753F6">
        <w:rPr>
          <w:rFonts w:asciiTheme="minorHAnsi" w:hAnsiTheme="minorHAnsi" w:cstheme="minorHAnsi"/>
          <w:szCs w:val="22"/>
        </w:rPr>
        <w:t>TITAN Cement International</w:t>
      </w:r>
      <w:r w:rsidR="00AE0136" w:rsidRPr="005753F6">
        <w:rPr>
          <w:rFonts w:asciiTheme="minorHAnsi" w:hAnsiTheme="minorHAnsi" w:cstheme="minorHAnsi"/>
          <w:bCs/>
          <w:szCs w:val="22"/>
          <w:lang w:val="en-US"/>
        </w:rPr>
        <w:t xml:space="preserve"> in consideration for Consideration Shares </w:t>
      </w:r>
      <w:r w:rsidR="00AE0136" w:rsidRPr="005753F6">
        <w:rPr>
          <w:rFonts w:asciiTheme="minorHAnsi" w:hAnsiTheme="minorHAnsi" w:cstheme="minorHAnsi"/>
          <w:color w:val="231F20"/>
          <w:szCs w:val="22"/>
        </w:rPr>
        <w:t xml:space="preserve">will not be subject to the tax provided for by article 9 paragraph 2 of Law 2579/1998 in favour of the Greek State, which amounts to 0.20% and is imposed on sales of shares listed on the ATHEX, since such transfer will not qualify as a sale under such provision. As a result, Accepting Shareholders receiving Consideration Shares (irrespective of whether they are held through </w:t>
      </w:r>
      <w:proofErr w:type="spellStart"/>
      <w:r w:rsidR="00AE0136" w:rsidRPr="005753F6">
        <w:rPr>
          <w:rFonts w:asciiTheme="minorHAnsi" w:hAnsiTheme="minorHAnsi" w:cstheme="minorHAnsi"/>
          <w:color w:val="231F20"/>
          <w:szCs w:val="22"/>
        </w:rPr>
        <w:t>Euroclear</w:t>
      </w:r>
      <w:proofErr w:type="spellEnd"/>
      <w:r w:rsidR="00AE0136" w:rsidRPr="005753F6">
        <w:rPr>
          <w:rFonts w:asciiTheme="minorHAnsi" w:hAnsiTheme="minorHAnsi" w:cstheme="minorHAnsi"/>
          <w:color w:val="231F20"/>
          <w:szCs w:val="22"/>
        </w:rPr>
        <w:t xml:space="preserve"> Belgium or the HCSD) will not be required to pay such tax.</w:t>
      </w:r>
    </w:p>
    <w:p w:rsidR="00AE0136" w:rsidRPr="005753F6" w:rsidRDefault="00AE0136" w:rsidP="00AE0136">
      <w:pPr>
        <w:pStyle w:val="a6"/>
        <w:spacing w:after="120" w:line="240" w:lineRule="auto"/>
        <w:ind w:left="0"/>
        <w:rPr>
          <w:rFonts w:asciiTheme="minorHAnsi" w:hAnsiTheme="minorHAnsi" w:cstheme="minorHAnsi"/>
          <w:b/>
          <w:szCs w:val="22"/>
        </w:rPr>
      </w:pPr>
      <w:r w:rsidRPr="005753F6">
        <w:rPr>
          <w:rFonts w:asciiTheme="minorHAnsi" w:hAnsiTheme="minorHAnsi" w:cstheme="minorHAnsi"/>
          <w:b/>
          <w:szCs w:val="22"/>
        </w:rPr>
        <w:t>Squeeze-Out - Sell-Out - Delisting of TITAN</w:t>
      </w:r>
      <w:r w:rsidR="00AA3246" w:rsidRPr="005753F6">
        <w:rPr>
          <w:rFonts w:asciiTheme="minorHAnsi" w:hAnsiTheme="minorHAnsi" w:cstheme="minorHAnsi"/>
          <w:b/>
          <w:szCs w:val="22"/>
        </w:rPr>
        <w:t xml:space="preserve"> Shares</w:t>
      </w:r>
    </w:p>
    <w:p w:rsidR="00AE0136" w:rsidRPr="005753F6" w:rsidRDefault="009F6BCC" w:rsidP="00AE0136">
      <w:pPr>
        <w:pStyle w:val="a6"/>
        <w:spacing w:after="120" w:line="240" w:lineRule="auto"/>
        <w:ind w:left="0"/>
        <w:rPr>
          <w:rFonts w:asciiTheme="minorHAnsi" w:hAnsiTheme="minorHAnsi" w:cstheme="minorHAnsi"/>
          <w:szCs w:val="22"/>
        </w:rPr>
      </w:pPr>
      <w:r w:rsidRPr="005753F6">
        <w:rPr>
          <w:rFonts w:asciiTheme="minorHAnsi" w:hAnsiTheme="minorHAnsi" w:cstheme="minorHAnsi"/>
          <w:szCs w:val="22"/>
        </w:rPr>
        <w:t>7</w:t>
      </w:r>
      <w:r w:rsidR="00AE0136" w:rsidRPr="005753F6">
        <w:rPr>
          <w:rFonts w:asciiTheme="minorHAnsi" w:hAnsiTheme="minorHAnsi" w:cstheme="minorHAnsi"/>
          <w:szCs w:val="22"/>
        </w:rPr>
        <w:t>.</w:t>
      </w:r>
      <w:r w:rsidR="00AE0136" w:rsidRPr="005753F6">
        <w:rPr>
          <w:rFonts w:asciiTheme="minorHAnsi" w:hAnsiTheme="minorHAnsi" w:cstheme="minorHAnsi"/>
          <w:szCs w:val="22"/>
        </w:rPr>
        <w:tab/>
        <w:t xml:space="preserve">If, at the end of the Acceptance Period, at least (i) </w:t>
      </w:r>
      <w:r w:rsidR="00AE0136" w:rsidRPr="005753F6">
        <w:rPr>
          <w:rFonts w:asciiTheme="minorHAnsi" w:hAnsiTheme="minorHAnsi" w:cstheme="minorHAnsi"/>
          <w:bCs/>
          <w:szCs w:val="22"/>
          <w:lang w:val="en-US"/>
        </w:rPr>
        <w:t xml:space="preserve">69,357,212 </w:t>
      </w:r>
      <w:r w:rsidR="00AE0136" w:rsidRPr="005753F6">
        <w:rPr>
          <w:rFonts w:asciiTheme="minorHAnsi" w:hAnsiTheme="minorHAnsi" w:cstheme="minorHAnsi"/>
          <w:bCs/>
          <w:szCs w:val="22"/>
        </w:rPr>
        <w:t xml:space="preserve">Ordinary Shares, corresponding to 90% of TITAN’s ordinary share capital and voting rights, and (ii) </w:t>
      </w:r>
      <w:r w:rsidR="00AE0136" w:rsidRPr="005753F6">
        <w:rPr>
          <w:rFonts w:asciiTheme="minorHAnsi" w:hAnsiTheme="minorHAnsi" w:cstheme="minorHAnsi"/>
          <w:bCs/>
          <w:szCs w:val="22"/>
          <w:lang w:val="en-US"/>
        </w:rPr>
        <w:t xml:space="preserve">6,812,064 </w:t>
      </w:r>
      <w:r w:rsidR="00AE0136" w:rsidRPr="005753F6">
        <w:rPr>
          <w:rFonts w:asciiTheme="minorHAnsi" w:hAnsiTheme="minorHAnsi" w:cstheme="minorHAnsi"/>
          <w:bCs/>
          <w:szCs w:val="22"/>
        </w:rPr>
        <w:t>Preference Shares, corresponding to 90% of TITAN’s preference share capital (together the “</w:t>
      </w:r>
      <w:r w:rsidR="00AE0136" w:rsidRPr="005753F6">
        <w:rPr>
          <w:rFonts w:asciiTheme="minorHAnsi" w:hAnsiTheme="minorHAnsi" w:cstheme="minorHAnsi"/>
          <w:b/>
          <w:szCs w:val="22"/>
        </w:rPr>
        <w:t>Minimum Number of Shares</w:t>
      </w:r>
      <w:r w:rsidR="00AE0136" w:rsidRPr="005753F6">
        <w:rPr>
          <w:rFonts w:asciiTheme="minorHAnsi" w:hAnsiTheme="minorHAnsi" w:cstheme="minorHAnsi"/>
          <w:szCs w:val="22"/>
        </w:rPr>
        <w:t xml:space="preserve">”) </w:t>
      </w:r>
      <w:r w:rsidR="00AE0136" w:rsidRPr="005753F6">
        <w:rPr>
          <w:rFonts w:asciiTheme="minorHAnsi" w:hAnsiTheme="minorHAnsi" w:cstheme="minorHAnsi"/>
          <w:bCs/>
          <w:szCs w:val="22"/>
        </w:rPr>
        <w:t xml:space="preserve">have been lawfully and validly tendered to </w:t>
      </w:r>
      <w:r w:rsidR="00AE0136" w:rsidRPr="005753F6">
        <w:rPr>
          <w:rFonts w:asciiTheme="minorHAnsi" w:hAnsiTheme="minorHAnsi" w:cstheme="minorHAnsi"/>
          <w:szCs w:val="22"/>
        </w:rPr>
        <w:t>TITAN Cement International:</w:t>
      </w:r>
    </w:p>
    <w:p w:rsidR="00AE0136" w:rsidRPr="005753F6" w:rsidRDefault="00AE0136" w:rsidP="00AE0136">
      <w:pPr>
        <w:pStyle w:val="a6"/>
        <w:tabs>
          <w:tab w:val="left" w:pos="720"/>
          <w:tab w:val="left" w:pos="1340"/>
        </w:tabs>
        <w:spacing w:after="120" w:line="240" w:lineRule="auto"/>
        <w:ind w:left="720" w:hanging="720"/>
        <w:rPr>
          <w:rFonts w:asciiTheme="minorHAnsi" w:hAnsiTheme="minorHAnsi" w:cstheme="minorHAnsi"/>
          <w:szCs w:val="22"/>
        </w:rPr>
      </w:pPr>
      <w:r w:rsidRPr="005753F6">
        <w:rPr>
          <w:rFonts w:asciiTheme="minorHAnsi" w:hAnsiTheme="minorHAnsi" w:cstheme="minorHAnsi"/>
          <w:szCs w:val="22"/>
        </w:rPr>
        <w:t>(a)</w:t>
      </w:r>
      <w:r w:rsidRPr="005753F6">
        <w:rPr>
          <w:rFonts w:asciiTheme="minorHAnsi" w:hAnsiTheme="minorHAnsi" w:cstheme="minorHAnsi"/>
          <w:szCs w:val="22"/>
        </w:rPr>
        <w:tab/>
        <w:t>Titan Cement International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will exercise its right to require:</w:t>
      </w:r>
    </w:p>
    <w:p w:rsidR="00AE0136" w:rsidRPr="005753F6" w:rsidRDefault="00AE0136" w:rsidP="00AE0136">
      <w:pPr>
        <w:pStyle w:val="a6"/>
        <w:tabs>
          <w:tab w:val="left" w:pos="720"/>
          <w:tab w:val="left" w:pos="1340"/>
        </w:tabs>
        <w:spacing w:after="120" w:line="240" w:lineRule="auto"/>
        <w:ind w:left="1440" w:hanging="720"/>
        <w:rPr>
          <w:rFonts w:asciiTheme="minorHAnsi" w:hAnsiTheme="minorHAnsi" w:cstheme="minorHAnsi"/>
          <w:bCs/>
          <w:szCs w:val="22"/>
        </w:rPr>
      </w:pPr>
      <w:r w:rsidRPr="005753F6">
        <w:rPr>
          <w:rFonts w:asciiTheme="minorHAnsi" w:hAnsiTheme="minorHAnsi" w:cstheme="minorHAnsi"/>
          <w:szCs w:val="22"/>
        </w:rPr>
        <w:t>(i)</w:t>
      </w:r>
      <w:r w:rsidRPr="005753F6">
        <w:rPr>
          <w:rFonts w:asciiTheme="minorHAnsi" w:hAnsiTheme="minorHAnsi" w:cstheme="minorHAnsi"/>
          <w:szCs w:val="22"/>
        </w:rPr>
        <w:tab/>
      </w:r>
      <w:r w:rsidRPr="005753F6">
        <w:rPr>
          <w:rFonts w:asciiTheme="minorHAnsi" w:hAnsiTheme="minorHAnsi" w:cstheme="minorHAnsi"/>
          <w:szCs w:val="22"/>
        </w:rPr>
        <w:tab/>
        <w:t>the remaining holders of Ordinary Shares to transfer to TITAN Cement International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 xml:space="preserve">all their Ordinary Shares, </w:t>
      </w:r>
      <w:r w:rsidRPr="005753F6">
        <w:rPr>
          <w:rFonts w:asciiTheme="minorHAnsi" w:hAnsiTheme="minorHAnsi" w:cstheme="minorHAnsi"/>
          <w:szCs w:val="22"/>
          <w:lang w:val="en-US"/>
        </w:rPr>
        <w:t xml:space="preserve">in exchange for, at the election of the relevant holder, </w:t>
      </w:r>
      <w:r w:rsidRPr="005753F6">
        <w:rPr>
          <w:rFonts w:asciiTheme="minorHAnsi" w:hAnsiTheme="minorHAnsi" w:cstheme="minorHAnsi"/>
          <w:szCs w:val="22"/>
          <w:u w:val="single"/>
          <w:lang w:val="en-US"/>
        </w:rPr>
        <w:t>either</w:t>
      </w:r>
      <w:r w:rsidRPr="005753F6">
        <w:rPr>
          <w:rFonts w:asciiTheme="minorHAnsi" w:hAnsiTheme="minorHAnsi" w:cstheme="minorHAnsi"/>
          <w:szCs w:val="22"/>
          <w:lang w:val="en-US"/>
        </w:rPr>
        <w:t xml:space="preserve"> </w:t>
      </w:r>
      <w:r w:rsidRPr="005753F6">
        <w:rPr>
          <w:rFonts w:asciiTheme="minorHAnsi" w:hAnsiTheme="minorHAnsi" w:cstheme="minorHAnsi"/>
          <w:bCs/>
          <w:szCs w:val="22"/>
        </w:rPr>
        <w:t xml:space="preserve">one Consideration Share for each Ordinary Share, </w:t>
      </w:r>
      <w:r w:rsidRPr="005753F6">
        <w:rPr>
          <w:rFonts w:asciiTheme="minorHAnsi" w:hAnsiTheme="minorHAnsi" w:cstheme="minorHAnsi"/>
          <w:bCs/>
          <w:szCs w:val="22"/>
          <w:u w:val="single"/>
        </w:rPr>
        <w:t>or</w:t>
      </w:r>
      <w:r w:rsidRPr="005753F6">
        <w:rPr>
          <w:rFonts w:asciiTheme="minorHAnsi" w:hAnsiTheme="minorHAnsi" w:cstheme="minorHAnsi"/>
          <w:szCs w:val="22"/>
          <w:lang w:val="en-US"/>
        </w:rPr>
        <w:t xml:space="preserve"> payment of an amount in cash per Ordinary Share </w:t>
      </w:r>
      <w:r w:rsidR="009B44D9" w:rsidRPr="005753F6">
        <w:rPr>
          <w:rFonts w:asciiTheme="minorHAnsi" w:hAnsiTheme="minorHAnsi" w:cstheme="minorHAnsi"/>
          <w:szCs w:val="22"/>
        </w:rPr>
        <w:t xml:space="preserve">equal to </w:t>
      </w:r>
      <w:r w:rsidR="009B44D9" w:rsidRPr="005753F6">
        <w:rPr>
          <w:rFonts w:asciiTheme="minorHAnsi" w:hAnsiTheme="minorHAnsi" w:cstheme="minorHAnsi"/>
          <w:color w:val="000000"/>
          <w:szCs w:val="22"/>
        </w:rPr>
        <w:t xml:space="preserve">€20.83 being the </w:t>
      </w:r>
      <w:r w:rsidR="00962127" w:rsidRPr="005753F6">
        <w:rPr>
          <w:rFonts w:asciiTheme="minorHAnsi" w:hAnsiTheme="minorHAnsi" w:cstheme="minorHAnsi"/>
          <w:szCs w:val="22"/>
        </w:rPr>
        <w:t>average stock market price ("</w:t>
      </w:r>
      <w:r w:rsidR="00962127" w:rsidRPr="005753F6">
        <w:rPr>
          <w:rFonts w:asciiTheme="minorHAnsi" w:hAnsiTheme="minorHAnsi" w:cstheme="minorHAnsi"/>
          <w:b/>
          <w:szCs w:val="22"/>
        </w:rPr>
        <w:t>VWAP</w:t>
      </w:r>
      <w:r w:rsidR="00962127" w:rsidRPr="005753F6">
        <w:rPr>
          <w:rFonts w:asciiTheme="minorHAnsi" w:hAnsiTheme="minorHAnsi" w:cstheme="minorHAnsi"/>
          <w:szCs w:val="22"/>
        </w:rPr>
        <w:t xml:space="preserve">") for the </w:t>
      </w:r>
      <w:r w:rsidR="00AA271E" w:rsidRPr="005753F6">
        <w:rPr>
          <w:rFonts w:asciiTheme="minorHAnsi" w:hAnsiTheme="minorHAnsi" w:cstheme="minorHAnsi"/>
          <w:szCs w:val="22"/>
        </w:rPr>
        <w:t>Ordinary</w:t>
      </w:r>
      <w:r w:rsidR="00962127" w:rsidRPr="005753F6">
        <w:rPr>
          <w:rFonts w:asciiTheme="minorHAnsi" w:hAnsiTheme="minorHAnsi" w:cstheme="minorHAnsi"/>
          <w:szCs w:val="22"/>
        </w:rPr>
        <w:t xml:space="preserve"> Share during the six months preceding the </w:t>
      </w:r>
      <w:r w:rsidR="00962127" w:rsidRPr="005753F6">
        <w:rPr>
          <w:rFonts w:asciiTheme="minorHAnsi" w:hAnsiTheme="minorHAnsi" w:cstheme="minorHAnsi"/>
          <w:szCs w:val="22"/>
          <w:lang w:val="en-US"/>
        </w:rPr>
        <w:t xml:space="preserve">Date of the Share Exchange </w:t>
      </w:r>
      <w:proofErr w:type="gramStart"/>
      <w:r w:rsidR="00962127" w:rsidRPr="005753F6">
        <w:rPr>
          <w:rFonts w:asciiTheme="minorHAnsi" w:hAnsiTheme="minorHAnsi" w:cstheme="minorHAnsi"/>
          <w:szCs w:val="22"/>
          <w:lang w:val="en-US"/>
        </w:rPr>
        <w:t>Offer</w:t>
      </w:r>
      <w:r w:rsidRPr="005753F6">
        <w:rPr>
          <w:rFonts w:asciiTheme="minorHAnsi" w:hAnsiTheme="minorHAnsi" w:cstheme="minorHAnsi"/>
          <w:bCs/>
          <w:szCs w:val="22"/>
        </w:rPr>
        <w:t>(</w:t>
      </w:r>
      <w:proofErr w:type="gramEnd"/>
      <w:r w:rsidRPr="005753F6">
        <w:rPr>
          <w:rFonts w:asciiTheme="minorHAnsi" w:hAnsiTheme="minorHAnsi" w:cstheme="minorHAnsi"/>
          <w:bCs/>
          <w:szCs w:val="22"/>
        </w:rPr>
        <w:t>the “</w:t>
      </w:r>
      <w:r w:rsidRPr="005753F6">
        <w:rPr>
          <w:rFonts w:asciiTheme="minorHAnsi" w:hAnsiTheme="minorHAnsi" w:cstheme="minorHAnsi"/>
          <w:b/>
          <w:bCs/>
          <w:szCs w:val="22"/>
        </w:rPr>
        <w:t>Ordinary Share Cash Consideration</w:t>
      </w:r>
      <w:r w:rsidRPr="005753F6">
        <w:rPr>
          <w:rFonts w:asciiTheme="minorHAnsi" w:hAnsiTheme="minorHAnsi" w:cstheme="minorHAnsi"/>
          <w:bCs/>
          <w:szCs w:val="22"/>
        </w:rPr>
        <w:t>”); and</w:t>
      </w:r>
    </w:p>
    <w:p w:rsidR="00AE0136" w:rsidRPr="005753F6" w:rsidRDefault="00AE0136" w:rsidP="00AE0136">
      <w:pPr>
        <w:pStyle w:val="a6"/>
        <w:tabs>
          <w:tab w:val="left" w:pos="720"/>
          <w:tab w:val="left" w:pos="1340"/>
        </w:tabs>
        <w:spacing w:after="120" w:line="240" w:lineRule="auto"/>
        <w:ind w:left="1440" w:hanging="720"/>
        <w:rPr>
          <w:rFonts w:asciiTheme="minorHAnsi" w:hAnsiTheme="minorHAnsi" w:cstheme="minorHAnsi"/>
          <w:bCs/>
          <w:szCs w:val="22"/>
        </w:rPr>
      </w:pPr>
      <w:r w:rsidRPr="005753F6">
        <w:rPr>
          <w:rFonts w:asciiTheme="minorHAnsi" w:hAnsiTheme="minorHAnsi" w:cstheme="minorHAnsi"/>
          <w:bCs/>
          <w:szCs w:val="22"/>
        </w:rPr>
        <w:t>(ii)</w:t>
      </w:r>
      <w:r w:rsidRPr="005753F6">
        <w:rPr>
          <w:rFonts w:asciiTheme="minorHAnsi" w:hAnsiTheme="minorHAnsi" w:cstheme="minorHAnsi"/>
          <w:bCs/>
          <w:szCs w:val="22"/>
        </w:rPr>
        <w:tab/>
        <w:t xml:space="preserve"> </w:t>
      </w:r>
      <w:r w:rsidRPr="005753F6">
        <w:rPr>
          <w:rFonts w:asciiTheme="minorHAnsi" w:hAnsiTheme="minorHAnsi" w:cstheme="minorHAnsi"/>
          <w:szCs w:val="22"/>
        </w:rPr>
        <w:tab/>
        <w:t>the remaining holders of Preference Shares to transfer to TITAN Cement International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 xml:space="preserve">all their Preference Shares, </w:t>
      </w:r>
      <w:r w:rsidRPr="005753F6">
        <w:rPr>
          <w:rFonts w:asciiTheme="minorHAnsi" w:hAnsiTheme="minorHAnsi" w:cstheme="minorHAnsi"/>
          <w:szCs w:val="22"/>
          <w:lang w:val="en-US"/>
        </w:rPr>
        <w:t xml:space="preserve">in exchange for, at the election of the relevant holder, </w:t>
      </w:r>
      <w:r w:rsidRPr="005753F6">
        <w:rPr>
          <w:rFonts w:asciiTheme="minorHAnsi" w:hAnsiTheme="minorHAnsi" w:cstheme="minorHAnsi"/>
          <w:szCs w:val="22"/>
          <w:u w:val="single"/>
          <w:lang w:val="en-US"/>
        </w:rPr>
        <w:t>either</w:t>
      </w:r>
      <w:r w:rsidRPr="005753F6">
        <w:rPr>
          <w:rFonts w:asciiTheme="minorHAnsi" w:hAnsiTheme="minorHAnsi" w:cstheme="minorHAnsi"/>
          <w:szCs w:val="22"/>
          <w:lang w:val="en-US"/>
        </w:rPr>
        <w:t xml:space="preserve"> </w:t>
      </w:r>
      <w:r w:rsidRPr="005753F6">
        <w:rPr>
          <w:rFonts w:asciiTheme="minorHAnsi" w:hAnsiTheme="minorHAnsi" w:cstheme="minorHAnsi"/>
          <w:bCs/>
          <w:szCs w:val="22"/>
        </w:rPr>
        <w:t xml:space="preserve">one Consideration Share for each Preference Share, </w:t>
      </w:r>
      <w:r w:rsidRPr="005753F6">
        <w:rPr>
          <w:rFonts w:asciiTheme="minorHAnsi" w:hAnsiTheme="minorHAnsi" w:cstheme="minorHAnsi"/>
          <w:bCs/>
          <w:szCs w:val="22"/>
          <w:u w:val="single"/>
        </w:rPr>
        <w:t>or</w:t>
      </w:r>
      <w:r w:rsidRPr="005753F6">
        <w:rPr>
          <w:rFonts w:asciiTheme="minorHAnsi" w:hAnsiTheme="minorHAnsi" w:cstheme="minorHAnsi"/>
          <w:szCs w:val="22"/>
          <w:lang w:val="en-US"/>
        </w:rPr>
        <w:t xml:space="preserve"> payment of an </w:t>
      </w:r>
      <w:proofErr w:type="gramStart"/>
      <w:r w:rsidRPr="005753F6">
        <w:rPr>
          <w:rFonts w:asciiTheme="minorHAnsi" w:hAnsiTheme="minorHAnsi" w:cstheme="minorHAnsi"/>
          <w:szCs w:val="22"/>
          <w:lang w:val="en-US"/>
        </w:rPr>
        <w:t>amount  in</w:t>
      </w:r>
      <w:proofErr w:type="gramEnd"/>
      <w:r w:rsidRPr="005753F6">
        <w:rPr>
          <w:rFonts w:asciiTheme="minorHAnsi" w:hAnsiTheme="minorHAnsi" w:cstheme="minorHAnsi"/>
          <w:szCs w:val="22"/>
          <w:lang w:val="en-US"/>
        </w:rPr>
        <w:t xml:space="preserve"> cash per </w:t>
      </w:r>
      <w:r w:rsidRPr="005753F6">
        <w:rPr>
          <w:rFonts w:asciiTheme="minorHAnsi" w:hAnsiTheme="minorHAnsi" w:cstheme="minorHAnsi"/>
          <w:bCs/>
          <w:szCs w:val="22"/>
        </w:rPr>
        <w:t>Consideration Share</w:t>
      </w:r>
      <w:r w:rsidRPr="005753F6">
        <w:rPr>
          <w:rFonts w:asciiTheme="minorHAnsi" w:hAnsiTheme="minorHAnsi" w:cstheme="minorHAnsi"/>
          <w:szCs w:val="22"/>
        </w:rPr>
        <w:t xml:space="preserve"> </w:t>
      </w:r>
      <w:r w:rsidR="00AA271E" w:rsidRPr="005753F6">
        <w:rPr>
          <w:rFonts w:asciiTheme="minorHAnsi" w:hAnsiTheme="minorHAnsi" w:cstheme="minorHAnsi"/>
          <w:szCs w:val="22"/>
        </w:rPr>
        <w:t xml:space="preserve">equal to </w:t>
      </w:r>
      <w:r w:rsidR="00AA271E" w:rsidRPr="005753F6">
        <w:rPr>
          <w:rFonts w:asciiTheme="minorHAnsi" w:hAnsiTheme="minorHAnsi" w:cstheme="minorHAnsi"/>
          <w:color w:val="000000"/>
          <w:szCs w:val="22"/>
        </w:rPr>
        <w:t xml:space="preserve">€16.62 being the </w:t>
      </w:r>
      <w:r w:rsidR="00AA271E" w:rsidRPr="005753F6">
        <w:rPr>
          <w:rFonts w:asciiTheme="minorHAnsi" w:hAnsiTheme="minorHAnsi" w:cstheme="minorHAnsi"/>
          <w:szCs w:val="22"/>
        </w:rPr>
        <w:t xml:space="preserve">VWAP for the Preference Share during the six months preceding the </w:t>
      </w:r>
      <w:r w:rsidR="00AA271E" w:rsidRPr="005753F6">
        <w:rPr>
          <w:rFonts w:asciiTheme="minorHAnsi" w:hAnsiTheme="minorHAnsi" w:cstheme="minorHAnsi"/>
          <w:szCs w:val="22"/>
          <w:lang w:val="en-US"/>
        </w:rPr>
        <w:t>Date of the Share Exchange Offer</w:t>
      </w:r>
      <w:r w:rsidR="00AA271E" w:rsidRPr="005753F6">
        <w:rPr>
          <w:rFonts w:asciiTheme="minorHAnsi" w:hAnsiTheme="minorHAnsi" w:cstheme="minorHAnsi"/>
          <w:szCs w:val="22"/>
        </w:rPr>
        <w:t xml:space="preserve"> </w:t>
      </w:r>
      <w:r w:rsidRPr="005753F6">
        <w:rPr>
          <w:rFonts w:asciiTheme="minorHAnsi" w:hAnsiTheme="minorHAnsi" w:cstheme="minorHAnsi"/>
          <w:bCs/>
          <w:szCs w:val="22"/>
        </w:rPr>
        <w:t>(the “</w:t>
      </w:r>
      <w:r w:rsidRPr="005753F6">
        <w:rPr>
          <w:rFonts w:asciiTheme="minorHAnsi" w:hAnsiTheme="minorHAnsi" w:cstheme="minorHAnsi"/>
          <w:b/>
          <w:bCs/>
          <w:szCs w:val="22"/>
        </w:rPr>
        <w:t>Preference Share Cash Consideration</w:t>
      </w:r>
      <w:r w:rsidRPr="005753F6">
        <w:rPr>
          <w:rFonts w:asciiTheme="minorHAnsi" w:hAnsiTheme="minorHAnsi" w:cstheme="minorHAnsi"/>
          <w:bCs/>
          <w:szCs w:val="22"/>
        </w:rPr>
        <w:t>”),</w:t>
      </w:r>
    </w:p>
    <w:p w:rsidR="00AE0136" w:rsidRPr="005753F6" w:rsidRDefault="00AE0136" w:rsidP="00AE0136">
      <w:pPr>
        <w:pStyle w:val="a6"/>
        <w:tabs>
          <w:tab w:val="left" w:pos="720"/>
          <w:tab w:val="left" w:pos="1340"/>
        </w:tabs>
        <w:spacing w:after="120" w:line="240" w:lineRule="auto"/>
        <w:ind w:left="720"/>
        <w:rPr>
          <w:rFonts w:asciiTheme="minorHAnsi" w:hAnsiTheme="minorHAnsi" w:cstheme="minorHAnsi"/>
          <w:szCs w:val="22"/>
        </w:rPr>
      </w:pPr>
      <w:proofErr w:type="gramStart"/>
      <w:r w:rsidRPr="005753F6">
        <w:rPr>
          <w:rFonts w:asciiTheme="minorHAnsi" w:hAnsiTheme="minorHAnsi" w:cstheme="minorHAnsi"/>
          <w:szCs w:val="22"/>
          <w:lang w:val="en-US"/>
        </w:rPr>
        <w:t>in</w:t>
      </w:r>
      <w:proofErr w:type="gramEnd"/>
      <w:r w:rsidRPr="005753F6">
        <w:rPr>
          <w:rFonts w:asciiTheme="minorHAnsi" w:hAnsiTheme="minorHAnsi" w:cstheme="minorHAnsi"/>
          <w:szCs w:val="22"/>
          <w:lang w:val="en-US"/>
        </w:rPr>
        <w:t xml:space="preserve"> each case </w:t>
      </w:r>
      <w:r w:rsidRPr="005753F6">
        <w:rPr>
          <w:rFonts w:asciiTheme="minorHAnsi" w:hAnsiTheme="minorHAnsi" w:cstheme="minorHAnsi"/>
          <w:szCs w:val="22"/>
        </w:rPr>
        <w:t>in accordance with article 27 of the Law and the decision 1/644/2013 of the HCMC (the “</w:t>
      </w:r>
      <w:r w:rsidRPr="005753F6">
        <w:rPr>
          <w:rFonts w:asciiTheme="minorHAnsi" w:hAnsiTheme="minorHAnsi" w:cstheme="minorHAnsi"/>
          <w:b/>
          <w:szCs w:val="22"/>
        </w:rPr>
        <w:t>Right of Squeeze-Out</w:t>
      </w:r>
      <w:r w:rsidRPr="005753F6">
        <w:rPr>
          <w:rFonts w:asciiTheme="minorHAnsi" w:hAnsiTheme="minorHAnsi" w:cstheme="minorHAnsi"/>
          <w:szCs w:val="22"/>
        </w:rPr>
        <w:t>”)</w:t>
      </w:r>
      <w:r w:rsidR="00E63F87" w:rsidRPr="005753F6">
        <w:rPr>
          <w:rFonts w:asciiTheme="minorHAnsi" w:hAnsiTheme="minorHAnsi" w:cstheme="minorHAnsi"/>
          <w:szCs w:val="22"/>
        </w:rPr>
        <w:t>, and</w:t>
      </w:r>
    </w:p>
    <w:p w:rsidR="00AE0136" w:rsidRPr="005753F6" w:rsidRDefault="00AE0136" w:rsidP="00AE0136">
      <w:pPr>
        <w:pStyle w:val="a6"/>
        <w:tabs>
          <w:tab w:val="left" w:pos="720"/>
          <w:tab w:val="left" w:pos="1340"/>
        </w:tabs>
        <w:spacing w:after="120" w:line="240" w:lineRule="auto"/>
        <w:ind w:left="720" w:hanging="720"/>
        <w:rPr>
          <w:rFonts w:asciiTheme="minorHAnsi" w:hAnsiTheme="minorHAnsi" w:cstheme="minorHAnsi"/>
          <w:szCs w:val="22"/>
        </w:rPr>
      </w:pPr>
      <w:r w:rsidRPr="005753F6">
        <w:rPr>
          <w:rFonts w:asciiTheme="minorHAnsi" w:hAnsiTheme="minorHAnsi" w:cstheme="minorHAnsi"/>
          <w:szCs w:val="22"/>
        </w:rPr>
        <w:t>(b)</w:t>
      </w:r>
      <w:r w:rsidRPr="005753F6">
        <w:rPr>
          <w:rFonts w:asciiTheme="minorHAnsi" w:hAnsiTheme="minorHAnsi" w:cstheme="minorHAnsi"/>
          <w:szCs w:val="22"/>
        </w:rPr>
        <w:tab/>
        <w:t>Titan Cement International</w:t>
      </w:r>
      <w:r w:rsidRPr="005753F6">
        <w:rPr>
          <w:rFonts w:asciiTheme="minorHAnsi" w:hAnsiTheme="minorHAnsi" w:cstheme="minorHAnsi"/>
          <w:bCs/>
          <w:szCs w:val="22"/>
          <w:lang w:val="en-US"/>
        </w:rPr>
        <w:t xml:space="preserve"> </w:t>
      </w:r>
      <w:r w:rsidRPr="005753F6">
        <w:rPr>
          <w:rFonts w:asciiTheme="minorHAnsi" w:hAnsiTheme="minorHAnsi" w:cstheme="minorHAnsi"/>
          <w:szCs w:val="22"/>
        </w:rPr>
        <w:t>will have the obligation to acquire all TITAN Shares that are offered to it within a period of three months from the publication of the results of the Share Exchange Offer:</w:t>
      </w:r>
    </w:p>
    <w:p w:rsidR="00AE0136" w:rsidRPr="005753F6" w:rsidRDefault="00AE0136" w:rsidP="00AE0136">
      <w:pPr>
        <w:pStyle w:val="a6"/>
        <w:tabs>
          <w:tab w:val="left" w:pos="720"/>
          <w:tab w:val="left" w:pos="1340"/>
        </w:tabs>
        <w:spacing w:after="120" w:line="240" w:lineRule="auto"/>
        <w:ind w:left="1340" w:hanging="620"/>
        <w:rPr>
          <w:rFonts w:asciiTheme="minorHAnsi" w:hAnsiTheme="minorHAnsi" w:cstheme="minorHAnsi"/>
          <w:szCs w:val="22"/>
        </w:rPr>
      </w:pPr>
      <w:r w:rsidRPr="005753F6">
        <w:rPr>
          <w:rFonts w:asciiTheme="minorHAnsi" w:hAnsiTheme="minorHAnsi" w:cstheme="minorHAnsi"/>
          <w:szCs w:val="22"/>
        </w:rPr>
        <w:t>(i)</w:t>
      </w:r>
      <w:r w:rsidRPr="005753F6">
        <w:rPr>
          <w:rFonts w:asciiTheme="minorHAnsi" w:hAnsiTheme="minorHAnsi" w:cstheme="minorHAnsi"/>
          <w:szCs w:val="22"/>
        </w:rPr>
        <w:tab/>
      </w:r>
      <w:r w:rsidRPr="005753F6">
        <w:rPr>
          <w:rFonts w:asciiTheme="minorHAnsi" w:hAnsiTheme="minorHAnsi" w:cstheme="minorHAnsi"/>
          <w:szCs w:val="22"/>
          <w:u w:val="single"/>
        </w:rPr>
        <w:t>either</w:t>
      </w:r>
      <w:r w:rsidRPr="005753F6">
        <w:rPr>
          <w:rFonts w:asciiTheme="minorHAnsi" w:hAnsiTheme="minorHAnsi" w:cstheme="minorHAnsi"/>
          <w:szCs w:val="22"/>
        </w:rPr>
        <w:t xml:space="preserve"> through on-the-exchange transactions against payment in cash of (x) the Ordinary Share Cash Consideration in respect of the Ordinary Shares or (y) the Preference Share Cash Consideration in respect of the Preference Shares; </w:t>
      </w:r>
    </w:p>
    <w:p w:rsidR="00AE0136" w:rsidRPr="005753F6" w:rsidRDefault="00AE0136" w:rsidP="00AE0136">
      <w:pPr>
        <w:pStyle w:val="a6"/>
        <w:tabs>
          <w:tab w:val="left" w:pos="720"/>
          <w:tab w:val="left" w:pos="1340"/>
        </w:tabs>
        <w:spacing w:after="120" w:line="240" w:lineRule="auto"/>
        <w:ind w:left="1340" w:hanging="620"/>
        <w:rPr>
          <w:rFonts w:asciiTheme="minorHAnsi" w:hAnsiTheme="minorHAnsi" w:cstheme="minorHAnsi"/>
          <w:szCs w:val="22"/>
        </w:rPr>
      </w:pPr>
      <w:r w:rsidRPr="005753F6">
        <w:rPr>
          <w:rFonts w:asciiTheme="minorHAnsi" w:hAnsiTheme="minorHAnsi" w:cstheme="minorHAnsi"/>
          <w:szCs w:val="22"/>
        </w:rPr>
        <w:t>(ii)</w:t>
      </w:r>
      <w:r w:rsidRPr="005753F6">
        <w:rPr>
          <w:rFonts w:asciiTheme="minorHAnsi" w:hAnsiTheme="minorHAnsi" w:cstheme="minorHAnsi"/>
          <w:szCs w:val="22"/>
        </w:rPr>
        <w:tab/>
      </w:r>
      <w:proofErr w:type="gramStart"/>
      <w:r w:rsidR="00E63F87" w:rsidRPr="005753F6">
        <w:rPr>
          <w:rFonts w:asciiTheme="minorHAnsi" w:hAnsiTheme="minorHAnsi" w:cstheme="minorHAnsi"/>
          <w:szCs w:val="22"/>
          <w:u w:val="single"/>
        </w:rPr>
        <w:t>or</w:t>
      </w:r>
      <w:proofErr w:type="gramEnd"/>
      <w:r w:rsidR="00E63F87" w:rsidRPr="005753F6">
        <w:rPr>
          <w:rFonts w:asciiTheme="minorHAnsi" w:hAnsiTheme="minorHAnsi" w:cstheme="minorHAnsi"/>
          <w:szCs w:val="22"/>
        </w:rPr>
        <w:t xml:space="preserve"> </w:t>
      </w:r>
      <w:r w:rsidRPr="005753F6">
        <w:rPr>
          <w:rFonts w:asciiTheme="minorHAnsi" w:hAnsiTheme="minorHAnsi" w:cstheme="minorHAnsi"/>
          <w:szCs w:val="22"/>
        </w:rPr>
        <w:t xml:space="preserve">in either case, by delivery of the Consideration Shares at the Exchange Ratio, </w:t>
      </w:r>
    </w:p>
    <w:p w:rsidR="00AE0136" w:rsidRPr="005753F6" w:rsidRDefault="00AE0136" w:rsidP="00AE0136">
      <w:pPr>
        <w:pStyle w:val="a6"/>
        <w:tabs>
          <w:tab w:val="left" w:pos="720"/>
          <w:tab w:val="left" w:pos="1340"/>
        </w:tabs>
        <w:spacing w:after="120" w:line="240" w:lineRule="auto"/>
        <w:ind w:left="720"/>
        <w:rPr>
          <w:rFonts w:asciiTheme="minorHAnsi" w:hAnsiTheme="minorHAnsi" w:cstheme="minorHAnsi"/>
          <w:szCs w:val="22"/>
        </w:rPr>
      </w:pPr>
      <w:proofErr w:type="gramStart"/>
      <w:r w:rsidRPr="005753F6">
        <w:rPr>
          <w:rFonts w:asciiTheme="minorHAnsi" w:hAnsiTheme="minorHAnsi" w:cstheme="minorHAnsi"/>
          <w:szCs w:val="22"/>
        </w:rPr>
        <w:t>in</w:t>
      </w:r>
      <w:proofErr w:type="gramEnd"/>
      <w:r w:rsidRPr="005753F6">
        <w:rPr>
          <w:rFonts w:asciiTheme="minorHAnsi" w:hAnsiTheme="minorHAnsi" w:cstheme="minorHAnsi"/>
          <w:szCs w:val="22"/>
        </w:rPr>
        <w:t xml:space="preserve"> each case at the election of the relevant holders of TITAN Shares, in accordance with article 28 of the Law and the decision 1/409/2006 of the HCMC (the “</w:t>
      </w:r>
      <w:r w:rsidRPr="005753F6">
        <w:rPr>
          <w:rFonts w:asciiTheme="minorHAnsi" w:hAnsiTheme="minorHAnsi" w:cstheme="minorHAnsi"/>
          <w:b/>
          <w:szCs w:val="22"/>
        </w:rPr>
        <w:t>Right to Sell-Out</w:t>
      </w:r>
      <w:r w:rsidRPr="005753F6">
        <w:rPr>
          <w:rFonts w:asciiTheme="minorHAnsi" w:hAnsiTheme="minorHAnsi" w:cstheme="minorHAnsi"/>
          <w:szCs w:val="22"/>
        </w:rPr>
        <w:t>”).</w:t>
      </w:r>
    </w:p>
    <w:p w:rsidR="00E91505" w:rsidRPr="005753F6" w:rsidRDefault="00E91505" w:rsidP="00E91505">
      <w:pPr>
        <w:pStyle w:val="a6"/>
        <w:tabs>
          <w:tab w:val="left" w:pos="720"/>
          <w:tab w:val="left" w:pos="1340"/>
        </w:tabs>
        <w:spacing w:after="120" w:line="240" w:lineRule="auto"/>
        <w:ind w:left="0"/>
        <w:rPr>
          <w:rFonts w:asciiTheme="minorHAnsi" w:hAnsiTheme="minorHAnsi" w:cstheme="minorHAnsi"/>
          <w:szCs w:val="22"/>
        </w:rPr>
      </w:pPr>
      <w:r w:rsidRPr="005753F6">
        <w:rPr>
          <w:rFonts w:asciiTheme="minorHAnsi" w:hAnsiTheme="minorHAnsi" w:cstheme="minorHAnsi"/>
          <w:szCs w:val="22"/>
        </w:rPr>
        <w:t>Neither TITAN</w:t>
      </w:r>
      <w:r w:rsidRPr="005753F6">
        <w:rPr>
          <w:rFonts w:asciiTheme="minorHAnsi" w:hAnsiTheme="minorHAnsi" w:cstheme="minorHAnsi"/>
          <w:szCs w:val="22"/>
          <w:lang w:val="en-US"/>
        </w:rPr>
        <w:t xml:space="preserve"> </w:t>
      </w:r>
      <w:r w:rsidRPr="005753F6">
        <w:rPr>
          <w:rFonts w:asciiTheme="minorHAnsi" w:hAnsiTheme="minorHAnsi" w:cstheme="minorHAnsi"/>
          <w:szCs w:val="22"/>
        </w:rPr>
        <w:t>Cement</w:t>
      </w:r>
      <w:r w:rsidRPr="005753F6">
        <w:rPr>
          <w:rFonts w:asciiTheme="minorHAnsi" w:hAnsiTheme="minorHAnsi" w:cstheme="minorHAnsi"/>
          <w:szCs w:val="22"/>
          <w:lang w:val="en-US"/>
        </w:rPr>
        <w:t xml:space="preserve"> </w:t>
      </w:r>
      <w:r w:rsidRPr="005753F6">
        <w:rPr>
          <w:rFonts w:asciiTheme="minorHAnsi" w:hAnsiTheme="minorHAnsi" w:cstheme="minorHAnsi"/>
          <w:szCs w:val="22"/>
        </w:rPr>
        <w:t xml:space="preserve">International nor any of the Founders has acquired TITAN Shares during the period of twelve months preceding the </w:t>
      </w:r>
      <w:r w:rsidRPr="005753F6">
        <w:rPr>
          <w:rFonts w:asciiTheme="minorHAnsi" w:hAnsiTheme="minorHAnsi" w:cstheme="minorHAnsi"/>
          <w:szCs w:val="22"/>
          <w:lang w:val="en-US"/>
        </w:rPr>
        <w:t>Date of the Share Exchange Offer.</w:t>
      </w:r>
    </w:p>
    <w:p w:rsidR="00AE0136" w:rsidRPr="005753F6" w:rsidRDefault="009F6BCC" w:rsidP="00AE0136">
      <w:pPr>
        <w:pStyle w:val="a6"/>
        <w:tabs>
          <w:tab w:val="left" w:pos="720"/>
          <w:tab w:val="left" w:pos="1340"/>
        </w:tabs>
        <w:spacing w:after="120" w:line="240" w:lineRule="auto"/>
        <w:ind w:left="0"/>
        <w:rPr>
          <w:rFonts w:asciiTheme="minorHAnsi" w:hAnsiTheme="minorHAnsi" w:cstheme="minorHAnsi"/>
          <w:szCs w:val="22"/>
        </w:rPr>
      </w:pPr>
      <w:r w:rsidRPr="005753F6">
        <w:rPr>
          <w:rFonts w:asciiTheme="minorHAnsi" w:hAnsiTheme="minorHAnsi" w:cstheme="minorHAnsi"/>
          <w:szCs w:val="22"/>
        </w:rPr>
        <w:lastRenderedPageBreak/>
        <w:t>8</w:t>
      </w:r>
      <w:r w:rsidR="00AE0136" w:rsidRPr="005753F6">
        <w:rPr>
          <w:rFonts w:asciiTheme="minorHAnsi" w:hAnsiTheme="minorHAnsi" w:cstheme="minorHAnsi"/>
          <w:szCs w:val="22"/>
        </w:rPr>
        <w:t>.</w:t>
      </w:r>
      <w:r w:rsidR="00AE0136" w:rsidRPr="005753F6">
        <w:rPr>
          <w:rFonts w:asciiTheme="minorHAnsi" w:hAnsiTheme="minorHAnsi" w:cstheme="minorHAnsi"/>
          <w:szCs w:val="22"/>
        </w:rPr>
        <w:tab/>
        <w:t xml:space="preserve">Furthermore, </w:t>
      </w:r>
      <w:r w:rsidR="00215065">
        <w:rPr>
          <w:rFonts w:asciiTheme="minorHAnsi" w:hAnsiTheme="minorHAnsi" w:cstheme="minorHAnsi"/>
          <w:szCs w:val="22"/>
        </w:rPr>
        <w:t>f</w:t>
      </w:r>
      <w:r w:rsidR="00AE0136" w:rsidRPr="005753F6">
        <w:rPr>
          <w:rFonts w:asciiTheme="minorHAnsi" w:hAnsiTheme="minorHAnsi" w:cstheme="minorHAnsi"/>
          <w:szCs w:val="22"/>
        </w:rPr>
        <w:t xml:space="preserve">ollowing completion of the Share Exchange Offer </w:t>
      </w:r>
      <w:r w:rsidR="00746CC5" w:rsidRPr="005753F6">
        <w:rPr>
          <w:rFonts w:asciiTheme="minorHAnsi" w:hAnsiTheme="minorHAnsi" w:cstheme="minorHAnsi"/>
          <w:szCs w:val="22"/>
        </w:rPr>
        <w:t>and/</w:t>
      </w:r>
      <w:r w:rsidR="00AE0136" w:rsidRPr="005753F6">
        <w:rPr>
          <w:rFonts w:asciiTheme="minorHAnsi" w:hAnsiTheme="minorHAnsi" w:cstheme="minorHAnsi"/>
          <w:szCs w:val="22"/>
        </w:rPr>
        <w:t>or the exercise of the Right of Squeeze-out or the Right to Sell-out, TITAN Cement International</w:t>
      </w:r>
      <w:r w:rsidR="00AE0136" w:rsidRPr="005753F6">
        <w:rPr>
          <w:rFonts w:asciiTheme="minorHAnsi" w:hAnsiTheme="minorHAnsi" w:cstheme="minorHAnsi"/>
          <w:bCs/>
          <w:szCs w:val="22"/>
          <w:lang w:val="en-US"/>
        </w:rPr>
        <w:t xml:space="preserve"> </w:t>
      </w:r>
      <w:r w:rsidR="00AE0136" w:rsidRPr="005753F6">
        <w:rPr>
          <w:rFonts w:asciiTheme="minorHAnsi" w:hAnsiTheme="minorHAnsi" w:cstheme="minorHAnsi"/>
          <w:szCs w:val="22"/>
        </w:rPr>
        <w:t>will convene a General Meeting of each of the ordinary and preference shareholders of TITAN to resolve upon the delisting of each class of the TITAN Shares from the ATHEX, in accordance with article 17, paragraph 5 of Law 3371/2005, at which (General Meetings) TITAN Cement International</w:t>
      </w:r>
      <w:r w:rsidR="00AE0136" w:rsidRPr="005753F6">
        <w:rPr>
          <w:rFonts w:asciiTheme="minorHAnsi" w:hAnsiTheme="minorHAnsi" w:cstheme="minorHAnsi"/>
          <w:bCs/>
          <w:szCs w:val="22"/>
          <w:lang w:val="en-US"/>
        </w:rPr>
        <w:t xml:space="preserve"> </w:t>
      </w:r>
      <w:r w:rsidR="00AE0136" w:rsidRPr="005753F6">
        <w:rPr>
          <w:rFonts w:asciiTheme="minorHAnsi" w:hAnsiTheme="minorHAnsi" w:cstheme="minorHAnsi"/>
          <w:szCs w:val="22"/>
        </w:rPr>
        <w:t>will exercise its voting rights in favour of such resolution.</w:t>
      </w:r>
    </w:p>
    <w:p w:rsidR="00AE0136" w:rsidRPr="005753F6" w:rsidRDefault="00AE0136" w:rsidP="00AE0136">
      <w:pPr>
        <w:pStyle w:val="a6"/>
        <w:spacing w:after="120" w:line="240" w:lineRule="auto"/>
        <w:ind w:left="0"/>
        <w:rPr>
          <w:rFonts w:asciiTheme="minorHAnsi" w:hAnsiTheme="minorHAnsi" w:cstheme="minorHAnsi"/>
          <w:szCs w:val="22"/>
        </w:rPr>
      </w:pPr>
      <w:r w:rsidRPr="005753F6">
        <w:rPr>
          <w:rFonts w:asciiTheme="minorHAnsi" w:hAnsiTheme="minorHAnsi" w:cstheme="minorHAnsi"/>
          <w:b/>
          <w:szCs w:val="22"/>
        </w:rPr>
        <w:t xml:space="preserve">Conditions of the Share Exchange Offer </w:t>
      </w:r>
    </w:p>
    <w:p w:rsidR="00AE0136" w:rsidRPr="005753F6" w:rsidRDefault="009F6BCC" w:rsidP="00AE0136">
      <w:pPr>
        <w:pStyle w:val="a6"/>
        <w:spacing w:after="120" w:line="240" w:lineRule="auto"/>
        <w:ind w:left="0"/>
        <w:rPr>
          <w:rFonts w:asciiTheme="minorHAnsi" w:hAnsiTheme="minorHAnsi" w:cstheme="minorHAnsi"/>
          <w:b/>
          <w:szCs w:val="22"/>
        </w:rPr>
      </w:pPr>
      <w:r w:rsidRPr="005753F6">
        <w:rPr>
          <w:rFonts w:asciiTheme="minorHAnsi" w:hAnsiTheme="minorHAnsi" w:cstheme="minorHAnsi"/>
          <w:szCs w:val="22"/>
        </w:rPr>
        <w:t>9</w:t>
      </w:r>
      <w:r w:rsidR="00AE0136" w:rsidRPr="005753F6">
        <w:rPr>
          <w:rFonts w:asciiTheme="minorHAnsi" w:hAnsiTheme="minorHAnsi" w:cstheme="minorHAnsi"/>
          <w:szCs w:val="22"/>
        </w:rPr>
        <w:t>.</w:t>
      </w:r>
      <w:r w:rsidR="00AE0136" w:rsidRPr="005753F6">
        <w:rPr>
          <w:rFonts w:asciiTheme="minorHAnsi" w:hAnsiTheme="minorHAnsi" w:cstheme="minorHAnsi"/>
          <w:szCs w:val="22"/>
        </w:rPr>
        <w:tab/>
        <w:t>The</w:t>
      </w:r>
      <w:r w:rsidR="00AE0136" w:rsidRPr="005753F6">
        <w:rPr>
          <w:rFonts w:asciiTheme="minorHAnsi" w:hAnsiTheme="minorHAnsi" w:cstheme="minorHAnsi"/>
          <w:szCs w:val="22"/>
          <w:lang w:val="en-US"/>
        </w:rPr>
        <w:t xml:space="preserve"> entry into force </w:t>
      </w:r>
      <w:r w:rsidR="00AE0136" w:rsidRPr="005753F6">
        <w:rPr>
          <w:rFonts w:asciiTheme="minorHAnsi" w:hAnsiTheme="minorHAnsi" w:cstheme="minorHAnsi"/>
          <w:szCs w:val="22"/>
        </w:rPr>
        <w:t>of the Share Exchange Offer is subject to the following conditions:</w:t>
      </w:r>
    </w:p>
    <w:p w:rsidR="00AE0136" w:rsidRPr="005753F6" w:rsidRDefault="00AE0136" w:rsidP="00AE0136">
      <w:pPr>
        <w:pStyle w:val="a6"/>
        <w:spacing w:after="120" w:line="240" w:lineRule="auto"/>
        <w:ind w:left="720" w:hanging="720"/>
        <w:rPr>
          <w:rFonts w:asciiTheme="minorHAnsi" w:hAnsiTheme="minorHAnsi" w:cstheme="minorHAnsi"/>
          <w:szCs w:val="22"/>
        </w:rPr>
      </w:pPr>
      <w:r w:rsidRPr="005753F6">
        <w:rPr>
          <w:rFonts w:asciiTheme="minorHAnsi" w:hAnsiTheme="minorHAnsi" w:cstheme="minorHAnsi"/>
          <w:szCs w:val="22"/>
        </w:rPr>
        <w:t>(a)</w:t>
      </w:r>
      <w:r w:rsidRPr="005753F6">
        <w:rPr>
          <w:rFonts w:asciiTheme="minorHAnsi" w:hAnsiTheme="minorHAnsi" w:cstheme="minorHAnsi"/>
          <w:szCs w:val="22"/>
        </w:rPr>
        <w:tab/>
      </w:r>
      <w:proofErr w:type="gramStart"/>
      <w:r w:rsidRPr="005753F6">
        <w:rPr>
          <w:rFonts w:asciiTheme="minorHAnsi" w:hAnsiTheme="minorHAnsi" w:cstheme="minorHAnsi"/>
          <w:szCs w:val="22"/>
        </w:rPr>
        <w:t>the</w:t>
      </w:r>
      <w:proofErr w:type="gramEnd"/>
      <w:r w:rsidRPr="005753F6">
        <w:rPr>
          <w:rFonts w:asciiTheme="minorHAnsi" w:hAnsiTheme="minorHAnsi" w:cstheme="minorHAnsi"/>
          <w:szCs w:val="22"/>
        </w:rPr>
        <w:t xml:space="preserve"> approval of the Prospectus by FSMA</w:t>
      </w:r>
      <w:r w:rsidRPr="005753F6">
        <w:rPr>
          <w:rFonts w:asciiTheme="minorHAnsi" w:hAnsiTheme="minorHAnsi" w:cstheme="minorHAnsi"/>
          <w:szCs w:val="22"/>
          <w:lang w:val="en-US"/>
        </w:rPr>
        <w:t xml:space="preserve"> and</w:t>
      </w:r>
      <w:r w:rsidRPr="005753F6">
        <w:rPr>
          <w:rFonts w:asciiTheme="minorHAnsi" w:hAnsiTheme="minorHAnsi" w:cstheme="minorHAnsi"/>
          <w:szCs w:val="22"/>
        </w:rPr>
        <w:t xml:space="preserve"> the approved Prospectus having been </w:t>
      </w:r>
      <w:proofErr w:type="spellStart"/>
      <w:r w:rsidRPr="005753F6">
        <w:rPr>
          <w:rFonts w:asciiTheme="minorHAnsi" w:hAnsiTheme="minorHAnsi" w:cstheme="minorHAnsi"/>
          <w:szCs w:val="22"/>
        </w:rPr>
        <w:t>passported</w:t>
      </w:r>
      <w:proofErr w:type="spellEnd"/>
      <w:r w:rsidRPr="005753F6">
        <w:rPr>
          <w:rFonts w:asciiTheme="minorHAnsi" w:hAnsiTheme="minorHAnsi" w:cstheme="minorHAnsi"/>
          <w:szCs w:val="22"/>
        </w:rPr>
        <w:t xml:space="preserve"> </w:t>
      </w:r>
      <w:r w:rsidR="00086592" w:rsidRPr="005753F6">
        <w:rPr>
          <w:rFonts w:asciiTheme="minorHAnsi" w:hAnsiTheme="minorHAnsi" w:cstheme="minorHAnsi"/>
          <w:szCs w:val="22"/>
        </w:rPr>
        <w:t>and notified to HCMC</w:t>
      </w:r>
      <w:r w:rsidRPr="005753F6">
        <w:rPr>
          <w:rFonts w:asciiTheme="minorHAnsi" w:hAnsiTheme="minorHAnsi" w:cstheme="minorHAnsi"/>
          <w:szCs w:val="22"/>
        </w:rPr>
        <w:t xml:space="preserve">; and </w:t>
      </w:r>
    </w:p>
    <w:p w:rsidR="00AE0136" w:rsidRPr="005753F6" w:rsidRDefault="00AE0136" w:rsidP="00AE0136">
      <w:pPr>
        <w:pStyle w:val="a6"/>
        <w:spacing w:after="120" w:line="240" w:lineRule="auto"/>
        <w:ind w:left="720" w:hanging="720"/>
        <w:rPr>
          <w:rFonts w:asciiTheme="minorHAnsi" w:hAnsiTheme="minorHAnsi" w:cstheme="minorHAnsi"/>
          <w:b/>
          <w:szCs w:val="22"/>
        </w:rPr>
      </w:pPr>
      <w:r w:rsidRPr="005753F6">
        <w:rPr>
          <w:rFonts w:asciiTheme="minorHAnsi" w:hAnsiTheme="minorHAnsi" w:cstheme="minorHAnsi"/>
          <w:szCs w:val="22"/>
        </w:rPr>
        <w:t>(b)</w:t>
      </w:r>
      <w:r w:rsidRPr="005753F6">
        <w:rPr>
          <w:rFonts w:asciiTheme="minorHAnsi" w:hAnsiTheme="minorHAnsi" w:cstheme="minorHAnsi"/>
          <w:szCs w:val="22"/>
        </w:rPr>
        <w:tab/>
      </w:r>
      <w:proofErr w:type="gramStart"/>
      <w:r w:rsidRPr="005753F6">
        <w:rPr>
          <w:rFonts w:asciiTheme="minorHAnsi" w:hAnsiTheme="minorHAnsi" w:cstheme="minorHAnsi"/>
          <w:szCs w:val="22"/>
        </w:rPr>
        <w:t>the</w:t>
      </w:r>
      <w:proofErr w:type="gramEnd"/>
      <w:r w:rsidRPr="005753F6">
        <w:rPr>
          <w:rFonts w:asciiTheme="minorHAnsi" w:hAnsiTheme="minorHAnsi" w:cstheme="minorHAnsi"/>
          <w:szCs w:val="22"/>
        </w:rPr>
        <w:t xml:space="preserve"> approval of the Information Circular by the HCMC.</w:t>
      </w:r>
    </w:p>
    <w:p w:rsidR="00AE0136" w:rsidRPr="005753F6" w:rsidRDefault="009F6BCC" w:rsidP="00AE0136">
      <w:pPr>
        <w:tabs>
          <w:tab w:val="left" w:pos="720"/>
        </w:tabs>
        <w:spacing w:after="120"/>
        <w:jc w:val="both"/>
        <w:rPr>
          <w:rFonts w:asciiTheme="minorHAnsi" w:hAnsiTheme="minorHAnsi" w:cstheme="minorHAnsi"/>
          <w:bCs/>
          <w:sz w:val="22"/>
          <w:szCs w:val="22"/>
        </w:rPr>
      </w:pPr>
      <w:r w:rsidRPr="005753F6">
        <w:rPr>
          <w:rFonts w:asciiTheme="minorHAnsi" w:hAnsiTheme="minorHAnsi" w:cstheme="minorHAnsi"/>
          <w:sz w:val="22"/>
          <w:szCs w:val="22"/>
          <w:lang w:val="en-US"/>
        </w:rPr>
        <w:t>10</w:t>
      </w:r>
      <w:r w:rsidR="00AE0136" w:rsidRPr="005753F6">
        <w:rPr>
          <w:rFonts w:asciiTheme="minorHAnsi" w:hAnsiTheme="minorHAnsi" w:cstheme="minorHAnsi"/>
          <w:sz w:val="22"/>
          <w:szCs w:val="22"/>
          <w:lang w:val="en-US"/>
        </w:rPr>
        <w:t>.</w:t>
      </w:r>
      <w:r w:rsidR="00AE0136" w:rsidRPr="005753F6">
        <w:rPr>
          <w:rFonts w:asciiTheme="minorHAnsi" w:hAnsiTheme="minorHAnsi" w:cstheme="minorHAnsi"/>
          <w:sz w:val="22"/>
          <w:szCs w:val="22"/>
          <w:lang w:val="en-US"/>
        </w:rPr>
        <w:tab/>
        <w:t>Completion</w:t>
      </w:r>
      <w:r w:rsidR="00AE0136" w:rsidRPr="005753F6">
        <w:rPr>
          <w:rFonts w:asciiTheme="minorHAnsi" w:hAnsiTheme="minorHAnsi" w:cstheme="minorHAnsi"/>
          <w:sz w:val="22"/>
          <w:szCs w:val="22"/>
        </w:rPr>
        <w:t xml:space="preserve"> of the Share Exchange Offer is subject to the satisfaction of the Condition.</w:t>
      </w:r>
    </w:p>
    <w:p w:rsidR="00AE0136" w:rsidRPr="005753F6" w:rsidRDefault="00AE0136" w:rsidP="00AE0136">
      <w:pPr>
        <w:pStyle w:val="a6"/>
        <w:tabs>
          <w:tab w:val="left" w:pos="709"/>
        </w:tabs>
        <w:spacing w:after="120" w:line="240" w:lineRule="auto"/>
        <w:ind w:left="0"/>
        <w:rPr>
          <w:rFonts w:asciiTheme="minorHAnsi" w:hAnsiTheme="minorHAnsi" w:cstheme="minorHAnsi"/>
          <w:szCs w:val="22"/>
        </w:rPr>
      </w:pPr>
      <w:r w:rsidRPr="005753F6">
        <w:rPr>
          <w:rFonts w:asciiTheme="minorHAnsi" w:hAnsiTheme="minorHAnsi" w:cstheme="minorHAnsi"/>
          <w:bCs/>
          <w:szCs w:val="22"/>
        </w:rPr>
        <w:t xml:space="preserve">Moreover, the effectiveness of the Share Exchange Offer is </w:t>
      </w:r>
      <w:r w:rsidRPr="005753F6">
        <w:rPr>
          <w:rFonts w:asciiTheme="minorHAnsi" w:hAnsiTheme="minorHAnsi" w:cstheme="minorHAnsi"/>
          <w:szCs w:val="22"/>
        </w:rPr>
        <w:t>subject to the pre-requisite that, as at the end of the Acceptance Period, at least the Minimum Number of Shares will have been lawfully and validly tendered to TITAN Cement International, namely at least (i)</w:t>
      </w:r>
      <w:r w:rsidRPr="005753F6">
        <w:rPr>
          <w:rFonts w:asciiTheme="minorHAnsi" w:hAnsiTheme="minorHAnsi" w:cstheme="minorHAnsi"/>
          <w:szCs w:val="22"/>
          <w:lang w:val="en-US"/>
        </w:rPr>
        <w:t xml:space="preserve"> </w:t>
      </w:r>
      <w:r w:rsidRPr="005753F6">
        <w:rPr>
          <w:rFonts w:asciiTheme="minorHAnsi" w:hAnsiTheme="minorHAnsi" w:cstheme="minorHAnsi"/>
          <w:szCs w:val="22"/>
        </w:rPr>
        <w:t xml:space="preserve">69,357,212 Ordinary Shares, corresponding to 90% of TITAN’s ordinary share capital and voting rights, and (ii) </w:t>
      </w:r>
      <w:r w:rsidRPr="005753F6">
        <w:rPr>
          <w:rFonts w:asciiTheme="minorHAnsi" w:hAnsiTheme="minorHAnsi" w:cstheme="minorHAnsi"/>
          <w:szCs w:val="22"/>
          <w:lang w:val="en-US"/>
        </w:rPr>
        <w:t>6,812,064</w:t>
      </w:r>
      <w:r w:rsidRPr="005753F6">
        <w:rPr>
          <w:rFonts w:asciiTheme="minorHAnsi" w:hAnsiTheme="minorHAnsi" w:cstheme="minorHAnsi"/>
          <w:szCs w:val="22"/>
        </w:rPr>
        <w:t xml:space="preserve"> Preference Shares, corresponding to 90% of TITAN’s preference share capital. </w:t>
      </w:r>
    </w:p>
    <w:p w:rsidR="00AE0136" w:rsidRPr="005753F6" w:rsidRDefault="00AE0136" w:rsidP="00AE0136">
      <w:pPr>
        <w:pStyle w:val="a6"/>
        <w:tabs>
          <w:tab w:val="left" w:pos="709"/>
        </w:tabs>
        <w:spacing w:after="120" w:line="240" w:lineRule="auto"/>
        <w:ind w:left="0"/>
        <w:rPr>
          <w:rFonts w:asciiTheme="minorHAnsi" w:hAnsiTheme="minorHAnsi" w:cstheme="minorHAnsi"/>
          <w:szCs w:val="22"/>
        </w:rPr>
      </w:pPr>
      <w:r w:rsidRPr="005753F6">
        <w:rPr>
          <w:rFonts w:asciiTheme="minorHAnsi" w:hAnsiTheme="minorHAnsi" w:cstheme="minorHAnsi"/>
          <w:szCs w:val="22"/>
        </w:rPr>
        <w:t xml:space="preserve">If either (i) the above pre-requisite of the Minimum Number of Shares or (ii) the Condition is not satisfied or waived as at the end of the Acceptance Period, the Share Exchange Offer will </w:t>
      </w:r>
      <w:r w:rsidRPr="005753F6">
        <w:rPr>
          <w:rFonts w:asciiTheme="minorHAnsi" w:hAnsiTheme="minorHAnsi" w:cstheme="minorHAnsi"/>
          <w:i/>
          <w:iCs/>
          <w:szCs w:val="22"/>
        </w:rPr>
        <w:t>ipso jure</w:t>
      </w:r>
      <w:r w:rsidRPr="005753F6">
        <w:rPr>
          <w:rFonts w:asciiTheme="minorHAnsi" w:hAnsiTheme="minorHAnsi" w:cstheme="minorHAnsi"/>
          <w:szCs w:val="22"/>
        </w:rPr>
        <w:t xml:space="preserve"> lapse, namely it will have no legal effect, and Tendered Shares will be returned to their holders.</w:t>
      </w:r>
    </w:p>
    <w:p w:rsidR="003E7326" w:rsidRPr="005753F6" w:rsidRDefault="009F6BCC" w:rsidP="003E7326">
      <w:pPr>
        <w:pStyle w:val="a6"/>
        <w:spacing w:after="120" w:line="240" w:lineRule="auto"/>
        <w:ind w:left="0"/>
        <w:rPr>
          <w:rFonts w:asciiTheme="minorHAnsi" w:hAnsiTheme="minorHAnsi" w:cstheme="minorHAnsi"/>
          <w:szCs w:val="22"/>
        </w:rPr>
      </w:pPr>
      <w:r w:rsidRPr="005753F6">
        <w:rPr>
          <w:rFonts w:asciiTheme="minorHAnsi" w:hAnsiTheme="minorHAnsi" w:cstheme="minorHAnsi"/>
          <w:szCs w:val="22"/>
        </w:rPr>
        <w:t>11</w:t>
      </w:r>
      <w:r w:rsidR="003E7326" w:rsidRPr="005753F6">
        <w:rPr>
          <w:rFonts w:asciiTheme="minorHAnsi" w:hAnsiTheme="minorHAnsi" w:cstheme="minorHAnsi"/>
          <w:szCs w:val="22"/>
        </w:rPr>
        <w:tab/>
        <w:t>TITAN</w:t>
      </w:r>
      <w:r w:rsidR="003E7326" w:rsidRPr="005753F6">
        <w:rPr>
          <w:rFonts w:asciiTheme="minorHAnsi" w:hAnsiTheme="minorHAnsi" w:cstheme="minorHAnsi"/>
          <w:szCs w:val="22"/>
          <w:lang w:val="en-US"/>
        </w:rPr>
        <w:t xml:space="preserve"> </w:t>
      </w:r>
      <w:r w:rsidR="003E7326" w:rsidRPr="005753F6">
        <w:rPr>
          <w:rFonts w:asciiTheme="minorHAnsi" w:hAnsiTheme="minorHAnsi" w:cstheme="minorHAnsi"/>
          <w:szCs w:val="22"/>
        </w:rPr>
        <w:t>Cement</w:t>
      </w:r>
      <w:r w:rsidR="003E7326" w:rsidRPr="005753F6">
        <w:rPr>
          <w:rFonts w:asciiTheme="minorHAnsi" w:hAnsiTheme="minorHAnsi" w:cstheme="minorHAnsi"/>
          <w:szCs w:val="22"/>
          <w:lang w:val="en-US"/>
        </w:rPr>
        <w:t xml:space="preserve"> </w:t>
      </w:r>
      <w:r w:rsidR="003E7326" w:rsidRPr="005753F6">
        <w:rPr>
          <w:rFonts w:asciiTheme="minorHAnsi" w:hAnsiTheme="minorHAnsi" w:cstheme="minorHAnsi"/>
          <w:szCs w:val="22"/>
        </w:rPr>
        <w:t>International will not acquire any TITAN Shares until the end of the Acceptance Period.</w:t>
      </w:r>
    </w:p>
    <w:p w:rsidR="00AE0136" w:rsidRPr="005753F6" w:rsidRDefault="00AE0136" w:rsidP="00AE0136">
      <w:pPr>
        <w:pStyle w:val="a6"/>
        <w:keepNext/>
        <w:keepLines/>
        <w:tabs>
          <w:tab w:val="left" w:pos="720"/>
        </w:tabs>
        <w:spacing w:after="120" w:line="240" w:lineRule="auto"/>
        <w:ind w:left="0"/>
        <w:rPr>
          <w:rFonts w:asciiTheme="minorHAnsi" w:hAnsiTheme="minorHAnsi" w:cstheme="minorHAnsi"/>
          <w:b/>
          <w:szCs w:val="22"/>
        </w:rPr>
      </w:pPr>
      <w:r w:rsidRPr="005753F6">
        <w:rPr>
          <w:rFonts w:asciiTheme="minorHAnsi" w:hAnsiTheme="minorHAnsi" w:cstheme="minorHAnsi"/>
          <w:b/>
          <w:szCs w:val="22"/>
        </w:rPr>
        <w:t xml:space="preserve">Financial Advisor/Listing Agent of </w:t>
      </w:r>
      <w:r w:rsidRPr="005753F6">
        <w:rPr>
          <w:rFonts w:asciiTheme="minorHAnsi" w:hAnsiTheme="minorHAnsi" w:cstheme="minorHAnsi"/>
          <w:b/>
          <w:bCs/>
          <w:szCs w:val="22"/>
          <w:lang w:val="en-US"/>
        </w:rPr>
        <w:t>TITAN Cement International</w:t>
      </w:r>
      <w:r w:rsidRPr="005753F6">
        <w:rPr>
          <w:rFonts w:asciiTheme="minorHAnsi" w:hAnsiTheme="minorHAnsi" w:cstheme="minorHAnsi"/>
          <w:b/>
          <w:szCs w:val="22"/>
        </w:rPr>
        <w:t xml:space="preserve"> </w:t>
      </w:r>
    </w:p>
    <w:p w:rsidR="00AE0136" w:rsidRPr="005753F6" w:rsidRDefault="009F6BCC" w:rsidP="00AE0136">
      <w:pPr>
        <w:pStyle w:val="a6"/>
        <w:tabs>
          <w:tab w:val="left" w:pos="720"/>
        </w:tabs>
        <w:spacing w:after="120" w:line="240" w:lineRule="auto"/>
        <w:ind w:left="0"/>
        <w:rPr>
          <w:rFonts w:asciiTheme="minorHAnsi" w:hAnsiTheme="minorHAnsi" w:cstheme="minorHAnsi"/>
          <w:szCs w:val="22"/>
        </w:rPr>
      </w:pPr>
      <w:r w:rsidRPr="005753F6">
        <w:rPr>
          <w:rFonts w:asciiTheme="minorHAnsi" w:hAnsiTheme="minorHAnsi" w:cstheme="minorHAnsi"/>
          <w:szCs w:val="22"/>
        </w:rPr>
        <w:t>12</w:t>
      </w:r>
      <w:r w:rsidR="00AE0136" w:rsidRPr="005753F6">
        <w:rPr>
          <w:rFonts w:asciiTheme="minorHAnsi" w:hAnsiTheme="minorHAnsi" w:cstheme="minorHAnsi"/>
          <w:szCs w:val="22"/>
        </w:rPr>
        <w:t>.</w:t>
      </w:r>
      <w:r w:rsidR="00AE0136" w:rsidRPr="005753F6">
        <w:rPr>
          <w:rFonts w:asciiTheme="minorHAnsi" w:hAnsiTheme="minorHAnsi" w:cstheme="minorHAnsi"/>
          <w:szCs w:val="22"/>
        </w:rPr>
        <w:tab/>
      </w:r>
      <w:r w:rsidR="00AE0136" w:rsidRPr="005753F6">
        <w:rPr>
          <w:rFonts w:asciiTheme="minorHAnsi" w:hAnsiTheme="minorHAnsi" w:cstheme="minorHAnsi"/>
          <w:szCs w:val="22"/>
          <w:lang w:val="en-US"/>
        </w:rPr>
        <w:t xml:space="preserve">HSBC France,  </w:t>
      </w:r>
      <w:r w:rsidR="00AE0136" w:rsidRPr="005753F6">
        <w:rPr>
          <w:rFonts w:asciiTheme="minorHAnsi" w:hAnsiTheme="minorHAnsi" w:cstheme="minorHAnsi"/>
          <w:szCs w:val="22"/>
        </w:rPr>
        <w:t xml:space="preserve">a credit institution and investment firm licensed by the </w:t>
      </w:r>
      <w:proofErr w:type="spellStart"/>
      <w:r w:rsidR="00AE0136" w:rsidRPr="005753F6">
        <w:rPr>
          <w:rFonts w:asciiTheme="minorHAnsi" w:hAnsiTheme="minorHAnsi" w:cstheme="minorHAnsi"/>
          <w:szCs w:val="22"/>
        </w:rPr>
        <w:t>Autorité</w:t>
      </w:r>
      <w:proofErr w:type="spellEnd"/>
      <w:r w:rsidR="00AE0136" w:rsidRPr="005753F6">
        <w:rPr>
          <w:rFonts w:asciiTheme="minorHAnsi" w:hAnsiTheme="minorHAnsi" w:cstheme="minorHAnsi"/>
          <w:szCs w:val="22"/>
        </w:rPr>
        <w:t xml:space="preserve"> de </w:t>
      </w:r>
      <w:proofErr w:type="spellStart"/>
      <w:r w:rsidR="00AE0136" w:rsidRPr="005753F6">
        <w:rPr>
          <w:rFonts w:asciiTheme="minorHAnsi" w:hAnsiTheme="minorHAnsi" w:cstheme="minorHAnsi"/>
          <w:szCs w:val="22"/>
        </w:rPr>
        <w:t>Contrôle</w:t>
      </w:r>
      <w:proofErr w:type="spellEnd"/>
      <w:r w:rsidR="00AE0136" w:rsidRPr="005753F6">
        <w:rPr>
          <w:rFonts w:asciiTheme="minorHAnsi" w:hAnsiTheme="minorHAnsi" w:cstheme="minorHAnsi"/>
          <w:szCs w:val="22"/>
        </w:rPr>
        <w:t xml:space="preserve"> </w:t>
      </w:r>
      <w:proofErr w:type="spellStart"/>
      <w:r w:rsidR="00AE0136" w:rsidRPr="005753F6">
        <w:rPr>
          <w:rFonts w:asciiTheme="minorHAnsi" w:hAnsiTheme="minorHAnsi" w:cstheme="minorHAnsi"/>
          <w:szCs w:val="22"/>
        </w:rPr>
        <w:t>Prudentiel</w:t>
      </w:r>
      <w:proofErr w:type="spellEnd"/>
      <w:r w:rsidR="00AE0136" w:rsidRPr="005753F6">
        <w:rPr>
          <w:rFonts w:asciiTheme="minorHAnsi" w:hAnsiTheme="minorHAnsi" w:cstheme="minorHAnsi"/>
          <w:szCs w:val="22"/>
        </w:rPr>
        <w:t xml:space="preserve"> et de </w:t>
      </w:r>
      <w:proofErr w:type="spellStart"/>
      <w:r w:rsidR="00AE0136" w:rsidRPr="005753F6">
        <w:rPr>
          <w:rFonts w:asciiTheme="minorHAnsi" w:hAnsiTheme="minorHAnsi" w:cstheme="minorHAnsi"/>
          <w:szCs w:val="22"/>
        </w:rPr>
        <w:t>Résolution</w:t>
      </w:r>
      <w:proofErr w:type="spellEnd"/>
      <w:r w:rsidR="00AE0136" w:rsidRPr="005753F6">
        <w:rPr>
          <w:rFonts w:asciiTheme="minorHAnsi" w:hAnsiTheme="minorHAnsi" w:cstheme="minorHAnsi"/>
          <w:szCs w:val="22"/>
        </w:rPr>
        <w:t xml:space="preserve"> (ACPR) regulated by the </w:t>
      </w:r>
      <w:proofErr w:type="spellStart"/>
      <w:r w:rsidR="00AE0136" w:rsidRPr="005753F6">
        <w:rPr>
          <w:rFonts w:asciiTheme="minorHAnsi" w:hAnsiTheme="minorHAnsi" w:cstheme="minorHAnsi"/>
          <w:szCs w:val="22"/>
        </w:rPr>
        <w:t>Autorité</w:t>
      </w:r>
      <w:proofErr w:type="spellEnd"/>
      <w:r w:rsidR="00AE0136" w:rsidRPr="005753F6">
        <w:rPr>
          <w:rFonts w:asciiTheme="minorHAnsi" w:hAnsiTheme="minorHAnsi" w:cstheme="minorHAnsi"/>
          <w:szCs w:val="22"/>
        </w:rPr>
        <w:t xml:space="preserve"> des </w:t>
      </w:r>
      <w:proofErr w:type="spellStart"/>
      <w:r w:rsidR="00AE0136" w:rsidRPr="005753F6">
        <w:rPr>
          <w:rFonts w:asciiTheme="minorHAnsi" w:hAnsiTheme="minorHAnsi" w:cstheme="minorHAnsi"/>
          <w:szCs w:val="22"/>
        </w:rPr>
        <w:t>marchés</w:t>
      </w:r>
      <w:proofErr w:type="spellEnd"/>
      <w:r w:rsidR="00AE0136" w:rsidRPr="005753F6">
        <w:rPr>
          <w:rFonts w:asciiTheme="minorHAnsi" w:hAnsiTheme="minorHAnsi" w:cstheme="minorHAnsi"/>
          <w:szCs w:val="22"/>
        </w:rPr>
        <w:t xml:space="preserve"> financiers and the ACPR, </w:t>
      </w:r>
      <w:r w:rsidR="00AE0136" w:rsidRPr="005753F6">
        <w:rPr>
          <w:rFonts w:asciiTheme="minorHAnsi" w:hAnsiTheme="minorHAnsi" w:cstheme="minorHAnsi"/>
          <w:szCs w:val="22"/>
          <w:lang w:val="en-US"/>
        </w:rPr>
        <w:t>supervised</w:t>
      </w:r>
      <w:r w:rsidR="00AE0136" w:rsidRPr="005753F6" w:rsidDel="0049168F">
        <w:rPr>
          <w:rFonts w:asciiTheme="minorHAnsi" w:hAnsiTheme="minorHAnsi" w:cstheme="minorHAnsi"/>
          <w:szCs w:val="22"/>
        </w:rPr>
        <w:t xml:space="preserve"> </w:t>
      </w:r>
      <w:r w:rsidR="00AE0136" w:rsidRPr="005753F6">
        <w:rPr>
          <w:rFonts w:asciiTheme="minorHAnsi" w:hAnsiTheme="minorHAnsi" w:cstheme="minorHAnsi"/>
          <w:szCs w:val="22"/>
        </w:rPr>
        <w:t xml:space="preserve"> by the European Central Bank, and authorized under the E.U. Directive 2014/65/EU to provide in Greece the services referred to in items (6) and (7) of Annex I to Law 4514/2018, acts for </w:t>
      </w:r>
      <w:r w:rsidR="00AE0136" w:rsidRPr="005753F6">
        <w:rPr>
          <w:rFonts w:asciiTheme="minorHAnsi" w:hAnsiTheme="minorHAnsi" w:cstheme="minorHAnsi"/>
          <w:bCs/>
          <w:szCs w:val="22"/>
          <w:lang w:val="en-US"/>
        </w:rPr>
        <w:t>TITAN Cement International</w:t>
      </w:r>
      <w:r w:rsidR="00AE0136" w:rsidRPr="005753F6">
        <w:rPr>
          <w:rFonts w:asciiTheme="minorHAnsi" w:hAnsiTheme="minorHAnsi" w:cstheme="minorHAnsi"/>
          <w:szCs w:val="22"/>
        </w:rPr>
        <w:t xml:space="preserve"> as (i) its exclusive advisor</w:t>
      </w:r>
      <w:r w:rsidR="00AE0136" w:rsidRPr="005753F6">
        <w:rPr>
          <w:rFonts w:asciiTheme="minorHAnsi" w:hAnsiTheme="minorHAnsi" w:cstheme="minorHAnsi"/>
          <w:bCs/>
          <w:szCs w:val="22"/>
          <w:lang w:val="en-US"/>
        </w:rPr>
        <w:t xml:space="preserve"> </w:t>
      </w:r>
      <w:r w:rsidR="00AE0136" w:rsidRPr="005753F6">
        <w:rPr>
          <w:rFonts w:asciiTheme="minorHAnsi" w:hAnsiTheme="minorHAnsi" w:cstheme="minorHAnsi"/>
          <w:szCs w:val="22"/>
        </w:rPr>
        <w:t>in respect of the Share Exchange Offer, in accordance with article 12 of the Law (the “</w:t>
      </w:r>
      <w:r w:rsidR="00AE0136" w:rsidRPr="005753F6">
        <w:rPr>
          <w:rFonts w:asciiTheme="minorHAnsi" w:hAnsiTheme="minorHAnsi" w:cstheme="minorHAnsi"/>
          <w:b/>
          <w:szCs w:val="22"/>
        </w:rPr>
        <w:t>Advisor</w:t>
      </w:r>
      <w:r w:rsidR="00AE0136" w:rsidRPr="005753F6">
        <w:rPr>
          <w:rFonts w:asciiTheme="minorHAnsi" w:hAnsiTheme="minorHAnsi" w:cstheme="minorHAnsi"/>
          <w:szCs w:val="22"/>
        </w:rPr>
        <w:t>”), and (ii) its exclusive listing agent in connection with the secondary listing and admission to trading of all its shares on the ATHEX. In addition,</w:t>
      </w:r>
      <w:r w:rsidR="00AE0136" w:rsidRPr="005753F6">
        <w:rPr>
          <w:rFonts w:asciiTheme="minorHAnsi" w:hAnsiTheme="minorHAnsi" w:cstheme="minorHAnsi"/>
          <w:szCs w:val="22"/>
          <w:lang w:val="en-US"/>
        </w:rPr>
        <w:t xml:space="preserve"> HSBC Bank plc (together with the Advisor, “</w:t>
      </w:r>
      <w:r w:rsidR="00AE0136" w:rsidRPr="005753F6">
        <w:rPr>
          <w:rFonts w:asciiTheme="minorHAnsi" w:hAnsiTheme="minorHAnsi" w:cstheme="minorHAnsi"/>
          <w:b/>
          <w:szCs w:val="22"/>
          <w:lang w:val="en-US"/>
        </w:rPr>
        <w:t>HSBC</w:t>
      </w:r>
      <w:r w:rsidR="00AE0136" w:rsidRPr="005753F6">
        <w:rPr>
          <w:rFonts w:asciiTheme="minorHAnsi" w:hAnsiTheme="minorHAnsi" w:cstheme="minorHAnsi"/>
          <w:szCs w:val="22"/>
          <w:lang w:val="en-US"/>
        </w:rPr>
        <w:t>”) also acts as exclusive listing agent of Titan Cement International on Euronext Brussels and Paris.</w:t>
      </w:r>
      <w:r w:rsidR="00AE0136" w:rsidRPr="005753F6">
        <w:rPr>
          <w:rFonts w:asciiTheme="minorHAnsi" w:hAnsiTheme="minorHAnsi" w:cstheme="minorHAnsi"/>
          <w:szCs w:val="22"/>
        </w:rPr>
        <w:t xml:space="preserve">  </w:t>
      </w:r>
    </w:p>
    <w:p w:rsidR="00AE0136" w:rsidRPr="005753F6" w:rsidRDefault="00AE0136" w:rsidP="00AE0136">
      <w:pPr>
        <w:pStyle w:val="a6"/>
        <w:tabs>
          <w:tab w:val="left" w:pos="720"/>
        </w:tabs>
        <w:spacing w:after="120" w:line="240" w:lineRule="auto"/>
        <w:ind w:left="0"/>
        <w:rPr>
          <w:rFonts w:asciiTheme="minorHAnsi" w:hAnsiTheme="minorHAnsi" w:cstheme="minorHAnsi"/>
          <w:szCs w:val="22"/>
        </w:rPr>
      </w:pPr>
      <w:r w:rsidRPr="005753F6">
        <w:rPr>
          <w:rFonts w:asciiTheme="minorHAnsi" w:hAnsiTheme="minorHAnsi" w:cstheme="minorHAnsi"/>
          <w:szCs w:val="22"/>
        </w:rPr>
        <w:t xml:space="preserve">The Advisor has also certified </w:t>
      </w:r>
      <w:r w:rsidRPr="005753F6">
        <w:rPr>
          <w:rFonts w:asciiTheme="minorHAnsi" w:hAnsiTheme="minorHAnsi" w:cstheme="minorHAnsi"/>
          <w:szCs w:val="22"/>
          <w:lang w:val="en-US"/>
        </w:rPr>
        <w:t xml:space="preserve">to the HCMC </w:t>
      </w:r>
      <w:r w:rsidRPr="005753F6">
        <w:rPr>
          <w:rFonts w:asciiTheme="minorHAnsi" w:hAnsiTheme="minorHAnsi" w:cstheme="minorHAnsi"/>
          <w:szCs w:val="22"/>
        </w:rPr>
        <w:t xml:space="preserve">that </w:t>
      </w:r>
      <w:r w:rsidRPr="005753F6">
        <w:rPr>
          <w:rFonts w:asciiTheme="minorHAnsi" w:hAnsiTheme="minorHAnsi" w:cstheme="minorHAnsi"/>
          <w:bCs/>
          <w:szCs w:val="22"/>
          <w:lang w:val="en-US"/>
        </w:rPr>
        <w:t xml:space="preserve">TITAN Cement International </w:t>
      </w:r>
      <w:r w:rsidRPr="005753F6">
        <w:rPr>
          <w:rFonts w:asciiTheme="minorHAnsi" w:hAnsiTheme="minorHAnsi" w:cstheme="minorHAnsi"/>
          <w:szCs w:val="22"/>
        </w:rPr>
        <w:t xml:space="preserve">(i) has taken all appropriate measures to be able to issue and deliver the Consideration Shares to the holders of TITAN Shares who will accept the Share Exchange Offer and (ii) has the necessary wherewithal to pay the aforementioned duties in favour of the HCSD, in accordance with and subject to the terms and conditions of the Share Exchange Offer. However, the Advisor provides no guarantee, within the meaning of Articles 847 et seq. of the Greek Civil Code, for the performance of the delivery, payment and other obligations undertaken by </w:t>
      </w:r>
      <w:r w:rsidRPr="005753F6">
        <w:rPr>
          <w:rFonts w:asciiTheme="minorHAnsi" w:hAnsiTheme="minorHAnsi" w:cstheme="minorHAnsi"/>
          <w:bCs/>
          <w:szCs w:val="22"/>
          <w:lang w:val="en-US"/>
        </w:rPr>
        <w:t xml:space="preserve">TITAN Cement International </w:t>
      </w:r>
      <w:r w:rsidRPr="005753F6">
        <w:rPr>
          <w:rFonts w:asciiTheme="minorHAnsi" w:hAnsiTheme="minorHAnsi" w:cstheme="minorHAnsi"/>
          <w:szCs w:val="22"/>
        </w:rPr>
        <w:t>under the Share Exchange Offer, nor does it bear any liability within the scope of Article 729 of the Greek Civil Code.</w:t>
      </w:r>
    </w:p>
    <w:p w:rsidR="00AE0136" w:rsidRPr="005753F6" w:rsidRDefault="00AE0136" w:rsidP="00AE0136">
      <w:pPr>
        <w:pStyle w:val="a6"/>
        <w:tabs>
          <w:tab w:val="left" w:pos="0"/>
        </w:tabs>
        <w:spacing w:after="120" w:line="240" w:lineRule="auto"/>
        <w:ind w:left="0"/>
        <w:rPr>
          <w:rFonts w:asciiTheme="minorHAnsi" w:hAnsiTheme="minorHAnsi" w:cstheme="minorHAnsi"/>
          <w:szCs w:val="22"/>
          <w:lang w:val="en-US"/>
        </w:rPr>
      </w:pPr>
      <w:r w:rsidRPr="005753F6">
        <w:rPr>
          <w:rFonts w:asciiTheme="minorHAnsi" w:hAnsiTheme="minorHAnsi" w:cstheme="minorHAnsi"/>
          <w:szCs w:val="22"/>
          <w:lang w:val="en-US"/>
        </w:rPr>
        <w:t>HSBC acts for TITAN Cement International exclusively and does not act for any other person in relation to the Share Exchange Offer and the proposed listings on Euronext Brussels, ATHEX and Euronext Brussels, and shall not consider any other person as its client in relation to any of the foregoing.</w:t>
      </w:r>
    </w:p>
    <w:p w:rsidR="00AE0136" w:rsidRPr="005753F6" w:rsidRDefault="00AE0136" w:rsidP="00AE0136">
      <w:pPr>
        <w:pStyle w:val="a6"/>
        <w:tabs>
          <w:tab w:val="left" w:pos="0"/>
        </w:tabs>
        <w:spacing w:after="120" w:line="240" w:lineRule="auto"/>
        <w:ind w:left="0"/>
        <w:rPr>
          <w:rFonts w:asciiTheme="minorHAnsi" w:hAnsiTheme="minorHAnsi" w:cstheme="minorHAnsi"/>
          <w:i/>
          <w:szCs w:val="22"/>
          <w:highlight w:val="lightGray"/>
        </w:rPr>
      </w:pPr>
      <w:r w:rsidRPr="005753F6">
        <w:rPr>
          <w:rFonts w:asciiTheme="minorHAnsi" w:hAnsiTheme="minorHAnsi" w:cstheme="minorHAnsi"/>
          <w:szCs w:val="22"/>
          <w:lang w:val="en-US"/>
        </w:rPr>
        <w:t xml:space="preserve">HSBC does not “act in concert” (according to the definition of article 2(e) of the Law) with TITAN Cement International and does not intend to act for the account, to the benefit of or in cooperation with TITAN Cement International, in relation to potential purchases of TITAN Shares until the end of </w:t>
      </w:r>
      <w:r w:rsidRPr="005753F6">
        <w:rPr>
          <w:rFonts w:asciiTheme="minorHAnsi" w:hAnsiTheme="minorHAnsi" w:cstheme="minorHAnsi"/>
          <w:szCs w:val="22"/>
          <w:lang w:val="en-US"/>
        </w:rPr>
        <w:lastRenderedPageBreak/>
        <w:t>the acceptance period of the Share Exchange Offer. Nonetheless, HSBC and companies related to HSBC may purchase or sell TITAN Shares as a direct or indirect result of their client facilitation activities.</w:t>
      </w:r>
    </w:p>
    <w:p w:rsidR="00AE0136" w:rsidRPr="005753F6" w:rsidRDefault="00AE0136" w:rsidP="00AE0136">
      <w:pPr>
        <w:spacing w:after="120"/>
        <w:jc w:val="both"/>
        <w:outlineLvl w:val="0"/>
        <w:rPr>
          <w:rFonts w:asciiTheme="minorHAnsi" w:hAnsiTheme="minorHAnsi" w:cstheme="minorHAnsi"/>
          <w:b/>
          <w:sz w:val="22"/>
          <w:szCs w:val="22"/>
          <w:u w:val="single"/>
        </w:rPr>
      </w:pPr>
      <w:r w:rsidRPr="005753F6">
        <w:rPr>
          <w:rFonts w:asciiTheme="minorHAnsi" w:hAnsiTheme="minorHAnsi" w:cstheme="minorHAnsi"/>
          <w:b/>
          <w:sz w:val="22"/>
          <w:szCs w:val="22"/>
          <w:u w:val="single"/>
        </w:rPr>
        <w:t xml:space="preserve">Important Notices </w:t>
      </w:r>
    </w:p>
    <w:p w:rsidR="00AE0136" w:rsidRPr="005753F6" w:rsidRDefault="00AE0136" w:rsidP="00AE0136">
      <w:pPr>
        <w:spacing w:after="120"/>
        <w:jc w:val="both"/>
        <w:outlineLvl w:val="0"/>
        <w:rPr>
          <w:rFonts w:asciiTheme="minorHAnsi" w:hAnsiTheme="minorHAnsi" w:cstheme="minorHAnsi"/>
          <w:b/>
          <w:i/>
          <w:sz w:val="22"/>
          <w:szCs w:val="22"/>
        </w:rPr>
      </w:pPr>
      <w:r w:rsidRPr="005753F6">
        <w:rPr>
          <w:rFonts w:asciiTheme="minorHAnsi" w:hAnsiTheme="minorHAnsi" w:cstheme="minorHAnsi"/>
          <w:b/>
          <w:i/>
          <w:sz w:val="22"/>
          <w:szCs w:val="22"/>
        </w:rPr>
        <w:t>General</w:t>
      </w:r>
    </w:p>
    <w:p w:rsidR="00AE0136" w:rsidRPr="005753F6" w:rsidRDefault="00AE0136" w:rsidP="00D77123">
      <w:pPr>
        <w:pStyle w:val="a7"/>
        <w:numPr>
          <w:ilvl w:val="0"/>
          <w:numId w:val="5"/>
        </w:numPr>
        <w:tabs>
          <w:tab w:val="left" w:pos="720"/>
        </w:tabs>
        <w:spacing w:after="120"/>
        <w:jc w:val="both"/>
        <w:rPr>
          <w:rFonts w:asciiTheme="minorHAnsi" w:hAnsiTheme="minorHAnsi" w:cstheme="minorHAnsi"/>
        </w:rPr>
      </w:pPr>
      <w:r w:rsidRPr="005753F6">
        <w:rPr>
          <w:rFonts w:asciiTheme="minorHAnsi" w:hAnsiTheme="minorHAnsi" w:cstheme="minorHAnsi"/>
        </w:rPr>
        <w:t>The Share Exchange Offer described herein is addressed to holders of TITAN Shares and only to persons to whom it may be lawfully addressed. The Share Exchange Offer will be made in the territory of the Hellenic Republic. The making of the Share Exchange Offer to specific persons who are residents in or nationals or citizens of jurisdictions outside the Hellenic Republic or to custodians, nominees or trustees of such persons (the “</w:t>
      </w:r>
      <w:r w:rsidRPr="005753F6">
        <w:rPr>
          <w:rFonts w:asciiTheme="minorHAnsi" w:hAnsiTheme="minorHAnsi" w:cstheme="minorHAnsi"/>
          <w:b/>
        </w:rPr>
        <w:t>Excluded Shareholders</w:t>
      </w:r>
      <w:r w:rsidRPr="005753F6">
        <w:rPr>
          <w:rFonts w:asciiTheme="minorHAnsi" w:hAnsiTheme="minorHAnsi" w:cstheme="minorHAnsi"/>
        </w:rPr>
        <w:t>”) may be made only in accordance with the laws of the relevant jurisdiction. It is the responsibility of the Excluded Shareholders and each person wishing to accept the Share Exchange Offer to inform themselves of and ensure compliance with the laws of their respective jurisdictions in relation to the Share Exchange Offer. If you have any doubts as to your status, you should consult with your professional advisor in the relevant jurisdiction.</w:t>
      </w:r>
    </w:p>
    <w:p w:rsidR="00AE0136" w:rsidRPr="005753F6" w:rsidRDefault="00AE0136" w:rsidP="00AE0136">
      <w:pPr>
        <w:pStyle w:val="a7"/>
        <w:numPr>
          <w:ilvl w:val="0"/>
          <w:numId w:val="7"/>
        </w:numPr>
        <w:tabs>
          <w:tab w:val="left" w:pos="720"/>
        </w:tabs>
        <w:spacing w:after="120"/>
        <w:jc w:val="both"/>
        <w:rPr>
          <w:rFonts w:asciiTheme="minorHAnsi" w:hAnsiTheme="minorHAnsi" w:cstheme="minorHAnsi"/>
        </w:rPr>
      </w:pPr>
      <w:r w:rsidRPr="005753F6">
        <w:rPr>
          <w:rFonts w:asciiTheme="minorHAnsi" w:hAnsiTheme="minorHAnsi" w:cstheme="minorHAnsi"/>
        </w:rPr>
        <w:t>The Share Exchange Offer is not being made, directly or indirectly, by mail or by any means in or into the United States of America, Australia, Canada, Japan or any other jurisdiction within which, under its laws, rules and regulations, the submission, the making or the presentation of the Share Exchange Offer or the mailing or distribution of the Information Circular to be approved by the HCMC, the Prospectus to be approved by the FSMA, a declaration of acceptance and any other document or material relevant thereto (together, the “</w:t>
      </w:r>
      <w:r w:rsidRPr="005753F6">
        <w:rPr>
          <w:rFonts w:asciiTheme="minorHAnsi" w:hAnsiTheme="minorHAnsi" w:cstheme="minorHAnsi"/>
          <w:b/>
        </w:rPr>
        <w:t>Relevant Documents</w:t>
      </w:r>
      <w:r w:rsidRPr="005753F6">
        <w:rPr>
          <w:rFonts w:asciiTheme="minorHAnsi" w:hAnsiTheme="minorHAnsi" w:cstheme="minorHAnsi"/>
        </w:rPr>
        <w:t>”) is illegal or contravenes any applicable legislation, rule or regulation (together, the “</w:t>
      </w:r>
      <w:r w:rsidRPr="005753F6">
        <w:rPr>
          <w:rFonts w:asciiTheme="minorHAnsi" w:hAnsiTheme="minorHAnsi" w:cstheme="minorHAnsi"/>
          <w:b/>
        </w:rPr>
        <w:t>Excluded Territories</w:t>
      </w:r>
      <w:r w:rsidRPr="005753F6">
        <w:rPr>
          <w:rFonts w:asciiTheme="minorHAnsi" w:hAnsiTheme="minorHAnsi" w:cstheme="minorHAnsi"/>
        </w:rPr>
        <w:t>”). Accordingly, copies of any such Relevant Documents and materials will not be, and must not be, directly or indirectly, mailed, distributed or otherwise sent to anyone or from anyone in or into or from any Excluded Territory.</w:t>
      </w:r>
    </w:p>
    <w:p w:rsidR="00AE0136" w:rsidRPr="005753F6" w:rsidRDefault="00AE0136" w:rsidP="00AE0136">
      <w:pPr>
        <w:pStyle w:val="a7"/>
        <w:numPr>
          <w:ilvl w:val="0"/>
          <w:numId w:val="7"/>
        </w:numPr>
        <w:spacing w:after="120"/>
        <w:jc w:val="both"/>
        <w:rPr>
          <w:rFonts w:asciiTheme="minorHAnsi" w:hAnsiTheme="minorHAnsi" w:cstheme="minorHAnsi"/>
        </w:rPr>
      </w:pPr>
      <w:r w:rsidRPr="005753F6">
        <w:rPr>
          <w:rFonts w:asciiTheme="minorHAnsi" w:hAnsiTheme="minorHAnsi" w:cstheme="minorHAnsi"/>
        </w:rPr>
        <w:t>The Consideration Shares have not been and will not be registered under the U.S. Securities Act of 1933 (the “Securities Act”) and may not be offered or sold in the United States absent registration or an exemption from the registration requirements of the Securities Act. TITAN Cement International has no intention to register any part of the Share Exchange Offer in the United States or make a public offering of the Consideration Shares in the United States. Any securities sold in the United States will be sold only to “qualified institutional buyers” (as defined in Rule 144A under the Securities Act) in reliance on Rule 144A.</w:t>
      </w:r>
    </w:p>
    <w:p w:rsidR="00AE0136" w:rsidRPr="005753F6" w:rsidRDefault="00AE0136" w:rsidP="00AE0136">
      <w:pPr>
        <w:pStyle w:val="a6"/>
        <w:numPr>
          <w:ilvl w:val="0"/>
          <w:numId w:val="7"/>
        </w:numPr>
        <w:tabs>
          <w:tab w:val="left" w:pos="720"/>
        </w:tabs>
        <w:spacing w:after="120" w:line="240" w:lineRule="auto"/>
        <w:rPr>
          <w:rFonts w:asciiTheme="minorHAnsi" w:hAnsiTheme="minorHAnsi" w:cstheme="minorHAnsi"/>
          <w:b/>
          <w:szCs w:val="22"/>
        </w:rPr>
      </w:pPr>
      <w:r w:rsidRPr="005753F6">
        <w:rPr>
          <w:rFonts w:asciiTheme="minorHAnsi" w:hAnsiTheme="minorHAnsi" w:cstheme="minorHAnsi"/>
          <w:szCs w:val="22"/>
        </w:rPr>
        <w:t>No person receiving a copy of this announcement or of any Relevant Document in any jurisdiction outside the Hellenic Republic may treat any such document as if it constituted a solicitation or offer to such person and under no circumstances may such person use any Relevant Document if, in the relevant jurisdiction, such solicitation or offer may not be lawfully made to such person or if such Relevant Document may not be lawfully used without breaching any legal requirements. In those instances, any such Relevant Document is sent for information purposes only.</w:t>
      </w:r>
    </w:p>
    <w:p w:rsidR="00AE0136" w:rsidRPr="005753F6" w:rsidRDefault="00AE0136" w:rsidP="00AE0136">
      <w:pPr>
        <w:pStyle w:val="a6"/>
        <w:numPr>
          <w:ilvl w:val="0"/>
          <w:numId w:val="7"/>
        </w:numPr>
        <w:tabs>
          <w:tab w:val="left" w:pos="720"/>
        </w:tabs>
        <w:spacing w:after="120" w:line="240" w:lineRule="auto"/>
        <w:rPr>
          <w:rFonts w:asciiTheme="minorHAnsi" w:hAnsiTheme="minorHAnsi" w:cstheme="minorHAnsi"/>
          <w:szCs w:val="22"/>
        </w:rPr>
      </w:pPr>
      <w:r w:rsidRPr="005753F6">
        <w:rPr>
          <w:rFonts w:asciiTheme="minorHAnsi" w:hAnsiTheme="minorHAnsi" w:cstheme="minorHAnsi"/>
          <w:szCs w:val="22"/>
        </w:rPr>
        <w:t>This regulatory announcement does not contain, constitute or form part of any offer or invitation to sell or subscribe or any solicitation of any offer to purchase or subscribe for any securities in any jurisdiction, and neither this regulatory announcement (nor any part of it) nor the fact of its distribution form the basis of, or may be relied upon in connection with, or act as any inducement to enter into, any contract or commitment whatsoever.</w:t>
      </w:r>
    </w:p>
    <w:p w:rsidR="00AE0136" w:rsidRPr="005753F6" w:rsidRDefault="00AE0136" w:rsidP="00AE0136">
      <w:pPr>
        <w:pStyle w:val="a6"/>
        <w:numPr>
          <w:ilvl w:val="0"/>
          <w:numId w:val="7"/>
        </w:numPr>
        <w:tabs>
          <w:tab w:val="left" w:pos="720"/>
        </w:tabs>
        <w:spacing w:after="120" w:line="240" w:lineRule="auto"/>
        <w:rPr>
          <w:rFonts w:asciiTheme="minorHAnsi" w:hAnsiTheme="minorHAnsi" w:cstheme="minorHAnsi"/>
          <w:szCs w:val="22"/>
        </w:rPr>
      </w:pPr>
      <w:r w:rsidRPr="005753F6">
        <w:rPr>
          <w:rFonts w:asciiTheme="minorHAnsi" w:hAnsiTheme="minorHAnsi" w:cstheme="minorHAnsi"/>
          <w:szCs w:val="22"/>
        </w:rPr>
        <w:t xml:space="preserve">The information contained in this announcement is for general information only and does not purport to be full or complete. This announcement does not constitute, or form part of, an offer or invitation to sell or issue, or any solicitation of an offer to purchase securities and any purchase of, or application for, shares in TITAN Cement International to be exchanged in connection with the Share Exchange Offer should only be made on the basis of information </w:t>
      </w:r>
      <w:r w:rsidRPr="005753F6">
        <w:rPr>
          <w:rFonts w:asciiTheme="minorHAnsi" w:hAnsiTheme="minorHAnsi" w:cstheme="minorHAnsi"/>
          <w:szCs w:val="22"/>
        </w:rPr>
        <w:lastRenderedPageBreak/>
        <w:t xml:space="preserve">contained in the Prospectus and any supplements thereto, as the case may be. After its approval, the Prospectus is expected to be available at the registered office of TITAN Cement International located at Rue </w:t>
      </w:r>
      <w:proofErr w:type="spellStart"/>
      <w:r w:rsidRPr="005753F6">
        <w:rPr>
          <w:rFonts w:asciiTheme="minorHAnsi" w:hAnsiTheme="minorHAnsi" w:cstheme="minorHAnsi"/>
          <w:szCs w:val="22"/>
        </w:rPr>
        <w:t>Mareyde</w:t>
      </w:r>
      <w:proofErr w:type="spellEnd"/>
      <w:r w:rsidRPr="005753F6">
        <w:rPr>
          <w:rFonts w:asciiTheme="minorHAnsi" w:hAnsiTheme="minorHAnsi" w:cstheme="minorHAnsi"/>
          <w:szCs w:val="22"/>
        </w:rPr>
        <w:t xml:space="preserve"> 43, 1150 </w:t>
      </w:r>
      <w:proofErr w:type="spellStart"/>
      <w:r w:rsidRPr="005753F6">
        <w:rPr>
          <w:rFonts w:asciiTheme="minorHAnsi" w:hAnsiTheme="minorHAnsi" w:cstheme="minorHAnsi"/>
          <w:szCs w:val="22"/>
        </w:rPr>
        <w:t>Woluwe</w:t>
      </w:r>
      <w:proofErr w:type="spellEnd"/>
      <w:r w:rsidRPr="005753F6">
        <w:rPr>
          <w:rFonts w:asciiTheme="minorHAnsi" w:hAnsiTheme="minorHAnsi" w:cstheme="minorHAnsi"/>
          <w:szCs w:val="22"/>
        </w:rPr>
        <w:t xml:space="preserve"> Saint Pierre, Belgium and published as required by law. This announcement is not a prospectus. Investors should not purchase or apply for any securities referred to in this announcement except on the basis of information that will be contained in the Prospectus. The Prospectus will contain certain detailed information about TITAN Cement International and its business, management, risks associated with investing in TITAN Cement International, as well as financial statements and other financial data. This announcement cannot be used as basis for any investment agreement or decision.</w:t>
      </w:r>
    </w:p>
    <w:p w:rsidR="00AE0136" w:rsidRPr="005753F6" w:rsidRDefault="00AE0136" w:rsidP="00AE0136">
      <w:pPr>
        <w:pStyle w:val="a6"/>
        <w:tabs>
          <w:tab w:val="left" w:pos="720"/>
        </w:tabs>
        <w:spacing w:after="120" w:line="240" w:lineRule="auto"/>
        <w:ind w:left="0"/>
        <w:rPr>
          <w:rFonts w:asciiTheme="minorHAnsi" w:hAnsiTheme="minorHAnsi" w:cstheme="minorHAnsi"/>
          <w:b/>
          <w:i/>
          <w:szCs w:val="22"/>
        </w:rPr>
      </w:pPr>
      <w:r w:rsidRPr="005753F6">
        <w:rPr>
          <w:rFonts w:asciiTheme="minorHAnsi" w:hAnsiTheme="minorHAnsi" w:cstheme="minorHAnsi"/>
          <w:b/>
          <w:i/>
          <w:szCs w:val="22"/>
        </w:rPr>
        <w:t>European Economic Area</w:t>
      </w:r>
    </w:p>
    <w:p w:rsidR="00AE0136" w:rsidRPr="005753F6" w:rsidRDefault="00AE0136" w:rsidP="00AE0136">
      <w:pPr>
        <w:pStyle w:val="a6"/>
        <w:numPr>
          <w:ilvl w:val="0"/>
          <w:numId w:val="7"/>
        </w:numPr>
        <w:tabs>
          <w:tab w:val="left" w:pos="720"/>
        </w:tabs>
        <w:spacing w:after="120" w:line="240" w:lineRule="auto"/>
        <w:rPr>
          <w:rFonts w:asciiTheme="minorHAnsi" w:hAnsiTheme="minorHAnsi" w:cstheme="minorHAnsi"/>
          <w:szCs w:val="22"/>
        </w:rPr>
      </w:pPr>
      <w:r w:rsidRPr="005753F6">
        <w:rPr>
          <w:rFonts w:asciiTheme="minorHAnsi" w:hAnsiTheme="minorHAnsi" w:cstheme="minorHAnsi"/>
          <w:szCs w:val="22"/>
        </w:rPr>
        <w:t>This announcement is only addressed to and directed at persons in member states of the European Economic Area ("</w:t>
      </w:r>
      <w:r w:rsidRPr="005753F6">
        <w:rPr>
          <w:rFonts w:asciiTheme="minorHAnsi" w:hAnsiTheme="minorHAnsi" w:cstheme="minorHAnsi"/>
          <w:b/>
          <w:szCs w:val="22"/>
        </w:rPr>
        <w:t>EEA</w:t>
      </w:r>
      <w:r w:rsidRPr="005753F6">
        <w:rPr>
          <w:rFonts w:asciiTheme="minorHAnsi" w:hAnsiTheme="minorHAnsi" w:cstheme="minorHAnsi"/>
          <w:szCs w:val="22"/>
        </w:rPr>
        <w:t>"), other than Greece, who are "qualified investors" within the meaning of Article 2(1)(e) of the Prospectus Directive (Directive 2003/71/EC and amendments thereto, including Directive 2010/73/EU, to the extent implemented in the relevant Member State of the EEA) and any implementing measure in each relevant Member State of the EEA (the "</w:t>
      </w:r>
      <w:r w:rsidRPr="005753F6">
        <w:rPr>
          <w:rFonts w:asciiTheme="minorHAnsi" w:hAnsiTheme="minorHAnsi" w:cstheme="minorHAnsi"/>
          <w:b/>
          <w:szCs w:val="22"/>
        </w:rPr>
        <w:t>Prospectus Directive</w:t>
      </w:r>
      <w:r w:rsidRPr="005753F6">
        <w:rPr>
          <w:rFonts w:asciiTheme="minorHAnsi" w:hAnsiTheme="minorHAnsi" w:cstheme="minorHAnsi"/>
          <w:szCs w:val="22"/>
        </w:rPr>
        <w:t>") ("</w:t>
      </w:r>
      <w:r w:rsidRPr="005753F6">
        <w:rPr>
          <w:rFonts w:asciiTheme="minorHAnsi" w:hAnsiTheme="minorHAnsi" w:cstheme="minorHAnsi"/>
          <w:b/>
          <w:szCs w:val="22"/>
        </w:rPr>
        <w:t>Qualified Investors</w:t>
      </w:r>
      <w:r w:rsidRPr="005753F6">
        <w:rPr>
          <w:rFonts w:asciiTheme="minorHAnsi" w:hAnsiTheme="minorHAnsi" w:cstheme="minorHAnsi"/>
          <w:szCs w:val="22"/>
        </w:rPr>
        <w:t>"). In addition, in the United Kingdom, this announcement is being distributed only to, and is directed only at, Qualified Investors (i) who have professional experience in matters relating to investments falling within Article 19(5) of the Financial Services and Markets Act 2000 (Financial Promotion) Order 2005, as amended (the "</w:t>
      </w:r>
      <w:r w:rsidRPr="005753F6">
        <w:rPr>
          <w:rFonts w:asciiTheme="minorHAnsi" w:hAnsiTheme="minorHAnsi" w:cstheme="minorHAnsi"/>
          <w:b/>
          <w:szCs w:val="22"/>
        </w:rPr>
        <w:t>Order</w:t>
      </w:r>
      <w:r w:rsidRPr="005753F6">
        <w:rPr>
          <w:rFonts w:asciiTheme="minorHAnsi" w:hAnsiTheme="minorHAnsi" w:cstheme="minorHAnsi"/>
          <w:szCs w:val="22"/>
        </w:rPr>
        <w:t xml:space="preserve">") and Qualified Investors falling within </w:t>
      </w:r>
      <w:bookmarkStart w:id="0" w:name="_GoBack"/>
      <w:bookmarkEnd w:id="0"/>
      <w:r w:rsidRPr="005753F6">
        <w:rPr>
          <w:rFonts w:asciiTheme="minorHAnsi" w:hAnsiTheme="minorHAnsi" w:cstheme="minorHAnsi"/>
          <w:szCs w:val="22"/>
        </w:rPr>
        <w:t>Article 49(2)(a) to (d) of the Order, and (ii) to whom it may otherwise lawfully be communicated (all such persons together being referred to as "</w:t>
      </w:r>
      <w:r w:rsidRPr="005753F6">
        <w:rPr>
          <w:rFonts w:asciiTheme="minorHAnsi" w:hAnsiTheme="minorHAnsi" w:cstheme="minorHAnsi"/>
          <w:b/>
          <w:szCs w:val="22"/>
        </w:rPr>
        <w:t>Relevant Persons</w:t>
      </w:r>
      <w:r w:rsidRPr="005753F6">
        <w:rPr>
          <w:rFonts w:asciiTheme="minorHAnsi" w:hAnsiTheme="minorHAnsi" w:cstheme="minorHAnsi"/>
          <w:szCs w:val="22"/>
        </w:rPr>
        <w:t>"). The offering of Consideration Shares will only be available to, and any invitation, offer or agreement to subscribe for, purchase, or otherwise acquire Consideration Shares will be engaged in only with Relevant Persons. Any person who is not a Relevant Person should not act or rely on this announcement or any of its contents.</w:t>
      </w:r>
    </w:p>
    <w:p w:rsidR="00643F0D" w:rsidRPr="005753F6" w:rsidRDefault="00D77123" w:rsidP="00D77123">
      <w:pPr>
        <w:jc w:val="center"/>
        <w:rPr>
          <w:rFonts w:asciiTheme="minorHAnsi" w:hAnsiTheme="minorHAnsi" w:cstheme="minorHAnsi"/>
          <w:sz w:val="22"/>
          <w:szCs w:val="22"/>
        </w:rPr>
      </w:pPr>
      <w:r w:rsidRPr="005753F6">
        <w:rPr>
          <w:rFonts w:asciiTheme="minorHAnsi" w:hAnsiTheme="minorHAnsi" w:cstheme="minorHAnsi"/>
          <w:sz w:val="22"/>
          <w:szCs w:val="22"/>
        </w:rPr>
        <w:t>__________________________</w:t>
      </w:r>
    </w:p>
    <w:sectPr w:rsidR="00643F0D" w:rsidRPr="005753F6" w:rsidSect="00D77123">
      <w:footerReference w:type="even" r:id="rId8"/>
      <w:footerReference w:type="defaul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79" w:rsidRDefault="00C77779" w:rsidP="00D77123">
      <w:r>
        <w:separator/>
      </w:r>
    </w:p>
  </w:endnote>
  <w:endnote w:type="continuationSeparator" w:id="0">
    <w:p w:rsidR="00C77779" w:rsidRDefault="00C77779" w:rsidP="00D7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23" w:rsidRDefault="00D77123" w:rsidP="00B773E6">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77123" w:rsidRDefault="00D77123" w:rsidP="00D7712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23" w:rsidRDefault="00D77123" w:rsidP="00B773E6">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C7D82">
      <w:rPr>
        <w:rStyle w:val="a8"/>
        <w:noProof/>
      </w:rPr>
      <w:t>7</w:t>
    </w:r>
    <w:r>
      <w:rPr>
        <w:rStyle w:val="a8"/>
      </w:rPr>
      <w:fldChar w:fldCharType="end"/>
    </w:r>
  </w:p>
  <w:p w:rsidR="00D77123" w:rsidRDefault="00D77123" w:rsidP="00D7712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79" w:rsidRDefault="00C77779" w:rsidP="00D77123">
      <w:r>
        <w:separator/>
      </w:r>
    </w:p>
  </w:footnote>
  <w:footnote w:type="continuationSeparator" w:id="0">
    <w:p w:rsidR="00C77779" w:rsidRDefault="00C77779" w:rsidP="00D77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411"/>
    <w:multiLevelType w:val="hybridMultilevel"/>
    <w:tmpl w:val="91862B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DB8623A"/>
    <w:multiLevelType w:val="hybridMultilevel"/>
    <w:tmpl w:val="9E780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76F17D9"/>
    <w:multiLevelType w:val="hybridMultilevel"/>
    <w:tmpl w:val="8B48B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ED60507"/>
    <w:multiLevelType w:val="hybridMultilevel"/>
    <w:tmpl w:val="807EF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FB44221"/>
    <w:multiLevelType w:val="hybridMultilevel"/>
    <w:tmpl w:val="3DC63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82F3075"/>
    <w:multiLevelType w:val="hybridMultilevel"/>
    <w:tmpl w:val="4762DE5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7A7C3634"/>
    <w:multiLevelType w:val="hybridMultilevel"/>
    <w:tmpl w:val="0246B0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itsas Law Firm">
    <w15:presenceInfo w15:providerId="None" w15:userId="Bernitsas Law Fi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36"/>
    <w:rsid w:val="00000AB3"/>
    <w:rsid w:val="000013CD"/>
    <w:rsid w:val="000015A2"/>
    <w:rsid w:val="00001EDF"/>
    <w:rsid w:val="00003859"/>
    <w:rsid w:val="00003AFD"/>
    <w:rsid w:val="00004244"/>
    <w:rsid w:val="00004D20"/>
    <w:rsid w:val="000054A0"/>
    <w:rsid w:val="00005EF3"/>
    <w:rsid w:val="00007676"/>
    <w:rsid w:val="00007716"/>
    <w:rsid w:val="00010489"/>
    <w:rsid w:val="00011C87"/>
    <w:rsid w:val="00013A7E"/>
    <w:rsid w:val="00013CDF"/>
    <w:rsid w:val="00013D73"/>
    <w:rsid w:val="00013DDE"/>
    <w:rsid w:val="00013E89"/>
    <w:rsid w:val="00013F60"/>
    <w:rsid w:val="000141A4"/>
    <w:rsid w:val="000148A8"/>
    <w:rsid w:val="000149A9"/>
    <w:rsid w:val="000149B9"/>
    <w:rsid w:val="00016C1D"/>
    <w:rsid w:val="00020B92"/>
    <w:rsid w:val="00020BB4"/>
    <w:rsid w:val="00020D50"/>
    <w:rsid w:val="000218E2"/>
    <w:rsid w:val="0002223A"/>
    <w:rsid w:val="000222D6"/>
    <w:rsid w:val="00022B67"/>
    <w:rsid w:val="00022E8B"/>
    <w:rsid w:val="00025171"/>
    <w:rsid w:val="000260FD"/>
    <w:rsid w:val="000271E8"/>
    <w:rsid w:val="00027B3E"/>
    <w:rsid w:val="0003004E"/>
    <w:rsid w:val="0003054E"/>
    <w:rsid w:val="000308AC"/>
    <w:rsid w:val="00030E97"/>
    <w:rsid w:val="00032706"/>
    <w:rsid w:val="00032D0A"/>
    <w:rsid w:val="00033872"/>
    <w:rsid w:val="000342B8"/>
    <w:rsid w:val="000351B0"/>
    <w:rsid w:val="00035490"/>
    <w:rsid w:val="0003693E"/>
    <w:rsid w:val="000378E8"/>
    <w:rsid w:val="000400A1"/>
    <w:rsid w:val="000400F5"/>
    <w:rsid w:val="000402A9"/>
    <w:rsid w:val="00041B43"/>
    <w:rsid w:val="00043662"/>
    <w:rsid w:val="000437AA"/>
    <w:rsid w:val="00043B28"/>
    <w:rsid w:val="00044073"/>
    <w:rsid w:val="000442D8"/>
    <w:rsid w:val="000449B8"/>
    <w:rsid w:val="00044CBF"/>
    <w:rsid w:val="00045D8B"/>
    <w:rsid w:val="00045EFB"/>
    <w:rsid w:val="0004730C"/>
    <w:rsid w:val="00050369"/>
    <w:rsid w:val="00050F4B"/>
    <w:rsid w:val="000512F3"/>
    <w:rsid w:val="0005161A"/>
    <w:rsid w:val="00051630"/>
    <w:rsid w:val="00052573"/>
    <w:rsid w:val="00052924"/>
    <w:rsid w:val="00053BE2"/>
    <w:rsid w:val="00053CB3"/>
    <w:rsid w:val="000541E0"/>
    <w:rsid w:val="00054B53"/>
    <w:rsid w:val="000554CF"/>
    <w:rsid w:val="00055B88"/>
    <w:rsid w:val="00055D2D"/>
    <w:rsid w:val="000561F7"/>
    <w:rsid w:val="000564C2"/>
    <w:rsid w:val="000566C1"/>
    <w:rsid w:val="000571C8"/>
    <w:rsid w:val="0005774A"/>
    <w:rsid w:val="00060E4B"/>
    <w:rsid w:val="00061023"/>
    <w:rsid w:val="000618DC"/>
    <w:rsid w:val="00061F7F"/>
    <w:rsid w:val="00062BC0"/>
    <w:rsid w:val="0006332B"/>
    <w:rsid w:val="00065153"/>
    <w:rsid w:val="000662C0"/>
    <w:rsid w:val="000662F7"/>
    <w:rsid w:val="000666A7"/>
    <w:rsid w:val="00066E96"/>
    <w:rsid w:val="00067BD8"/>
    <w:rsid w:val="0007014E"/>
    <w:rsid w:val="00071209"/>
    <w:rsid w:val="0007214B"/>
    <w:rsid w:val="00072F8D"/>
    <w:rsid w:val="0007366E"/>
    <w:rsid w:val="00075424"/>
    <w:rsid w:val="00075CBE"/>
    <w:rsid w:val="00076E1C"/>
    <w:rsid w:val="000770AB"/>
    <w:rsid w:val="000776C3"/>
    <w:rsid w:val="00077868"/>
    <w:rsid w:val="00077C96"/>
    <w:rsid w:val="00080040"/>
    <w:rsid w:val="00082EFD"/>
    <w:rsid w:val="000844FC"/>
    <w:rsid w:val="00084E10"/>
    <w:rsid w:val="0008510A"/>
    <w:rsid w:val="000851DD"/>
    <w:rsid w:val="000852C0"/>
    <w:rsid w:val="000857EB"/>
    <w:rsid w:val="00085817"/>
    <w:rsid w:val="00086592"/>
    <w:rsid w:val="00090005"/>
    <w:rsid w:val="0009039A"/>
    <w:rsid w:val="000905C7"/>
    <w:rsid w:val="00090FAD"/>
    <w:rsid w:val="00091526"/>
    <w:rsid w:val="00091F2B"/>
    <w:rsid w:val="0009213B"/>
    <w:rsid w:val="00092D4B"/>
    <w:rsid w:val="000939EA"/>
    <w:rsid w:val="0009492C"/>
    <w:rsid w:val="00094D01"/>
    <w:rsid w:val="00094ED5"/>
    <w:rsid w:val="000952AF"/>
    <w:rsid w:val="000978AB"/>
    <w:rsid w:val="00097E52"/>
    <w:rsid w:val="00097E89"/>
    <w:rsid w:val="000A00D9"/>
    <w:rsid w:val="000A22A3"/>
    <w:rsid w:val="000A24CC"/>
    <w:rsid w:val="000A2CA2"/>
    <w:rsid w:val="000A46FA"/>
    <w:rsid w:val="000A562D"/>
    <w:rsid w:val="000A5E8E"/>
    <w:rsid w:val="000A6050"/>
    <w:rsid w:val="000A60B5"/>
    <w:rsid w:val="000A685F"/>
    <w:rsid w:val="000A7248"/>
    <w:rsid w:val="000B05C1"/>
    <w:rsid w:val="000B07E4"/>
    <w:rsid w:val="000B195C"/>
    <w:rsid w:val="000B1C37"/>
    <w:rsid w:val="000B21EE"/>
    <w:rsid w:val="000B2508"/>
    <w:rsid w:val="000B2B49"/>
    <w:rsid w:val="000B4C94"/>
    <w:rsid w:val="000B4DD4"/>
    <w:rsid w:val="000B5114"/>
    <w:rsid w:val="000B545A"/>
    <w:rsid w:val="000B5E9B"/>
    <w:rsid w:val="000B6691"/>
    <w:rsid w:val="000B6F0B"/>
    <w:rsid w:val="000B6F8E"/>
    <w:rsid w:val="000B7BFA"/>
    <w:rsid w:val="000C0203"/>
    <w:rsid w:val="000C02AB"/>
    <w:rsid w:val="000C03A2"/>
    <w:rsid w:val="000C03A8"/>
    <w:rsid w:val="000C0D7F"/>
    <w:rsid w:val="000C0E34"/>
    <w:rsid w:val="000C22BA"/>
    <w:rsid w:val="000C409F"/>
    <w:rsid w:val="000C46F2"/>
    <w:rsid w:val="000C47A5"/>
    <w:rsid w:val="000C48D0"/>
    <w:rsid w:val="000C5A6B"/>
    <w:rsid w:val="000C6231"/>
    <w:rsid w:val="000C63C6"/>
    <w:rsid w:val="000C6450"/>
    <w:rsid w:val="000C72CD"/>
    <w:rsid w:val="000C7EEA"/>
    <w:rsid w:val="000D00A9"/>
    <w:rsid w:val="000D06BB"/>
    <w:rsid w:val="000D0C86"/>
    <w:rsid w:val="000D2430"/>
    <w:rsid w:val="000D2CFD"/>
    <w:rsid w:val="000D305F"/>
    <w:rsid w:val="000D36E1"/>
    <w:rsid w:val="000D3764"/>
    <w:rsid w:val="000D4110"/>
    <w:rsid w:val="000D4801"/>
    <w:rsid w:val="000D4DF5"/>
    <w:rsid w:val="000D5F81"/>
    <w:rsid w:val="000D69E9"/>
    <w:rsid w:val="000D784B"/>
    <w:rsid w:val="000D7B7B"/>
    <w:rsid w:val="000D7C8E"/>
    <w:rsid w:val="000E01A6"/>
    <w:rsid w:val="000E0213"/>
    <w:rsid w:val="000E140E"/>
    <w:rsid w:val="000E186F"/>
    <w:rsid w:val="000E18AE"/>
    <w:rsid w:val="000E2031"/>
    <w:rsid w:val="000E2061"/>
    <w:rsid w:val="000E29B1"/>
    <w:rsid w:val="000E2DB7"/>
    <w:rsid w:val="000E2DE6"/>
    <w:rsid w:val="000E3101"/>
    <w:rsid w:val="000E3B65"/>
    <w:rsid w:val="000E3B94"/>
    <w:rsid w:val="000E4703"/>
    <w:rsid w:val="000E4905"/>
    <w:rsid w:val="000E5824"/>
    <w:rsid w:val="000E5BF2"/>
    <w:rsid w:val="000E620D"/>
    <w:rsid w:val="000E7804"/>
    <w:rsid w:val="000E7901"/>
    <w:rsid w:val="000E7D5A"/>
    <w:rsid w:val="000F0696"/>
    <w:rsid w:val="000F0F1A"/>
    <w:rsid w:val="000F13AA"/>
    <w:rsid w:val="000F14EE"/>
    <w:rsid w:val="000F1535"/>
    <w:rsid w:val="000F175F"/>
    <w:rsid w:val="000F1DCA"/>
    <w:rsid w:val="000F251D"/>
    <w:rsid w:val="000F2EC7"/>
    <w:rsid w:val="000F3721"/>
    <w:rsid w:val="000F3FF9"/>
    <w:rsid w:val="000F477E"/>
    <w:rsid w:val="000F4D9C"/>
    <w:rsid w:val="000F4F22"/>
    <w:rsid w:val="000F4FA6"/>
    <w:rsid w:val="000F5B1C"/>
    <w:rsid w:val="000F65FB"/>
    <w:rsid w:val="000F6713"/>
    <w:rsid w:val="000F70BA"/>
    <w:rsid w:val="000F7143"/>
    <w:rsid w:val="000F75C1"/>
    <w:rsid w:val="000F7AF6"/>
    <w:rsid w:val="0010136D"/>
    <w:rsid w:val="001018BA"/>
    <w:rsid w:val="0010219F"/>
    <w:rsid w:val="001026E5"/>
    <w:rsid w:val="00102815"/>
    <w:rsid w:val="00102A87"/>
    <w:rsid w:val="00102B6A"/>
    <w:rsid w:val="001038C9"/>
    <w:rsid w:val="00104439"/>
    <w:rsid w:val="0010496F"/>
    <w:rsid w:val="00104C29"/>
    <w:rsid w:val="00105A5D"/>
    <w:rsid w:val="00105FA6"/>
    <w:rsid w:val="001060C0"/>
    <w:rsid w:val="0011083A"/>
    <w:rsid w:val="00110A38"/>
    <w:rsid w:val="00110FF0"/>
    <w:rsid w:val="001118BA"/>
    <w:rsid w:val="00111CD1"/>
    <w:rsid w:val="00111F12"/>
    <w:rsid w:val="00111F2E"/>
    <w:rsid w:val="001121D3"/>
    <w:rsid w:val="00112430"/>
    <w:rsid w:val="001137E5"/>
    <w:rsid w:val="00113D26"/>
    <w:rsid w:val="00114E44"/>
    <w:rsid w:val="00114F98"/>
    <w:rsid w:val="00115CB7"/>
    <w:rsid w:val="00116C86"/>
    <w:rsid w:val="001171E2"/>
    <w:rsid w:val="00120B73"/>
    <w:rsid w:val="0012260E"/>
    <w:rsid w:val="001232E7"/>
    <w:rsid w:val="001237BC"/>
    <w:rsid w:val="00123CB6"/>
    <w:rsid w:val="00123D9C"/>
    <w:rsid w:val="00124FEF"/>
    <w:rsid w:val="00125E40"/>
    <w:rsid w:val="0012603C"/>
    <w:rsid w:val="00127787"/>
    <w:rsid w:val="0013024B"/>
    <w:rsid w:val="001305DD"/>
    <w:rsid w:val="00130C6D"/>
    <w:rsid w:val="00131EBD"/>
    <w:rsid w:val="00132322"/>
    <w:rsid w:val="00132C08"/>
    <w:rsid w:val="00133E08"/>
    <w:rsid w:val="001341E3"/>
    <w:rsid w:val="001344AC"/>
    <w:rsid w:val="00134862"/>
    <w:rsid w:val="00134983"/>
    <w:rsid w:val="00134A8A"/>
    <w:rsid w:val="0013633B"/>
    <w:rsid w:val="00137472"/>
    <w:rsid w:val="001375A2"/>
    <w:rsid w:val="00137C0B"/>
    <w:rsid w:val="00140F45"/>
    <w:rsid w:val="00140FCF"/>
    <w:rsid w:val="00141339"/>
    <w:rsid w:val="00141361"/>
    <w:rsid w:val="001415BF"/>
    <w:rsid w:val="0014175F"/>
    <w:rsid w:val="0014203E"/>
    <w:rsid w:val="001429CF"/>
    <w:rsid w:val="00142B8D"/>
    <w:rsid w:val="00143320"/>
    <w:rsid w:val="001436E8"/>
    <w:rsid w:val="00143D4C"/>
    <w:rsid w:val="00144689"/>
    <w:rsid w:val="001448ED"/>
    <w:rsid w:val="00145646"/>
    <w:rsid w:val="00145B13"/>
    <w:rsid w:val="00145BE9"/>
    <w:rsid w:val="001460ED"/>
    <w:rsid w:val="00147073"/>
    <w:rsid w:val="0014752F"/>
    <w:rsid w:val="00147AA5"/>
    <w:rsid w:val="00147CB0"/>
    <w:rsid w:val="001503DA"/>
    <w:rsid w:val="00151B5E"/>
    <w:rsid w:val="00151EBD"/>
    <w:rsid w:val="001520EA"/>
    <w:rsid w:val="00152238"/>
    <w:rsid w:val="0015228D"/>
    <w:rsid w:val="0015242B"/>
    <w:rsid w:val="00153269"/>
    <w:rsid w:val="00153CCD"/>
    <w:rsid w:val="00153D5B"/>
    <w:rsid w:val="001542A7"/>
    <w:rsid w:val="0015491F"/>
    <w:rsid w:val="001561E1"/>
    <w:rsid w:val="0015638D"/>
    <w:rsid w:val="001563F7"/>
    <w:rsid w:val="00156992"/>
    <w:rsid w:val="00156DC8"/>
    <w:rsid w:val="001575D3"/>
    <w:rsid w:val="00157AC0"/>
    <w:rsid w:val="00157C51"/>
    <w:rsid w:val="0016027A"/>
    <w:rsid w:val="0016071E"/>
    <w:rsid w:val="00160F13"/>
    <w:rsid w:val="00161052"/>
    <w:rsid w:val="00161071"/>
    <w:rsid w:val="00161CD4"/>
    <w:rsid w:val="00161D1A"/>
    <w:rsid w:val="00164949"/>
    <w:rsid w:val="00164D18"/>
    <w:rsid w:val="00164F1A"/>
    <w:rsid w:val="001653D1"/>
    <w:rsid w:val="00166157"/>
    <w:rsid w:val="00166CA8"/>
    <w:rsid w:val="001676A3"/>
    <w:rsid w:val="00167854"/>
    <w:rsid w:val="00170CDC"/>
    <w:rsid w:val="00170EA9"/>
    <w:rsid w:val="00171D9D"/>
    <w:rsid w:val="00172613"/>
    <w:rsid w:val="00172751"/>
    <w:rsid w:val="001731A8"/>
    <w:rsid w:val="00173253"/>
    <w:rsid w:val="00173494"/>
    <w:rsid w:val="00173617"/>
    <w:rsid w:val="001746E7"/>
    <w:rsid w:val="001756DF"/>
    <w:rsid w:val="00177495"/>
    <w:rsid w:val="001775C7"/>
    <w:rsid w:val="0018029E"/>
    <w:rsid w:val="0018048A"/>
    <w:rsid w:val="001807EF"/>
    <w:rsid w:val="00181A7B"/>
    <w:rsid w:val="0018207F"/>
    <w:rsid w:val="001832CB"/>
    <w:rsid w:val="0018346E"/>
    <w:rsid w:val="00184028"/>
    <w:rsid w:val="001849A0"/>
    <w:rsid w:val="00184A44"/>
    <w:rsid w:val="001870C3"/>
    <w:rsid w:val="00187E02"/>
    <w:rsid w:val="001912F2"/>
    <w:rsid w:val="00191359"/>
    <w:rsid w:val="00191D93"/>
    <w:rsid w:val="00192264"/>
    <w:rsid w:val="001922C5"/>
    <w:rsid w:val="00192E46"/>
    <w:rsid w:val="00193AC8"/>
    <w:rsid w:val="00194248"/>
    <w:rsid w:val="00194B26"/>
    <w:rsid w:val="00194BBD"/>
    <w:rsid w:val="00194DEA"/>
    <w:rsid w:val="001950E5"/>
    <w:rsid w:val="001A014D"/>
    <w:rsid w:val="001A20BC"/>
    <w:rsid w:val="001A2335"/>
    <w:rsid w:val="001A29C2"/>
    <w:rsid w:val="001A2D7E"/>
    <w:rsid w:val="001A41CD"/>
    <w:rsid w:val="001A4521"/>
    <w:rsid w:val="001A4EB3"/>
    <w:rsid w:val="001A54F3"/>
    <w:rsid w:val="001A578A"/>
    <w:rsid w:val="001A58E6"/>
    <w:rsid w:val="001B0398"/>
    <w:rsid w:val="001B16AF"/>
    <w:rsid w:val="001B267C"/>
    <w:rsid w:val="001B2C18"/>
    <w:rsid w:val="001B3399"/>
    <w:rsid w:val="001B3485"/>
    <w:rsid w:val="001B3F02"/>
    <w:rsid w:val="001B53E5"/>
    <w:rsid w:val="001B5760"/>
    <w:rsid w:val="001B5CFF"/>
    <w:rsid w:val="001B6D7E"/>
    <w:rsid w:val="001B7507"/>
    <w:rsid w:val="001B7A0A"/>
    <w:rsid w:val="001C2204"/>
    <w:rsid w:val="001C243B"/>
    <w:rsid w:val="001C286F"/>
    <w:rsid w:val="001C3275"/>
    <w:rsid w:val="001C33D2"/>
    <w:rsid w:val="001C3798"/>
    <w:rsid w:val="001C3D9C"/>
    <w:rsid w:val="001C4714"/>
    <w:rsid w:val="001C4CB2"/>
    <w:rsid w:val="001C5223"/>
    <w:rsid w:val="001C52B5"/>
    <w:rsid w:val="001C54C0"/>
    <w:rsid w:val="001C68BE"/>
    <w:rsid w:val="001C7E80"/>
    <w:rsid w:val="001D013E"/>
    <w:rsid w:val="001D079A"/>
    <w:rsid w:val="001D3756"/>
    <w:rsid w:val="001D3F2D"/>
    <w:rsid w:val="001D44D7"/>
    <w:rsid w:val="001D493E"/>
    <w:rsid w:val="001D5A6D"/>
    <w:rsid w:val="001D5ABC"/>
    <w:rsid w:val="001D674E"/>
    <w:rsid w:val="001D7A41"/>
    <w:rsid w:val="001E147F"/>
    <w:rsid w:val="001E1996"/>
    <w:rsid w:val="001E2205"/>
    <w:rsid w:val="001E28F6"/>
    <w:rsid w:val="001E3155"/>
    <w:rsid w:val="001E33A2"/>
    <w:rsid w:val="001E40CB"/>
    <w:rsid w:val="001E43DE"/>
    <w:rsid w:val="001E45FD"/>
    <w:rsid w:val="001E463E"/>
    <w:rsid w:val="001E4CF2"/>
    <w:rsid w:val="001E4D9F"/>
    <w:rsid w:val="001E6CA4"/>
    <w:rsid w:val="001E6F09"/>
    <w:rsid w:val="001F00B9"/>
    <w:rsid w:val="001F0491"/>
    <w:rsid w:val="001F1189"/>
    <w:rsid w:val="001F1944"/>
    <w:rsid w:val="001F20B1"/>
    <w:rsid w:val="001F2A08"/>
    <w:rsid w:val="001F2C50"/>
    <w:rsid w:val="001F31E5"/>
    <w:rsid w:val="001F3262"/>
    <w:rsid w:val="001F337E"/>
    <w:rsid w:val="001F419E"/>
    <w:rsid w:val="001F5ACA"/>
    <w:rsid w:val="001F5BA6"/>
    <w:rsid w:val="001F5D25"/>
    <w:rsid w:val="00200F92"/>
    <w:rsid w:val="00201219"/>
    <w:rsid w:val="00201B9B"/>
    <w:rsid w:val="00202C7E"/>
    <w:rsid w:val="00202FD5"/>
    <w:rsid w:val="00203704"/>
    <w:rsid w:val="00203DF1"/>
    <w:rsid w:val="002047DD"/>
    <w:rsid w:val="00205073"/>
    <w:rsid w:val="0020530A"/>
    <w:rsid w:val="002058CA"/>
    <w:rsid w:val="002067D3"/>
    <w:rsid w:val="002079EB"/>
    <w:rsid w:val="00210160"/>
    <w:rsid w:val="002101D3"/>
    <w:rsid w:val="0021152E"/>
    <w:rsid w:val="00211DC5"/>
    <w:rsid w:val="002120BD"/>
    <w:rsid w:val="0021294E"/>
    <w:rsid w:val="00212CB7"/>
    <w:rsid w:val="00213197"/>
    <w:rsid w:val="00213948"/>
    <w:rsid w:val="002149F2"/>
    <w:rsid w:val="00215065"/>
    <w:rsid w:val="0021579F"/>
    <w:rsid w:val="00215E25"/>
    <w:rsid w:val="00217439"/>
    <w:rsid w:val="002179C2"/>
    <w:rsid w:val="00217B99"/>
    <w:rsid w:val="00220C39"/>
    <w:rsid w:val="00221124"/>
    <w:rsid w:val="00221E45"/>
    <w:rsid w:val="00221EF9"/>
    <w:rsid w:val="002225CB"/>
    <w:rsid w:val="00222819"/>
    <w:rsid w:val="0022374E"/>
    <w:rsid w:val="00223AD6"/>
    <w:rsid w:val="00224836"/>
    <w:rsid w:val="00225189"/>
    <w:rsid w:val="00225657"/>
    <w:rsid w:val="00225986"/>
    <w:rsid w:val="002259BA"/>
    <w:rsid w:val="00225A51"/>
    <w:rsid w:val="00225E2C"/>
    <w:rsid w:val="002265BB"/>
    <w:rsid w:val="002265FE"/>
    <w:rsid w:val="00226E7C"/>
    <w:rsid w:val="00227CC9"/>
    <w:rsid w:val="00230199"/>
    <w:rsid w:val="002316B2"/>
    <w:rsid w:val="00231BC9"/>
    <w:rsid w:val="002322C4"/>
    <w:rsid w:val="00232539"/>
    <w:rsid w:val="00232CB8"/>
    <w:rsid w:val="00233E09"/>
    <w:rsid w:val="0023421A"/>
    <w:rsid w:val="00234BDA"/>
    <w:rsid w:val="00235002"/>
    <w:rsid w:val="00235634"/>
    <w:rsid w:val="00235F4A"/>
    <w:rsid w:val="002360D7"/>
    <w:rsid w:val="002361F6"/>
    <w:rsid w:val="002366B6"/>
    <w:rsid w:val="002373B2"/>
    <w:rsid w:val="00237D59"/>
    <w:rsid w:val="00240CA3"/>
    <w:rsid w:val="00241029"/>
    <w:rsid w:val="00241FB2"/>
    <w:rsid w:val="00242086"/>
    <w:rsid w:val="00242390"/>
    <w:rsid w:val="002432D8"/>
    <w:rsid w:val="002435F9"/>
    <w:rsid w:val="0024445E"/>
    <w:rsid w:val="00244603"/>
    <w:rsid w:val="002449C6"/>
    <w:rsid w:val="00246907"/>
    <w:rsid w:val="00247204"/>
    <w:rsid w:val="00247298"/>
    <w:rsid w:val="00247BA9"/>
    <w:rsid w:val="0025104C"/>
    <w:rsid w:val="0025183D"/>
    <w:rsid w:val="0025268A"/>
    <w:rsid w:val="00252717"/>
    <w:rsid w:val="002529DA"/>
    <w:rsid w:val="00252C20"/>
    <w:rsid w:val="002538E8"/>
    <w:rsid w:val="00253D0D"/>
    <w:rsid w:val="0025415F"/>
    <w:rsid w:val="0025432C"/>
    <w:rsid w:val="00254EF7"/>
    <w:rsid w:val="00255026"/>
    <w:rsid w:val="002550FE"/>
    <w:rsid w:val="00255F0B"/>
    <w:rsid w:val="002560C8"/>
    <w:rsid w:val="0025690B"/>
    <w:rsid w:val="00261FE7"/>
    <w:rsid w:val="0026259C"/>
    <w:rsid w:val="00262C7F"/>
    <w:rsid w:val="00262E22"/>
    <w:rsid w:val="00264C6D"/>
    <w:rsid w:val="00267362"/>
    <w:rsid w:val="00267BA6"/>
    <w:rsid w:val="002708CF"/>
    <w:rsid w:val="00271196"/>
    <w:rsid w:val="00271CA8"/>
    <w:rsid w:val="0027341A"/>
    <w:rsid w:val="0027384F"/>
    <w:rsid w:val="00274B02"/>
    <w:rsid w:val="00275690"/>
    <w:rsid w:val="002765F4"/>
    <w:rsid w:val="0027660E"/>
    <w:rsid w:val="00276960"/>
    <w:rsid w:val="00276CBE"/>
    <w:rsid w:val="00277E65"/>
    <w:rsid w:val="002802D6"/>
    <w:rsid w:val="002815E4"/>
    <w:rsid w:val="00282C67"/>
    <w:rsid w:val="00284846"/>
    <w:rsid w:val="00284A34"/>
    <w:rsid w:val="002863DA"/>
    <w:rsid w:val="002877A9"/>
    <w:rsid w:val="00287960"/>
    <w:rsid w:val="00290300"/>
    <w:rsid w:val="002903A9"/>
    <w:rsid w:val="00290555"/>
    <w:rsid w:val="002915B3"/>
    <w:rsid w:val="0029225C"/>
    <w:rsid w:val="00292654"/>
    <w:rsid w:val="002927D7"/>
    <w:rsid w:val="002939F5"/>
    <w:rsid w:val="00294ACE"/>
    <w:rsid w:val="00295226"/>
    <w:rsid w:val="00295233"/>
    <w:rsid w:val="0029523E"/>
    <w:rsid w:val="002966D0"/>
    <w:rsid w:val="00296CF7"/>
    <w:rsid w:val="0029729E"/>
    <w:rsid w:val="002972F8"/>
    <w:rsid w:val="002A16AC"/>
    <w:rsid w:val="002A1BC1"/>
    <w:rsid w:val="002A1F32"/>
    <w:rsid w:val="002A247D"/>
    <w:rsid w:val="002A2D64"/>
    <w:rsid w:val="002A33CA"/>
    <w:rsid w:val="002A37EC"/>
    <w:rsid w:val="002A43DC"/>
    <w:rsid w:val="002A5797"/>
    <w:rsid w:val="002A5F29"/>
    <w:rsid w:val="002A7E97"/>
    <w:rsid w:val="002B0797"/>
    <w:rsid w:val="002B08A7"/>
    <w:rsid w:val="002B0B9B"/>
    <w:rsid w:val="002B0CB2"/>
    <w:rsid w:val="002B1676"/>
    <w:rsid w:val="002B24A9"/>
    <w:rsid w:val="002B35A3"/>
    <w:rsid w:val="002B37CB"/>
    <w:rsid w:val="002B3D3D"/>
    <w:rsid w:val="002B433D"/>
    <w:rsid w:val="002B4D36"/>
    <w:rsid w:val="002B58D5"/>
    <w:rsid w:val="002B6605"/>
    <w:rsid w:val="002B696C"/>
    <w:rsid w:val="002B7717"/>
    <w:rsid w:val="002B77E5"/>
    <w:rsid w:val="002B7E39"/>
    <w:rsid w:val="002C07C6"/>
    <w:rsid w:val="002C2021"/>
    <w:rsid w:val="002C29B5"/>
    <w:rsid w:val="002C3226"/>
    <w:rsid w:val="002C32EF"/>
    <w:rsid w:val="002C3B71"/>
    <w:rsid w:val="002C40A1"/>
    <w:rsid w:val="002C4662"/>
    <w:rsid w:val="002C48E5"/>
    <w:rsid w:val="002C4EA6"/>
    <w:rsid w:val="002C6A69"/>
    <w:rsid w:val="002C7848"/>
    <w:rsid w:val="002D045E"/>
    <w:rsid w:val="002D0A85"/>
    <w:rsid w:val="002D2B12"/>
    <w:rsid w:val="002D2EF5"/>
    <w:rsid w:val="002D3164"/>
    <w:rsid w:val="002D3888"/>
    <w:rsid w:val="002D4B7B"/>
    <w:rsid w:val="002D5953"/>
    <w:rsid w:val="002D5D8D"/>
    <w:rsid w:val="002D5F22"/>
    <w:rsid w:val="002D61A1"/>
    <w:rsid w:val="002D6572"/>
    <w:rsid w:val="002D792A"/>
    <w:rsid w:val="002E02A6"/>
    <w:rsid w:val="002E10A1"/>
    <w:rsid w:val="002E1372"/>
    <w:rsid w:val="002E1659"/>
    <w:rsid w:val="002E1E4B"/>
    <w:rsid w:val="002E2AED"/>
    <w:rsid w:val="002E37A6"/>
    <w:rsid w:val="002E3FEC"/>
    <w:rsid w:val="002E413F"/>
    <w:rsid w:val="002E47E5"/>
    <w:rsid w:val="002E5167"/>
    <w:rsid w:val="002E528F"/>
    <w:rsid w:val="002E5420"/>
    <w:rsid w:val="002E55B6"/>
    <w:rsid w:val="002E623F"/>
    <w:rsid w:val="002E64BB"/>
    <w:rsid w:val="002E710C"/>
    <w:rsid w:val="002E74E1"/>
    <w:rsid w:val="002E7B2A"/>
    <w:rsid w:val="002E7E10"/>
    <w:rsid w:val="002F019A"/>
    <w:rsid w:val="002F2001"/>
    <w:rsid w:val="002F2EFE"/>
    <w:rsid w:val="002F2F8A"/>
    <w:rsid w:val="002F4038"/>
    <w:rsid w:val="002F45A6"/>
    <w:rsid w:val="002F479C"/>
    <w:rsid w:val="002F59A5"/>
    <w:rsid w:val="002F5AD9"/>
    <w:rsid w:val="002F6199"/>
    <w:rsid w:val="002F7E35"/>
    <w:rsid w:val="003003CE"/>
    <w:rsid w:val="00300A3C"/>
    <w:rsid w:val="003012A5"/>
    <w:rsid w:val="00301C01"/>
    <w:rsid w:val="003021B6"/>
    <w:rsid w:val="003022E1"/>
    <w:rsid w:val="00303F02"/>
    <w:rsid w:val="00304D8D"/>
    <w:rsid w:val="0030507D"/>
    <w:rsid w:val="00305E29"/>
    <w:rsid w:val="00305E4A"/>
    <w:rsid w:val="003064EC"/>
    <w:rsid w:val="003065EF"/>
    <w:rsid w:val="0030747E"/>
    <w:rsid w:val="003117E1"/>
    <w:rsid w:val="00311CCA"/>
    <w:rsid w:val="00312688"/>
    <w:rsid w:val="00313FC3"/>
    <w:rsid w:val="00314625"/>
    <w:rsid w:val="003148E5"/>
    <w:rsid w:val="00314B0E"/>
    <w:rsid w:val="003164E6"/>
    <w:rsid w:val="00316701"/>
    <w:rsid w:val="003179DB"/>
    <w:rsid w:val="00321397"/>
    <w:rsid w:val="003215CC"/>
    <w:rsid w:val="003225A1"/>
    <w:rsid w:val="0032283D"/>
    <w:rsid w:val="00323809"/>
    <w:rsid w:val="0032394E"/>
    <w:rsid w:val="00323CBC"/>
    <w:rsid w:val="00323FDF"/>
    <w:rsid w:val="00324CAD"/>
    <w:rsid w:val="00325593"/>
    <w:rsid w:val="00325CAF"/>
    <w:rsid w:val="00326CB7"/>
    <w:rsid w:val="00327024"/>
    <w:rsid w:val="00327201"/>
    <w:rsid w:val="003272B0"/>
    <w:rsid w:val="0032751C"/>
    <w:rsid w:val="00327EA4"/>
    <w:rsid w:val="00330469"/>
    <w:rsid w:val="0033237E"/>
    <w:rsid w:val="0033244E"/>
    <w:rsid w:val="00332AB7"/>
    <w:rsid w:val="00332C34"/>
    <w:rsid w:val="00332EEA"/>
    <w:rsid w:val="003330E8"/>
    <w:rsid w:val="00334AB6"/>
    <w:rsid w:val="00334B05"/>
    <w:rsid w:val="00334B6A"/>
    <w:rsid w:val="003352D3"/>
    <w:rsid w:val="0033617A"/>
    <w:rsid w:val="003362C0"/>
    <w:rsid w:val="003371CD"/>
    <w:rsid w:val="00340359"/>
    <w:rsid w:val="00340998"/>
    <w:rsid w:val="003410C4"/>
    <w:rsid w:val="003419E2"/>
    <w:rsid w:val="00341BA0"/>
    <w:rsid w:val="00343D09"/>
    <w:rsid w:val="0034416E"/>
    <w:rsid w:val="003459F9"/>
    <w:rsid w:val="00346BC3"/>
    <w:rsid w:val="00347090"/>
    <w:rsid w:val="00347A17"/>
    <w:rsid w:val="00347B67"/>
    <w:rsid w:val="00351108"/>
    <w:rsid w:val="00351B4D"/>
    <w:rsid w:val="00351D53"/>
    <w:rsid w:val="00351D6F"/>
    <w:rsid w:val="003524C3"/>
    <w:rsid w:val="0035274C"/>
    <w:rsid w:val="00352D41"/>
    <w:rsid w:val="0035409D"/>
    <w:rsid w:val="00354167"/>
    <w:rsid w:val="003544AB"/>
    <w:rsid w:val="003545A2"/>
    <w:rsid w:val="00354CCA"/>
    <w:rsid w:val="0035576C"/>
    <w:rsid w:val="00355E4B"/>
    <w:rsid w:val="00356460"/>
    <w:rsid w:val="00356E99"/>
    <w:rsid w:val="00356EE3"/>
    <w:rsid w:val="00356FEC"/>
    <w:rsid w:val="0035701D"/>
    <w:rsid w:val="00357749"/>
    <w:rsid w:val="00361AB1"/>
    <w:rsid w:val="00361F41"/>
    <w:rsid w:val="003626D1"/>
    <w:rsid w:val="00362AFD"/>
    <w:rsid w:val="00363718"/>
    <w:rsid w:val="00363A84"/>
    <w:rsid w:val="00364672"/>
    <w:rsid w:val="00364BD2"/>
    <w:rsid w:val="00364D38"/>
    <w:rsid w:val="003657BD"/>
    <w:rsid w:val="00366146"/>
    <w:rsid w:val="003671D7"/>
    <w:rsid w:val="00370C79"/>
    <w:rsid w:val="00370D16"/>
    <w:rsid w:val="00370D19"/>
    <w:rsid w:val="00373C2F"/>
    <w:rsid w:val="00373F78"/>
    <w:rsid w:val="00374ABD"/>
    <w:rsid w:val="003777DE"/>
    <w:rsid w:val="003778A4"/>
    <w:rsid w:val="00380F30"/>
    <w:rsid w:val="00381542"/>
    <w:rsid w:val="00381B94"/>
    <w:rsid w:val="00382052"/>
    <w:rsid w:val="00382637"/>
    <w:rsid w:val="00382704"/>
    <w:rsid w:val="003828D6"/>
    <w:rsid w:val="00382C12"/>
    <w:rsid w:val="00383D1A"/>
    <w:rsid w:val="00383DE1"/>
    <w:rsid w:val="003841FE"/>
    <w:rsid w:val="0038477F"/>
    <w:rsid w:val="00384897"/>
    <w:rsid w:val="00385D6A"/>
    <w:rsid w:val="003865EA"/>
    <w:rsid w:val="003916B7"/>
    <w:rsid w:val="0039193B"/>
    <w:rsid w:val="00391C03"/>
    <w:rsid w:val="00392A39"/>
    <w:rsid w:val="00393CF3"/>
    <w:rsid w:val="00394054"/>
    <w:rsid w:val="00394D0B"/>
    <w:rsid w:val="003950D4"/>
    <w:rsid w:val="00395608"/>
    <w:rsid w:val="00395A7E"/>
    <w:rsid w:val="00396F31"/>
    <w:rsid w:val="003A01B2"/>
    <w:rsid w:val="003A0904"/>
    <w:rsid w:val="003A0BCB"/>
    <w:rsid w:val="003A12E3"/>
    <w:rsid w:val="003A2055"/>
    <w:rsid w:val="003A2261"/>
    <w:rsid w:val="003A255C"/>
    <w:rsid w:val="003A2B61"/>
    <w:rsid w:val="003A2C70"/>
    <w:rsid w:val="003A3C57"/>
    <w:rsid w:val="003A3EB1"/>
    <w:rsid w:val="003A42C0"/>
    <w:rsid w:val="003A4B6C"/>
    <w:rsid w:val="003A4F1E"/>
    <w:rsid w:val="003A516C"/>
    <w:rsid w:val="003A546E"/>
    <w:rsid w:val="003A6672"/>
    <w:rsid w:val="003A6996"/>
    <w:rsid w:val="003A70DC"/>
    <w:rsid w:val="003B05FB"/>
    <w:rsid w:val="003B08E5"/>
    <w:rsid w:val="003B0AFA"/>
    <w:rsid w:val="003B0B82"/>
    <w:rsid w:val="003B0C2E"/>
    <w:rsid w:val="003B1FF4"/>
    <w:rsid w:val="003B2C78"/>
    <w:rsid w:val="003B3318"/>
    <w:rsid w:val="003B38A5"/>
    <w:rsid w:val="003B4045"/>
    <w:rsid w:val="003B4286"/>
    <w:rsid w:val="003B5799"/>
    <w:rsid w:val="003B5F58"/>
    <w:rsid w:val="003B673A"/>
    <w:rsid w:val="003C05B1"/>
    <w:rsid w:val="003C09CF"/>
    <w:rsid w:val="003C0D52"/>
    <w:rsid w:val="003C1A31"/>
    <w:rsid w:val="003C26D2"/>
    <w:rsid w:val="003C2CB5"/>
    <w:rsid w:val="003C2CC8"/>
    <w:rsid w:val="003C2D17"/>
    <w:rsid w:val="003C2E59"/>
    <w:rsid w:val="003C2EF2"/>
    <w:rsid w:val="003C32C6"/>
    <w:rsid w:val="003C3C34"/>
    <w:rsid w:val="003C42C4"/>
    <w:rsid w:val="003C4C5D"/>
    <w:rsid w:val="003C69A2"/>
    <w:rsid w:val="003C7423"/>
    <w:rsid w:val="003C75B5"/>
    <w:rsid w:val="003C7766"/>
    <w:rsid w:val="003C7B8B"/>
    <w:rsid w:val="003D0676"/>
    <w:rsid w:val="003D17A2"/>
    <w:rsid w:val="003D1925"/>
    <w:rsid w:val="003D2740"/>
    <w:rsid w:val="003D2C3D"/>
    <w:rsid w:val="003D2CA9"/>
    <w:rsid w:val="003D3F84"/>
    <w:rsid w:val="003D4920"/>
    <w:rsid w:val="003D5729"/>
    <w:rsid w:val="003D5F05"/>
    <w:rsid w:val="003D5FA9"/>
    <w:rsid w:val="003D6491"/>
    <w:rsid w:val="003D6557"/>
    <w:rsid w:val="003D6CE4"/>
    <w:rsid w:val="003D74D8"/>
    <w:rsid w:val="003D7A61"/>
    <w:rsid w:val="003D7B13"/>
    <w:rsid w:val="003D7C78"/>
    <w:rsid w:val="003E0726"/>
    <w:rsid w:val="003E0740"/>
    <w:rsid w:val="003E1BD9"/>
    <w:rsid w:val="003E2BB0"/>
    <w:rsid w:val="003E2E55"/>
    <w:rsid w:val="003E3EC2"/>
    <w:rsid w:val="003E4268"/>
    <w:rsid w:val="003E45BC"/>
    <w:rsid w:val="003E4D21"/>
    <w:rsid w:val="003E5ABB"/>
    <w:rsid w:val="003E612A"/>
    <w:rsid w:val="003E6181"/>
    <w:rsid w:val="003E6A6A"/>
    <w:rsid w:val="003E6F9D"/>
    <w:rsid w:val="003E7222"/>
    <w:rsid w:val="003E7326"/>
    <w:rsid w:val="003F06FE"/>
    <w:rsid w:val="003F0E97"/>
    <w:rsid w:val="003F161A"/>
    <w:rsid w:val="003F1791"/>
    <w:rsid w:val="003F190D"/>
    <w:rsid w:val="003F19BD"/>
    <w:rsid w:val="003F24DC"/>
    <w:rsid w:val="003F24E1"/>
    <w:rsid w:val="003F3692"/>
    <w:rsid w:val="003F38FB"/>
    <w:rsid w:val="003F3B0D"/>
    <w:rsid w:val="003F57F9"/>
    <w:rsid w:val="003F7490"/>
    <w:rsid w:val="003F7E75"/>
    <w:rsid w:val="004002E5"/>
    <w:rsid w:val="004005EF"/>
    <w:rsid w:val="0040130B"/>
    <w:rsid w:val="00401A04"/>
    <w:rsid w:val="00401D18"/>
    <w:rsid w:val="00401D48"/>
    <w:rsid w:val="00401FAB"/>
    <w:rsid w:val="004021FB"/>
    <w:rsid w:val="00402A7B"/>
    <w:rsid w:val="00402C90"/>
    <w:rsid w:val="0040352F"/>
    <w:rsid w:val="004053DD"/>
    <w:rsid w:val="00405AA3"/>
    <w:rsid w:val="00405F51"/>
    <w:rsid w:val="0040705A"/>
    <w:rsid w:val="00410CC2"/>
    <w:rsid w:val="00410E1F"/>
    <w:rsid w:val="00411A26"/>
    <w:rsid w:val="00411DEB"/>
    <w:rsid w:val="0041280B"/>
    <w:rsid w:val="00412F75"/>
    <w:rsid w:val="00415C69"/>
    <w:rsid w:val="0041621A"/>
    <w:rsid w:val="00416846"/>
    <w:rsid w:val="00417295"/>
    <w:rsid w:val="00417663"/>
    <w:rsid w:val="004178CF"/>
    <w:rsid w:val="00420229"/>
    <w:rsid w:val="004215F8"/>
    <w:rsid w:val="004221B4"/>
    <w:rsid w:val="0042231D"/>
    <w:rsid w:val="004234C3"/>
    <w:rsid w:val="00423C56"/>
    <w:rsid w:val="00423E5B"/>
    <w:rsid w:val="00423E84"/>
    <w:rsid w:val="0042466B"/>
    <w:rsid w:val="004247A4"/>
    <w:rsid w:val="00424A8A"/>
    <w:rsid w:val="004256D6"/>
    <w:rsid w:val="00427289"/>
    <w:rsid w:val="004303B8"/>
    <w:rsid w:val="004304D5"/>
    <w:rsid w:val="00430C78"/>
    <w:rsid w:val="00430E8C"/>
    <w:rsid w:val="004314BF"/>
    <w:rsid w:val="00432C6F"/>
    <w:rsid w:val="00432EF8"/>
    <w:rsid w:val="00433476"/>
    <w:rsid w:val="00433B88"/>
    <w:rsid w:val="004345E3"/>
    <w:rsid w:val="00434855"/>
    <w:rsid w:val="00435296"/>
    <w:rsid w:val="004358FA"/>
    <w:rsid w:val="00435B3C"/>
    <w:rsid w:val="0043654A"/>
    <w:rsid w:val="00436BC1"/>
    <w:rsid w:val="004371E3"/>
    <w:rsid w:val="004376D9"/>
    <w:rsid w:val="004376FE"/>
    <w:rsid w:val="00437BD3"/>
    <w:rsid w:val="004409F6"/>
    <w:rsid w:val="00441243"/>
    <w:rsid w:val="00441431"/>
    <w:rsid w:val="00441CFC"/>
    <w:rsid w:val="00442492"/>
    <w:rsid w:val="00442804"/>
    <w:rsid w:val="00443654"/>
    <w:rsid w:val="004451FC"/>
    <w:rsid w:val="00445E62"/>
    <w:rsid w:val="004461F2"/>
    <w:rsid w:val="004465E3"/>
    <w:rsid w:val="00447478"/>
    <w:rsid w:val="004502EB"/>
    <w:rsid w:val="004508E6"/>
    <w:rsid w:val="004513E2"/>
    <w:rsid w:val="004514AE"/>
    <w:rsid w:val="00451C8A"/>
    <w:rsid w:val="00452352"/>
    <w:rsid w:val="00452EE3"/>
    <w:rsid w:val="00454A66"/>
    <w:rsid w:val="00454B04"/>
    <w:rsid w:val="00454CF7"/>
    <w:rsid w:val="00454F4E"/>
    <w:rsid w:val="00455162"/>
    <w:rsid w:val="00455278"/>
    <w:rsid w:val="004552EB"/>
    <w:rsid w:val="0045652D"/>
    <w:rsid w:val="00457FF4"/>
    <w:rsid w:val="0046012D"/>
    <w:rsid w:val="004612E9"/>
    <w:rsid w:val="004621B7"/>
    <w:rsid w:val="00462DB7"/>
    <w:rsid w:val="00463A80"/>
    <w:rsid w:val="00463E78"/>
    <w:rsid w:val="004640B7"/>
    <w:rsid w:val="00464D84"/>
    <w:rsid w:val="00466740"/>
    <w:rsid w:val="00466AF3"/>
    <w:rsid w:val="00472A9A"/>
    <w:rsid w:val="00472D4C"/>
    <w:rsid w:val="00473FDE"/>
    <w:rsid w:val="00474A0B"/>
    <w:rsid w:val="00475EC3"/>
    <w:rsid w:val="00476BBA"/>
    <w:rsid w:val="004777B3"/>
    <w:rsid w:val="00480CF4"/>
    <w:rsid w:val="004812E1"/>
    <w:rsid w:val="0048383F"/>
    <w:rsid w:val="00486BDD"/>
    <w:rsid w:val="00487038"/>
    <w:rsid w:val="0048721E"/>
    <w:rsid w:val="00487F63"/>
    <w:rsid w:val="00490614"/>
    <w:rsid w:val="00490EA5"/>
    <w:rsid w:val="004910B1"/>
    <w:rsid w:val="004910F7"/>
    <w:rsid w:val="00491EB8"/>
    <w:rsid w:val="00492495"/>
    <w:rsid w:val="00492562"/>
    <w:rsid w:val="00493067"/>
    <w:rsid w:val="0049393E"/>
    <w:rsid w:val="00493D27"/>
    <w:rsid w:val="00493EE0"/>
    <w:rsid w:val="004942F5"/>
    <w:rsid w:val="004949BC"/>
    <w:rsid w:val="00494A20"/>
    <w:rsid w:val="00494AA4"/>
    <w:rsid w:val="004967A9"/>
    <w:rsid w:val="00496D0D"/>
    <w:rsid w:val="00497298"/>
    <w:rsid w:val="00497361"/>
    <w:rsid w:val="00497B2A"/>
    <w:rsid w:val="004A0C33"/>
    <w:rsid w:val="004A36AD"/>
    <w:rsid w:val="004A3A12"/>
    <w:rsid w:val="004A40DE"/>
    <w:rsid w:val="004A432E"/>
    <w:rsid w:val="004A561F"/>
    <w:rsid w:val="004A66F3"/>
    <w:rsid w:val="004A6CF9"/>
    <w:rsid w:val="004A6F82"/>
    <w:rsid w:val="004B007C"/>
    <w:rsid w:val="004B00A6"/>
    <w:rsid w:val="004B046E"/>
    <w:rsid w:val="004B087C"/>
    <w:rsid w:val="004B09EB"/>
    <w:rsid w:val="004B1214"/>
    <w:rsid w:val="004B374B"/>
    <w:rsid w:val="004B4A7C"/>
    <w:rsid w:val="004B4AA1"/>
    <w:rsid w:val="004B526A"/>
    <w:rsid w:val="004B54FB"/>
    <w:rsid w:val="004B5ACF"/>
    <w:rsid w:val="004B60AF"/>
    <w:rsid w:val="004B7100"/>
    <w:rsid w:val="004B71E3"/>
    <w:rsid w:val="004B7479"/>
    <w:rsid w:val="004B7ADA"/>
    <w:rsid w:val="004C0B72"/>
    <w:rsid w:val="004C0C4D"/>
    <w:rsid w:val="004C2267"/>
    <w:rsid w:val="004C2E2F"/>
    <w:rsid w:val="004C3285"/>
    <w:rsid w:val="004C3B2F"/>
    <w:rsid w:val="004C44E1"/>
    <w:rsid w:val="004C4552"/>
    <w:rsid w:val="004C47CB"/>
    <w:rsid w:val="004C4ABC"/>
    <w:rsid w:val="004C5159"/>
    <w:rsid w:val="004C595C"/>
    <w:rsid w:val="004C5DA0"/>
    <w:rsid w:val="004C63F2"/>
    <w:rsid w:val="004C694F"/>
    <w:rsid w:val="004C6BBE"/>
    <w:rsid w:val="004C6CAD"/>
    <w:rsid w:val="004C7D3D"/>
    <w:rsid w:val="004C7F93"/>
    <w:rsid w:val="004D1413"/>
    <w:rsid w:val="004D1E13"/>
    <w:rsid w:val="004D2347"/>
    <w:rsid w:val="004D2D87"/>
    <w:rsid w:val="004D35DA"/>
    <w:rsid w:val="004D46B2"/>
    <w:rsid w:val="004D665C"/>
    <w:rsid w:val="004D6ADC"/>
    <w:rsid w:val="004D75BC"/>
    <w:rsid w:val="004D75ED"/>
    <w:rsid w:val="004D771E"/>
    <w:rsid w:val="004E0074"/>
    <w:rsid w:val="004E007F"/>
    <w:rsid w:val="004E0F7F"/>
    <w:rsid w:val="004E1692"/>
    <w:rsid w:val="004E1D95"/>
    <w:rsid w:val="004E236F"/>
    <w:rsid w:val="004E2A5D"/>
    <w:rsid w:val="004E4C80"/>
    <w:rsid w:val="004E4CF5"/>
    <w:rsid w:val="004E4EBC"/>
    <w:rsid w:val="004E579B"/>
    <w:rsid w:val="004E636B"/>
    <w:rsid w:val="004E6902"/>
    <w:rsid w:val="004E6913"/>
    <w:rsid w:val="004E73A5"/>
    <w:rsid w:val="004E7439"/>
    <w:rsid w:val="004F02CB"/>
    <w:rsid w:val="004F0926"/>
    <w:rsid w:val="004F0B4C"/>
    <w:rsid w:val="004F1187"/>
    <w:rsid w:val="004F140B"/>
    <w:rsid w:val="004F2018"/>
    <w:rsid w:val="004F2C08"/>
    <w:rsid w:val="004F3AE2"/>
    <w:rsid w:val="004F41BA"/>
    <w:rsid w:val="004F4D06"/>
    <w:rsid w:val="004F5104"/>
    <w:rsid w:val="004F511B"/>
    <w:rsid w:val="004F6097"/>
    <w:rsid w:val="004F63C9"/>
    <w:rsid w:val="004F710D"/>
    <w:rsid w:val="004F725A"/>
    <w:rsid w:val="004F7C73"/>
    <w:rsid w:val="0050046B"/>
    <w:rsid w:val="0050056B"/>
    <w:rsid w:val="005008B3"/>
    <w:rsid w:val="00501A93"/>
    <w:rsid w:val="00501DF7"/>
    <w:rsid w:val="0050264E"/>
    <w:rsid w:val="005044BE"/>
    <w:rsid w:val="005047D1"/>
    <w:rsid w:val="00504A05"/>
    <w:rsid w:val="00504A18"/>
    <w:rsid w:val="00504F4D"/>
    <w:rsid w:val="00505CD9"/>
    <w:rsid w:val="00506BE4"/>
    <w:rsid w:val="0050726F"/>
    <w:rsid w:val="00507F6D"/>
    <w:rsid w:val="005109DE"/>
    <w:rsid w:val="00511862"/>
    <w:rsid w:val="00511AC5"/>
    <w:rsid w:val="00511AFB"/>
    <w:rsid w:val="00511F86"/>
    <w:rsid w:val="0051249D"/>
    <w:rsid w:val="005126A3"/>
    <w:rsid w:val="00513090"/>
    <w:rsid w:val="0051318E"/>
    <w:rsid w:val="005137E2"/>
    <w:rsid w:val="005139B6"/>
    <w:rsid w:val="005150C5"/>
    <w:rsid w:val="005159AE"/>
    <w:rsid w:val="00517A83"/>
    <w:rsid w:val="00517ADB"/>
    <w:rsid w:val="00520926"/>
    <w:rsid w:val="00520E84"/>
    <w:rsid w:val="00520EBF"/>
    <w:rsid w:val="005211C2"/>
    <w:rsid w:val="00521400"/>
    <w:rsid w:val="005233BB"/>
    <w:rsid w:val="0052459D"/>
    <w:rsid w:val="00525DBD"/>
    <w:rsid w:val="00526A05"/>
    <w:rsid w:val="00526A3F"/>
    <w:rsid w:val="00526D25"/>
    <w:rsid w:val="00526E6A"/>
    <w:rsid w:val="00527011"/>
    <w:rsid w:val="00527C98"/>
    <w:rsid w:val="00527E37"/>
    <w:rsid w:val="00530652"/>
    <w:rsid w:val="005314AB"/>
    <w:rsid w:val="005318FF"/>
    <w:rsid w:val="0053231C"/>
    <w:rsid w:val="00532DCA"/>
    <w:rsid w:val="005336DC"/>
    <w:rsid w:val="005344E7"/>
    <w:rsid w:val="00534A7E"/>
    <w:rsid w:val="005352E7"/>
    <w:rsid w:val="00536015"/>
    <w:rsid w:val="0053645B"/>
    <w:rsid w:val="005365FE"/>
    <w:rsid w:val="005370BF"/>
    <w:rsid w:val="005375B0"/>
    <w:rsid w:val="005376D2"/>
    <w:rsid w:val="0054103B"/>
    <w:rsid w:val="0054151B"/>
    <w:rsid w:val="00541EEC"/>
    <w:rsid w:val="00542CE7"/>
    <w:rsid w:val="005434C1"/>
    <w:rsid w:val="005434CB"/>
    <w:rsid w:val="005456AC"/>
    <w:rsid w:val="005456B0"/>
    <w:rsid w:val="00545F82"/>
    <w:rsid w:val="00546429"/>
    <w:rsid w:val="005472F0"/>
    <w:rsid w:val="0054767C"/>
    <w:rsid w:val="005503FE"/>
    <w:rsid w:val="00550E7B"/>
    <w:rsid w:val="00551144"/>
    <w:rsid w:val="00552328"/>
    <w:rsid w:val="00552A08"/>
    <w:rsid w:val="005539D7"/>
    <w:rsid w:val="00554FB7"/>
    <w:rsid w:val="00555D28"/>
    <w:rsid w:val="00556481"/>
    <w:rsid w:val="00556B8A"/>
    <w:rsid w:val="00556F2D"/>
    <w:rsid w:val="00556FE9"/>
    <w:rsid w:val="0055756D"/>
    <w:rsid w:val="005577B6"/>
    <w:rsid w:val="0056072F"/>
    <w:rsid w:val="00560B90"/>
    <w:rsid w:val="00561091"/>
    <w:rsid w:val="005612B0"/>
    <w:rsid w:val="00562216"/>
    <w:rsid w:val="00562E67"/>
    <w:rsid w:val="00562F65"/>
    <w:rsid w:val="00563666"/>
    <w:rsid w:val="00564365"/>
    <w:rsid w:val="00565ACE"/>
    <w:rsid w:val="00565E2E"/>
    <w:rsid w:val="005663E4"/>
    <w:rsid w:val="00566D87"/>
    <w:rsid w:val="00566DB6"/>
    <w:rsid w:val="00566E9D"/>
    <w:rsid w:val="00570DC8"/>
    <w:rsid w:val="005720F8"/>
    <w:rsid w:val="005725E5"/>
    <w:rsid w:val="00572ABA"/>
    <w:rsid w:val="00572B02"/>
    <w:rsid w:val="00573330"/>
    <w:rsid w:val="0057342F"/>
    <w:rsid w:val="005739E6"/>
    <w:rsid w:val="00573BC0"/>
    <w:rsid w:val="00574C4D"/>
    <w:rsid w:val="005753F6"/>
    <w:rsid w:val="00575C5D"/>
    <w:rsid w:val="00576A5D"/>
    <w:rsid w:val="00576D52"/>
    <w:rsid w:val="0057726B"/>
    <w:rsid w:val="00577415"/>
    <w:rsid w:val="00580D77"/>
    <w:rsid w:val="005818BE"/>
    <w:rsid w:val="0058452F"/>
    <w:rsid w:val="00584DB6"/>
    <w:rsid w:val="00585E74"/>
    <w:rsid w:val="005860B8"/>
    <w:rsid w:val="00586BB6"/>
    <w:rsid w:val="00586EAC"/>
    <w:rsid w:val="005877A6"/>
    <w:rsid w:val="00587940"/>
    <w:rsid w:val="005879BD"/>
    <w:rsid w:val="0059042C"/>
    <w:rsid w:val="00590688"/>
    <w:rsid w:val="0059161B"/>
    <w:rsid w:val="00592342"/>
    <w:rsid w:val="00592686"/>
    <w:rsid w:val="005931BC"/>
    <w:rsid w:val="00593AB5"/>
    <w:rsid w:val="005966A2"/>
    <w:rsid w:val="00596ADA"/>
    <w:rsid w:val="00597695"/>
    <w:rsid w:val="00597F14"/>
    <w:rsid w:val="005A08EF"/>
    <w:rsid w:val="005A1718"/>
    <w:rsid w:val="005A1C77"/>
    <w:rsid w:val="005A2191"/>
    <w:rsid w:val="005A2AB3"/>
    <w:rsid w:val="005A3234"/>
    <w:rsid w:val="005A3401"/>
    <w:rsid w:val="005A4821"/>
    <w:rsid w:val="005A506D"/>
    <w:rsid w:val="005A50E4"/>
    <w:rsid w:val="005A57C7"/>
    <w:rsid w:val="005A5F66"/>
    <w:rsid w:val="005A7FDD"/>
    <w:rsid w:val="005B0B12"/>
    <w:rsid w:val="005B2E3E"/>
    <w:rsid w:val="005B2F3E"/>
    <w:rsid w:val="005B3751"/>
    <w:rsid w:val="005B3E8A"/>
    <w:rsid w:val="005B4DD1"/>
    <w:rsid w:val="005B4F3E"/>
    <w:rsid w:val="005B5775"/>
    <w:rsid w:val="005B5CD4"/>
    <w:rsid w:val="005B7513"/>
    <w:rsid w:val="005C0412"/>
    <w:rsid w:val="005C063D"/>
    <w:rsid w:val="005C08C7"/>
    <w:rsid w:val="005C0C2A"/>
    <w:rsid w:val="005C1E74"/>
    <w:rsid w:val="005C1F90"/>
    <w:rsid w:val="005C3662"/>
    <w:rsid w:val="005C3C69"/>
    <w:rsid w:val="005C3CE6"/>
    <w:rsid w:val="005C4175"/>
    <w:rsid w:val="005C4492"/>
    <w:rsid w:val="005C48B6"/>
    <w:rsid w:val="005C4B58"/>
    <w:rsid w:val="005C4B96"/>
    <w:rsid w:val="005C4C42"/>
    <w:rsid w:val="005C5042"/>
    <w:rsid w:val="005C6A18"/>
    <w:rsid w:val="005C6AB7"/>
    <w:rsid w:val="005C7038"/>
    <w:rsid w:val="005C721B"/>
    <w:rsid w:val="005D0602"/>
    <w:rsid w:val="005D0FA7"/>
    <w:rsid w:val="005D2714"/>
    <w:rsid w:val="005D2EEE"/>
    <w:rsid w:val="005D317E"/>
    <w:rsid w:val="005D32E5"/>
    <w:rsid w:val="005D3358"/>
    <w:rsid w:val="005D3400"/>
    <w:rsid w:val="005D3C0D"/>
    <w:rsid w:val="005D5AF5"/>
    <w:rsid w:val="005D6880"/>
    <w:rsid w:val="005D68CC"/>
    <w:rsid w:val="005D732C"/>
    <w:rsid w:val="005D7421"/>
    <w:rsid w:val="005D7782"/>
    <w:rsid w:val="005E0DA5"/>
    <w:rsid w:val="005E13CA"/>
    <w:rsid w:val="005E28F9"/>
    <w:rsid w:val="005E2F1D"/>
    <w:rsid w:val="005E413B"/>
    <w:rsid w:val="005E5737"/>
    <w:rsid w:val="005E58FA"/>
    <w:rsid w:val="005E5F14"/>
    <w:rsid w:val="005E6242"/>
    <w:rsid w:val="005E6565"/>
    <w:rsid w:val="005E6A0E"/>
    <w:rsid w:val="005E7913"/>
    <w:rsid w:val="005F0745"/>
    <w:rsid w:val="005F0C9A"/>
    <w:rsid w:val="005F3237"/>
    <w:rsid w:val="005F4036"/>
    <w:rsid w:val="005F458D"/>
    <w:rsid w:val="005F50C4"/>
    <w:rsid w:val="005F512F"/>
    <w:rsid w:val="005F5214"/>
    <w:rsid w:val="005F54E9"/>
    <w:rsid w:val="005F5815"/>
    <w:rsid w:val="005F5B59"/>
    <w:rsid w:val="005F5B5A"/>
    <w:rsid w:val="005F5DC5"/>
    <w:rsid w:val="005F737B"/>
    <w:rsid w:val="005F7E26"/>
    <w:rsid w:val="006005E6"/>
    <w:rsid w:val="00601C25"/>
    <w:rsid w:val="00602374"/>
    <w:rsid w:val="0060357B"/>
    <w:rsid w:val="00603C8C"/>
    <w:rsid w:val="00604853"/>
    <w:rsid w:val="00604CFB"/>
    <w:rsid w:val="00605613"/>
    <w:rsid w:val="00605D20"/>
    <w:rsid w:val="00607398"/>
    <w:rsid w:val="00610703"/>
    <w:rsid w:val="00610BD6"/>
    <w:rsid w:val="006114FD"/>
    <w:rsid w:val="00611576"/>
    <w:rsid w:val="00611A42"/>
    <w:rsid w:val="00611C1A"/>
    <w:rsid w:val="00612E53"/>
    <w:rsid w:val="00612E75"/>
    <w:rsid w:val="006130C3"/>
    <w:rsid w:val="00613B15"/>
    <w:rsid w:val="00613DA5"/>
    <w:rsid w:val="0061466E"/>
    <w:rsid w:val="0061480D"/>
    <w:rsid w:val="00615610"/>
    <w:rsid w:val="00615A33"/>
    <w:rsid w:val="00617E0D"/>
    <w:rsid w:val="0062010D"/>
    <w:rsid w:val="0062175D"/>
    <w:rsid w:val="00621988"/>
    <w:rsid w:val="00621BEB"/>
    <w:rsid w:val="00622B09"/>
    <w:rsid w:val="00622E77"/>
    <w:rsid w:val="00623040"/>
    <w:rsid w:val="0062369A"/>
    <w:rsid w:val="00623A57"/>
    <w:rsid w:val="00623A6D"/>
    <w:rsid w:val="00624023"/>
    <w:rsid w:val="006240B5"/>
    <w:rsid w:val="00624A98"/>
    <w:rsid w:val="00625272"/>
    <w:rsid w:val="0062560D"/>
    <w:rsid w:val="0062569D"/>
    <w:rsid w:val="00626BA4"/>
    <w:rsid w:val="00626BB0"/>
    <w:rsid w:val="00626CF4"/>
    <w:rsid w:val="00627267"/>
    <w:rsid w:val="0062728C"/>
    <w:rsid w:val="00627786"/>
    <w:rsid w:val="00630A3A"/>
    <w:rsid w:val="00631780"/>
    <w:rsid w:val="00631920"/>
    <w:rsid w:val="006325BD"/>
    <w:rsid w:val="00632BDD"/>
    <w:rsid w:val="006331F6"/>
    <w:rsid w:val="0063360F"/>
    <w:rsid w:val="0063396A"/>
    <w:rsid w:val="00634559"/>
    <w:rsid w:val="00634719"/>
    <w:rsid w:val="00634D4E"/>
    <w:rsid w:val="00635770"/>
    <w:rsid w:val="00636794"/>
    <w:rsid w:val="006369C6"/>
    <w:rsid w:val="00637989"/>
    <w:rsid w:val="00637D71"/>
    <w:rsid w:val="0064023A"/>
    <w:rsid w:val="006417D7"/>
    <w:rsid w:val="006423FF"/>
    <w:rsid w:val="006427C5"/>
    <w:rsid w:val="00643065"/>
    <w:rsid w:val="00643F0D"/>
    <w:rsid w:val="006441C0"/>
    <w:rsid w:val="006445F9"/>
    <w:rsid w:val="006448EA"/>
    <w:rsid w:val="006474E8"/>
    <w:rsid w:val="00647E92"/>
    <w:rsid w:val="006507CB"/>
    <w:rsid w:val="00650B16"/>
    <w:rsid w:val="00650FB9"/>
    <w:rsid w:val="006516E1"/>
    <w:rsid w:val="006524CD"/>
    <w:rsid w:val="0065275F"/>
    <w:rsid w:val="00652AB6"/>
    <w:rsid w:val="00652BEE"/>
    <w:rsid w:val="00653548"/>
    <w:rsid w:val="00653D6B"/>
    <w:rsid w:val="00654EE4"/>
    <w:rsid w:val="00655408"/>
    <w:rsid w:val="0065610D"/>
    <w:rsid w:val="00656187"/>
    <w:rsid w:val="006576B1"/>
    <w:rsid w:val="00657838"/>
    <w:rsid w:val="00657D43"/>
    <w:rsid w:val="0066026D"/>
    <w:rsid w:val="006603F7"/>
    <w:rsid w:val="00660ACE"/>
    <w:rsid w:val="00660E65"/>
    <w:rsid w:val="00660F20"/>
    <w:rsid w:val="0066180F"/>
    <w:rsid w:val="00662A56"/>
    <w:rsid w:val="00663243"/>
    <w:rsid w:val="00663BE6"/>
    <w:rsid w:val="00664158"/>
    <w:rsid w:val="0066459B"/>
    <w:rsid w:val="00664A28"/>
    <w:rsid w:val="00666AB9"/>
    <w:rsid w:val="006674AD"/>
    <w:rsid w:val="00667886"/>
    <w:rsid w:val="006703A3"/>
    <w:rsid w:val="006728A1"/>
    <w:rsid w:val="00672EA3"/>
    <w:rsid w:val="00672EE8"/>
    <w:rsid w:val="00674625"/>
    <w:rsid w:val="00674C20"/>
    <w:rsid w:val="00675094"/>
    <w:rsid w:val="00675245"/>
    <w:rsid w:val="00675A00"/>
    <w:rsid w:val="00675E7A"/>
    <w:rsid w:val="0067608D"/>
    <w:rsid w:val="00676200"/>
    <w:rsid w:val="0067627E"/>
    <w:rsid w:val="00676CB2"/>
    <w:rsid w:val="00680999"/>
    <w:rsid w:val="00680AB9"/>
    <w:rsid w:val="00680E16"/>
    <w:rsid w:val="006810D4"/>
    <w:rsid w:val="0068114D"/>
    <w:rsid w:val="00681460"/>
    <w:rsid w:val="00681A82"/>
    <w:rsid w:val="006821BA"/>
    <w:rsid w:val="0068260A"/>
    <w:rsid w:val="006840E3"/>
    <w:rsid w:val="00684549"/>
    <w:rsid w:val="00684F47"/>
    <w:rsid w:val="006853B4"/>
    <w:rsid w:val="00685B50"/>
    <w:rsid w:val="006871EC"/>
    <w:rsid w:val="00687F4D"/>
    <w:rsid w:val="00690059"/>
    <w:rsid w:val="006903E5"/>
    <w:rsid w:val="006913E7"/>
    <w:rsid w:val="00691507"/>
    <w:rsid w:val="00692682"/>
    <w:rsid w:val="00693200"/>
    <w:rsid w:val="006938A8"/>
    <w:rsid w:val="006940F8"/>
    <w:rsid w:val="006945F3"/>
    <w:rsid w:val="0069511E"/>
    <w:rsid w:val="0069622D"/>
    <w:rsid w:val="006964B8"/>
    <w:rsid w:val="0069693B"/>
    <w:rsid w:val="006A00BC"/>
    <w:rsid w:val="006A05DC"/>
    <w:rsid w:val="006A0BFE"/>
    <w:rsid w:val="006A0E6C"/>
    <w:rsid w:val="006A153F"/>
    <w:rsid w:val="006A1922"/>
    <w:rsid w:val="006A41F6"/>
    <w:rsid w:val="006A4DAB"/>
    <w:rsid w:val="006A5399"/>
    <w:rsid w:val="006A5A5B"/>
    <w:rsid w:val="006A6104"/>
    <w:rsid w:val="006A66E4"/>
    <w:rsid w:val="006A6BFC"/>
    <w:rsid w:val="006A7FDA"/>
    <w:rsid w:val="006B04FC"/>
    <w:rsid w:val="006B07FF"/>
    <w:rsid w:val="006B0CC6"/>
    <w:rsid w:val="006B14EB"/>
    <w:rsid w:val="006B1C88"/>
    <w:rsid w:val="006B27D8"/>
    <w:rsid w:val="006B2B6B"/>
    <w:rsid w:val="006B3EF4"/>
    <w:rsid w:val="006B420E"/>
    <w:rsid w:val="006B5672"/>
    <w:rsid w:val="006B5D50"/>
    <w:rsid w:val="006B732C"/>
    <w:rsid w:val="006B742C"/>
    <w:rsid w:val="006C06F8"/>
    <w:rsid w:val="006C0CB2"/>
    <w:rsid w:val="006C0D1E"/>
    <w:rsid w:val="006C209D"/>
    <w:rsid w:val="006C27EA"/>
    <w:rsid w:val="006C2960"/>
    <w:rsid w:val="006C2AE1"/>
    <w:rsid w:val="006C42F8"/>
    <w:rsid w:val="006C47A0"/>
    <w:rsid w:val="006C568B"/>
    <w:rsid w:val="006C572F"/>
    <w:rsid w:val="006C5D6F"/>
    <w:rsid w:val="006C63AF"/>
    <w:rsid w:val="006C7321"/>
    <w:rsid w:val="006C734D"/>
    <w:rsid w:val="006C781A"/>
    <w:rsid w:val="006C7C1B"/>
    <w:rsid w:val="006C7CF8"/>
    <w:rsid w:val="006D071A"/>
    <w:rsid w:val="006D1174"/>
    <w:rsid w:val="006D158D"/>
    <w:rsid w:val="006D1F50"/>
    <w:rsid w:val="006D262A"/>
    <w:rsid w:val="006D2800"/>
    <w:rsid w:val="006D3931"/>
    <w:rsid w:val="006D3D2D"/>
    <w:rsid w:val="006D4955"/>
    <w:rsid w:val="006D5B03"/>
    <w:rsid w:val="006D664E"/>
    <w:rsid w:val="006D69D7"/>
    <w:rsid w:val="006E01AA"/>
    <w:rsid w:val="006E0CEC"/>
    <w:rsid w:val="006E1424"/>
    <w:rsid w:val="006E1F1B"/>
    <w:rsid w:val="006E283F"/>
    <w:rsid w:val="006E2EC3"/>
    <w:rsid w:val="006E342F"/>
    <w:rsid w:val="006E3A23"/>
    <w:rsid w:val="006E4135"/>
    <w:rsid w:val="006E4C37"/>
    <w:rsid w:val="006E6986"/>
    <w:rsid w:val="006E6D18"/>
    <w:rsid w:val="006E7A00"/>
    <w:rsid w:val="006E7F22"/>
    <w:rsid w:val="006F001B"/>
    <w:rsid w:val="006F0419"/>
    <w:rsid w:val="006F0C48"/>
    <w:rsid w:val="006F0E31"/>
    <w:rsid w:val="006F1BEF"/>
    <w:rsid w:val="006F4320"/>
    <w:rsid w:val="006F5BE9"/>
    <w:rsid w:val="006F61D6"/>
    <w:rsid w:val="006F6E31"/>
    <w:rsid w:val="006F6EF3"/>
    <w:rsid w:val="006F735D"/>
    <w:rsid w:val="006F7C69"/>
    <w:rsid w:val="006F7F26"/>
    <w:rsid w:val="0070020A"/>
    <w:rsid w:val="0070021E"/>
    <w:rsid w:val="00700308"/>
    <w:rsid w:val="0070093B"/>
    <w:rsid w:val="00700B27"/>
    <w:rsid w:val="00701294"/>
    <w:rsid w:val="007012BA"/>
    <w:rsid w:val="00702E0B"/>
    <w:rsid w:val="007035DE"/>
    <w:rsid w:val="00703AF1"/>
    <w:rsid w:val="00703E0D"/>
    <w:rsid w:val="00704BE5"/>
    <w:rsid w:val="00705B4E"/>
    <w:rsid w:val="007066AA"/>
    <w:rsid w:val="00706765"/>
    <w:rsid w:val="00706EE3"/>
    <w:rsid w:val="00707354"/>
    <w:rsid w:val="00707BEF"/>
    <w:rsid w:val="007105DC"/>
    <w:rsid w:val="00710DDD"/>
    <w:rsid w:val="00710E9A"/>
    <w:rsid w:val="00711682"/>
    <w:rsid w:val="00712527"/>
    <w:rsid w:val="00712F42"/>
    <w:rsid w:val="00712F98"/>
    <w:rsid w:val="007133DA"/>
    <w:rsid w:val="007145A8"/>
    <w:rsid w:val="0071492B"/>
    <w:rsid w:val="007152A0"/>
    <w:rsid w:val="007156DF"/>
    <w:rsid w:val="00715946"/>
    <w:rsid w:val="007168A2"/>
    <w:rsid w:val="00716DE9"/>
    <w:rsid w:val="0071765E"/>
    <w:rsid w:val="0071794E"/>
    <w:rsid w:val="00717EEB"/>
    <w:rsid w:val="00720060"/>
    <w:rsid w:val="0072070E"/>
    <w:rsid w:val="00720C02"/>
    <w:rsid w:val="00720FC0"/>
    <w:rsid w:val="0072103C"/>
    <w:rsid w:val="00721209"/>
    <w:rsid w:val="00721430"/>
    <w:rsid w:val="00722656"/>
    <w:rsid w:val="00722FFE"/>
    <w:rsid w:val="00723060"/>
    <w:rsid w:val="00723C9E"/>
    <w:rsid w:val="007243AB"/>
    <w:rsid w:val="00724BE2"/>
    <w:rsid w:val="00724D1A"/>
    <w:rsid w:val="0072523A"/>
    <w:rsid w:val="007259C9"/>
    <w:rsid w:val="00726AC4"/>
    <w:rsid w:val="00726FC4"/>
    <w:rsid w:val="007272C2"/>
    <w:rsid w:val="0072756B"/>
    <w:rsid w:val="00727915"/>
    <w:rsid w:val="00730828"/>
    <w:rsid w:val="00730CD5"/>
    <w:rsid w:val="00730E61"/>
    <w:rsid w:val="00731C27"/>
    <w:rsid w:val="00733953"/>
    <w:rsid w:val="00733E05"/>
    <w:rsid w:val="0073401C"/>
    <w:rsid w:val="007342B4"/>
    <w:rsid w:val="0073504D"/>
    <w:rsid w:val="007360C1"/>
    <w:rsid w:val="00736439"/>
    <w:rsid w:val="007378C0"/>
    <w:rsid w:val="0073791E"/>
    <w:rsid w:val="007405F0"/>
    <w:rsid w:val="00740730"/>
    <w:rsid w:val="00741065"/>
    <w:rsid w:val="00741E50"/>
    <w:rsid w:val="0074211C"/>
    <w:rsid w:val="00742742"/>
    <w:rsid w:val="00743DCC"/>
    <w:rsid w:val="00745681"/>
    <w:rsid w:val="00746270"/>
    <w:rsid w:val="00746546"/>
    <w:rsid w:val="0074670F"/>
    <w:rsid w:val="00746CC5"/>
    <w:rsid w:val="00746CE4"/>
    <w:rsid w:val="00747315"/>
    <w:rsid w:val="0074793A"/>
    <w:rsid w:val="007500AD"/>
    <w:rsid w:val="0075106A"/>
    <w:rsid w:val="00751BD6"/>
    <w:rsid w:val="00751C04"/>
    <w:rsid w:val="00751C6C"/>
    <w:rsid w:val="00751E7B"/>
    <w:rsid w:val="0075216E"/>
    <w:rsid w:val="00753092"/>
    <w:rsid w:val="00754256"/>
    <w:rsid w:val="00754770"/>
    <w:rsid w:val="00754963"/>
    <w:rsid w:val="0075523B"/>
    <w:rsid w:val="0075531B"/>
    <w:rsid w:val="00755360"/>
    <w:rsid w:val="00755915"/>
    <w:rsid w:val="00755CD2"/>
    <w:rsid w:val="00755FFC"/>
    <w:rsid w:val="00756327"/>
    <w:rsid w:val="00756818"/>
    <w:rsid w:val="00757B00"/>
    <w:rsid w:val="00757D26"/>
    <w:rsid w:val="00757E18"/>
    <w:rsid w:val="00761166"/>
    <w:rsid w:val="0076168F"/>
    <w:rsid w:val="007620E5"/>
    <w:rsid w:val="00762601"/>
    <w:rsid w:val="00762907"/>
    <w:rsid w:val="00762A21"/>
    <w:rsid w:val="007639BD"/>
    <w:rsid w:val="00763D10"/>
    <w:rsid w:val="00763D58"/>
    <w:rsid w:val="00763E58"/>
    <w:rsid w:val="00764233"/>
    <w:rsid w:val="007650D0"/>
    <w:rsid w:val="00765660"/>
    <w:rsid w:val="007659D7"/>
    <w:rsid w:val="00765B62"/>
    <w:rsid w:val="00765E79"/>
    <w:rsid w:val="0076645D"/>
    <w:rsid w:val="00766950"/>
    <w:rsid w:val="00766E60"/>
    <w:rsid w:val="00767BE7"/>
    <w:rsid w:val="00767C91"/>
    <w:rsid w:val="00767EF1"/>
    <w:rsid w:val="0077007E"/>
    <w:rsid w:val="00770B3A"/>
    <w:rsid w:val="00770C4D"/>
    <w:rsid w:val="0077153C"/>
    <w:rsid w:val="007718BF"/>
    <w:rsid w:val="0077199F"/>
    <w:rsid w:val="0077282B"/>
    <w:rsid w:val="00773911"/>
    <w:rsid w:val="00773E4E"/>
    <w:rsid w:val="00774A7F"/>
    <w:rsid w:val="00774A81"/>
    <w:rsid w:val="00774EEE"/>
    <w:rsid w:val="00775A2A"/>
    <w:rsid w:val="00776CB9"/>
    <w:rsid w:val="0078195D"/>
    <w:rsid w:val="00781F10"/>
    <w:rsid w:val="00782A59"/>
    <w:rsid w:val="00782A82"/>
    <w:rsid w:val="00782B4B"/>
    <w:rsid w:val="00784137"/>
    <w:rsid w:val="00784B67"/>
    <w:rsid w:val="0078541C"/>
    <w:rsid w:val="00785727"/>
    <w:rsid w:val="007870EA"/>
    <w:rsid w:val="0078760D"/>
    <w:rsid w:val="00787780"/>
    <w:rsid w:val="00790C84"/>
    <w:rsid w:val="00790D8C"/>
    <w:rsid w:val="00791CFB"/>
    <w:rsid w:val="007929DD"/>
    <w:rsid w:val="00792E01"/>
    <w:rsid w:val="007930A9"/>
    <w:rsid w:val="00794D96"/>
    <w:rsid w:val="007961A1"/>
    <w:rsid w:val="007962B4"/>
    <w:rsid w:val="00796553"/>
    <w:rsid w:val="007970A4"/>
    <w:rsid w:val="00797403"/>
    <w:rsid w:val="007A0800"/>
    <w:rsid w:val="007A11B3"/>
    <w:rsid w:val="007A156A"/>
    <w:rsid w:val="007A1ABD"/>
    <w:rsid w:val="007A2766"/>
    <w:rsid w:val="007A3978"/>
    <w:rsid w:val="007A4329"/>
    <w:rsid w:val="007A47F7"/>
    <w:rsid w:val="007A4C9D"/>
    <w:rsid w:val="007A4D8F"/>
    <w:rsid w:val="007A4F24"/>
    <w:rsid w:val="007A4FC3"/>
    <w:rsid w:val="007A4FFC"/>
    <w:rsid w:val="007A5024"/>
    <w:rsid w:val="007A5092"/>
    <w:rsid w:val="007A50D9"/>
    <w:rsid w:val="007A6792"/>
    <w:rsid w:val="007B0104"/>
    <w:rsid w:val="007B0CF9"/>
    <w:rsid w:val="007B10BF"/>
    <w:rsid w:val="007B1145"/>
    <w:rsid w:val="007B2BAE"/>
    <w:rsid w:val="007B35AB"/>
    <w:rsid w:val="007B4D81"/>
    <w:rsid w:val="007B5020"/>
    <w:rsid w:val="007B56A6"/>
    <w:rsid w:val="007B587B"/>
    <w:rsid w:val="007B5B5A"/>
    <w:rsid w:val="007B6B79"/>
    <w:rsid w:val="007B6CC0"/>
    <w:rsid w:val="007B6E82"/>
    <w:rsid w:val="007C0862"/>
    <w:rsid w:val="007C0BA1"/>
    <w:rsid w:val="007C226D"/>
    <w:rsid w:val="007C275C"/>
    <w:rsid w:val="007C2A24"/>
    <w:rsid w:val="007C3C1F"/>
    <w:rsid w:val="007C42E0"/>
    <w:rsid w:val="007C4346"/>
    <w:rsid w:val="007C4C34"/>
    <w:rsid w:val="007C5068"/>
    <w:rsid w:val="007C544E"/>
    <w:rsid w:val="007C62F3"/>
    <w:rsid w:val="007C6E16"/>
    <w:rsid w:val="007C77C7"/>
    <w:rsid w:val="007C7E04"/>
    <w:rsid w:val="007D0249"/>
    <w:rsid w:val="007D1DB4"/>
    <w:rsid w:val="007D3142"/>
    <w:rsid w:val="007D433E"/>
    <w:rsid w:val="007D520A"/>
    <w:rsid w:val="007D6DEF"/>
    <w:rsid w:val="007D723D"/>
    <w:rsid w:val="007D7524"/>
    <w:rsid w:val="007E0971"/>
    <w:rsid w:val="007E1489"/>
    <w:rsid w:val="007E1FB3"/>
    <w:rsid w:val="007E2AA2"/>
    <w:rsid w:val="007E33C7"/>
    <w:rsid w:val="007E4425"/>
    <w:rsid w:val="007E4FD2"/>
    <w:rsid w:val="007E5E1B"/>
    <w:rsid w:val="007E6874"/>
    <w:rsid w:val="007E76E0"/>
    <w:rsid w:val="007E7D89"/>
    <w:rsid w:val="007F0787"/>
    <w:rsid w:val="007F089C"/>
    <w:rsid w:val="007F1360"/>
    <w:rsid w:val="007F30C1"/>
    <w:rsid w:val="007F364A"/>
    <w:rsid w:val="007F385C"/>
    <w:rsid w:val="007F3C42"/>
    <w:rsid w:val="007F4126"/>
    <w:rsid w:val="007F415E"/>
    <w:rsid w:val="007F4AD3"/>
    <w:rsid w:val="007F55C4"/>
    <w:rsid w:val="007F658D"/>
    <w:rsid w:val="007F6FC1"/>
    <w:rsid w:val="008007F9"/>
    <w:rsid w:val="0080136A"/>
    <w:rsid w:val="00801502"/>
    <w:rsid w:val="00801511"/>
    <w:rsid w:val="00801AE8"/>
    <w:rsid w:val="00801D6C"/>
    <w:rsid w:val="00801DC4"/>
    <w:rsid w:val="008026C0"/>
    <w:rsid w:val="00802815"/>
    <w:rsid w:val="008037EE"/>
    <w:rsid w:val="008045D2"/>
    <w:rsid w:val="008047FB"/>
    <w:rsid w:val="00804B19"/>
    <w:rsid w:val="00805296"/>
    <w:rsid w:val="00805857"/>
    <w:rsid w:val="00806C0C"/>
    <w:rsid w:val="008073B5"/>
    <w:rsid w:val="00807841"/>
    <w:rsid w:val="00807D3E"/>
    <w:rsid w:val="00807F0F"/>
    <w:rsid w:val="00810035"/>
    <w:rsid w:val="0081037A"/>
    <w:rsid w:val="00811411"/>
    <w:rsid w:val="0081188B"/>
    <w:rsid w:val="00811B67"/>
    <w:rsid w:val="00811CEA"/>
    <w:rsid w:val="00813332"/>
    <w:rsid w:val="00814934"/>
    <w:rsid w:val="00815AEF"/>
    <w:rsid w:val="008166C0"/>
    <w:rsid w:val="00816945"/>
    <w:rsid w:val="00817CAC"/>
    <w:rsid w:val="008200A4"/>
    <w:rsid w:val="00820BF1"/>
    <w:rsid w:val="00820F9A"/>
    <w:rsid w:val="00822EA6"/>
    <w:rsid w:val="00822F15"/>
    <w:rsid w:val="0082330F"/>
    <w:rsid w:val="00824AC9"/>
    <w:rsid w:val="0082510E"/>
    <w:rsid w:val="0082573B"/>
    <w:rsid w:val="00825A26"/>
    <w:rsid w:val="008262DB"/>
    <w:rsid w:val="00827505"/>
    <w:rsid w:val="00827D6B"/>
    <w:rsid w:val="00830167"/>
    <w:rsid w:val="00830F36"/>
    <w:rsid w:val="00832787"/>
    <w:rsid w:val="00832CB3"/>
    <w:rsid w:val="008348A7"/>
    <w:rsid w:val="008348AB"/>
    <w:rsid w:val="00835876"/>
    <w:rsid w:val="00837964"/>
    <w:rsid w:val="00837FA6"/>
    <w:rsid w:val="00840376"/>
    <w:rsid w:val="00840B38"/>
    <w:rsid w:val="00841ECF"/>
    <w:rsid w:val="00842D59"/>
    <w:rsid w:val="0084301F"/>
    <w:rsid w:val="00843B5A"/>
    <w:rsid w:val="00843C01"/>
    <w:rsid w:val="00843D09"/>
    <w:rsid w:val="008449C4"/>
    <w:rsid w:val="00844CBE"/>
    <w:rsid w:val="008453F0"/>
    <w:rsid w:val="008454D4"/>
    <w:rsid w:val="008454F6"/>
    <w:rsid w:val="008457E5"/>
    <w:rsid w:val="00845C1F"/>
    <w:rsid w:val="00846ACB"/>
    <w:rsid w:val="00846E0C"/>
    <w:rsid w:val="008471F2"/>
    <w:rsid w:val="0084768C"/>
    <w:rsid w:val="00847EBF"/>
    <w:rsid w:val="008516D6"/>
    <w:rsid w:val="00852211"/>
    <w:rsid w:val="00852328"/>
    <w:rsid w:val="008523D7"/>
    <w:rsid w:val="008525CD"/>
    <w:rsid w:val="0085292E"/>
    <w:rsid w:val="00852932"/>
    <w:rsid w:val="00853075"/>
    <w:rsid w:val="00853AB1"/>
    <w:rsid w:val="00854543"/>
    <w:rsid w:val="008547F6"/>
    <w:rsid w:val="0085509F"/>
    <w:rsid w:val="008550FF"/>
    <w:rsid w:val="00855202"/>
    <w:rsid w:val="00855AFA"/>
    <w:rsid w:val="00855F1B"/>
    <w:rsid w:val="0085635F"/>
    <w:rsid w:val="008565F3"/>
    <w:rsid w:val="0085719E"/>
    <w:rsid w:val="00857C5D"/>
    <w:rsid w:val="00857EFC"/>
    <w:rsid w:val="00860AE7"/>
    <w:rsid w:val="00860DD5"/>
    <w:rsid w:val="0086147F"/>
    <w:rsid w:val="008635BD"/>
    <w:rsid w:val="00863BCB"/>
    <w:rsid w:val="00863D3C"/>
    <w:rsid w:val="00864276"/>
    <w:rsid w:val="008652BF"/>
    <w:rsid w:val="00866AC9"/>
    <w:rsid w:val="00867268"/>
    <w:rsid w:val="00867984"/>
    <w:rsid w:val="0087063F"/>
    <w:rsid w:val="00870E9E"/>
    <w:rsid w:val="008712D7"/>
    <w:rsid w:val="00871673"/>
    <w:rsid w:val="0087239B"/>
    <w:rsid w:val="00872A31"/>
    <w:rsid w:val="00872FE4"/>
    <w:rsid w:val="00873B1B"/>
    <w:rsid w:val="00875616"/>
    <w:rsid w:val="0087587A"/>
    <w:rsid w:val="00875AF6"/>
    <w:rsid w:val="0087691A"/>
    <w:rsid w:val="00876C0F"/>
    <w:rsid w:val="00876CA9"/>
    <w:rsid w:val="00876D75"/>
    <w:rsid w:val="00877E7A"/>
    <w:rsid w:val="00880467"/>
    <w:rsid w:val="00880CD1"/>
    <w:rsid w:val="00880CEE"/>
    <w:rsid w:val="00881229"/>
    <w:rsid w:val="008812C6"/>
    <w:rsid w:val="008816D6"/>
    <w:rsid w:val="0088222A"/>
    <w:rsid w:val="00882667"/>
    <w:rsid w:val="00882B62"/>
    <w:rsid w:val="00883617"/>
    <w:rsid w:val="0088387D"/>
    <w:rsid w:val="00883B87"/>
    <w:rsid w:val="00883D8D"/>
    <w:rsid w:val="00884256"/>
    <w:rsid w:val="00884870"/>
    <w:rsid w:val="00885872"/>
    <w:rsid w:val="008860DC"/>
    <w:rsid w:val="0088660F"/>
    <w:rsid w:val="0088719C"/>
    <w:rsid w:val="008873F8"/>
    <w:rsid w:val="0088789F"/>
    <w:rsid w:val="00891022"/>
    <w:rsid w:val="008915D0"/>
    <w:rsid w:val="00891963"/>
    <w:rsid w:val="00891E9D"/>
    <w:rsid w:val="00891FE3"/>
    <w:rsid w:val="0089206E"/>
    <w:rsid w:val="008924DF"/>
    <w:rsid w:val="0089337C"/>
    <w:rsid w:val="008939A4"/>
    <w:rsid w:val="00893BDA"/>
    <w:rsid w:val="00895028"/>
    <w:rsid w:val="00895E93"/>
    <w:rsid w:val="00895F1C"/>
    <w:rsid w:val="008961F8"/>
    <w:rsid w:val="008969D0"/>
    <w:rsid w:val="00896C93"/>
    <w:rsid w:val="008A0034"/>
    <w:rsid w:val="008A05E7"/>
    <w:rsid w:val="008A0CC2"/>
    <w:rsid w:val="008A1C64"/>
    <w:rsid w:val="008A2103"/>
    <w:rsid w:val="008A555C"/>
    <w:rsid w:val="008A6074"/>
    <w:rsid w:val="008A61D0"/>
    <w:rsid w:val="008A61FA"/>
    <w:rsid w:val="008A63FB"/>
    <w:rsid w:val="008A726D"/>
    <w:rsid w:val="008A7472"/>
    <w:rsid w:val="008A77E7"/>
    <w:rsid w:val="008A784E"/>
    <w:rsid w:val="008B0C62"/>
    <w:rsid w:val="008B134F"/>
    <w:rsid w:val="008B200F"/>
    <w:rsid w:val="008B3641"/>
    <w:rsid w:val="008B3C07"/>
    <w:rsid w:val="008B447C"/>
    <w:rsid w:val="008B5B60"/>
    <w:rsid w:val="008B666E"/>
    <w:rsid w:val="008B710D"/>
    <w:rsid w:val="008B7970"/>
    <w:rsid w:val="008C12C5"/>
    <w:rsid w:val="008C1874"/>
    <w:rsid w:val="008C1A95"/>
    <w:rsid w:val="008C1CCA"/>
    <w:rsid w:val="008C29E0"/>
    <w:rsid w:val="008C3775"/>
    <w:rsid w:val="008C40F3"/>
    <w:rsid w:val="008C49ED"/>
    <w:rsid w:val="008C51E0"/>
    <w:rsid w:val="008C581F"/>
    <w:rsid w:val="008C6368"/>
    <w:rsid w:val="008C64D2"/>
    <w:rsid w:val="008C66A8"/>
    <w:rsid w:val="008C7125"/>
    <w:rsid w:val="008C71F7"/>
    <w:rsid w:val="008C74F6"/>
    <w:rsid w:val="008C75D4"/>
    <w:rsid w:val="008C7604"/>
    <w:rsid w:val="008C771F"/>
    <w:rsid w:val="008D0B5C"/>
    <w:rsid w:val="008D120B"/>
    <w:rsid w:val="008D1230"/>
    <w:rsid w:val="008D195B"/>
    <w:rsid w:val="008D1A8F"/>
    <w:rsid w:val="008D1D86"/>
    <w:rsid w:val="008D2AEF"/>
    <w:rsid w:val="008D32D2"/>
    <w:rsid w:val="008D48F8"/>
    <w:rsid w:val="008D5282"/>
    <w:rsid w:val="008D5CDD"/>
    <w:rsid w:val="008D7A70"/>
    <w:rsid w:val="008E0420"/>
    <w:rsid w:val="008E04D4"/>
    <w:rsid w:val="008E051B"/>
    <w:rsid w:val="008E0615"/>
    <w:rsid w:val="008E0654"/>
    <w:rsid w:val="008E0C7D"/>
    <w:rsid w:val="008E0FE4"/>
    <w:rsid w:val="008E2A3D"/>
    <w:rsid w:val="008E3057"/>
    <w:rsid w:val="008E362B"/>
    <w:rsid w:val="008E3C98"/>
    <w:rsid w:val="008E4E3B"/>
    <w:rsid w:val="008E5D3D"/>
    <w:rsid w:val="008E6797"/>
    <w:rsid w:val="008E6A63"/>
    <w:rsid w:val="008E6FB5"/>
    <w:rsid w:val="008E7034"/>
    <w:rsid w:val="008F0E19"/>
    <w:rsid w:val="008F16C2"/>
    <w:rsid w:val="008F1D06"/>
    <w:rsid w:val="008F276B"/>
    <w:rsid w:val="008F2931"/>
    <w:rsid w:val="008F2B0D"/>
    <w:rsid w:val="008F31BF"/>
    <w:rsid w:val="008F53E4"/>
    <w:rsid w:val="008F6E29"/>
    <w:rsid w:val="008F7B09"/>
    <w:rsid w:val="009000D4"/>
    <w:rsid w:val="009005FC"/>
    <w:rsid w:val="00900F6F"/>
    <w:rsid w:val="00901765"/>
    <w:rsid w:val="00901B15"/>
    <w:rsid w:val="009020E9"/>
    <w:rsid w:val="00902116"/>
    <w:rsid w:val="0090271D"/>
    <w:rsid w:val="00902A12"/>
    <w:rsid w:val="00904976"/>
    <w:rsid w:val="00904FA8"/>
    <w:rsid w:val="0090673A"/>
    <w:rsid w:val="0090762A"/>
    <w:rsid w:val="0090770E"/>
    <w:rsid w:val="009078FA"/>
    <w:rsid w:val="00907B3B"/>
    <w:rsid w:val="00907C75"/>
    <w:rsid w:val="0091038F"/>
    <w:rsid w:val="0091055D"/>
    <w:rsid w:val="00910A0C"/>
    <w:rsid w:val="009127DD"/>
    <w:rsid w:val="00912A89"/>
    <w:rsid w:val="00914EA1"/>
    <w:rsid w:val="0091525A"/>
    <w:rsid w:val="009159D5"/>
    <w:rsid w:val="00920306"/>
    <w:rsid w:val="009209DF"/>
    <w:rsid w:val="00921785"/>
    <w:rsid w:val="00921A60"/>
    <w:rsid w:val="00921C3C"/>
    <w:rsid w:val="0092233F"/>
    <w:rsid w:val="009223B2"/>
    <w:rsid w:val="00922441"/>
    <w:rsid w:val="00924344"/>
    <w:rsid w:val="00924382"/>
    <w:rsid w:val="009243C6"/>
    <w:rsid w:val="00924B17"/>
    <w:rsid w:val="00924DEE"/>
    <w:rsid w:val="00925B05"/>
    <w:rsid w:val="009267B5"/>
    <w:rsid w:val="009267BB"/>
    <w:rsid w:val="0092740C"/>
    <w:rsid w:val="0092777D"/>
    <w:rsid w:val="00927AC1"/>
    <w:rsid w:val="00930869"/>
    <w:rsid w:val="00930885"/>
    <w:rsid w:val="009308D6"/>
    <w:rsid w:val="00932EC8"/>
    <w:rsid w:val="00933055"/>
    <w:rsid w:val="009334F0"/>
    <w:rsid w:val="00933E83"/>
    <w:rsid w:val="00933F5A"/>
    <w:rsid w:val="009342BE"/>
    <w:rsid w:val="0093444D"/>
    <w:rsid w:val="00935632"/>
    <w:rsid w:val="0093621E"/>
    <w:rsid w:val="009362F5"/>
    <w:rsid w:val="00937132"/>
    <w:rsid w:val="009371D2"/>
    <w:rsid w:val="009379A3"/>
    <w:rsid w:val="0094096F"/>
    <w:rsid w:val="00941991"/>
    <w:rsid w:val="00941B87"/>
    <w:rsid w:val="00941EB2"/>
    <w:rsid w:val="00942BEA"/>
    <w:rsid w:val="00943493"/>
    <w:rsid w:val="00943CA9"/>
    <w:rsid w:val="00943F27"/>
    <w:rsid w:val="009449DB"/>
    <w:rsid w:val="00945108"/>
    <w:rsid w:val="0094534C"/>
    <w:rsid w:val="00947381"/>
    <w:rsid w:val="00947722"/>
    <w:rsid w:val="00947ACC"/>
    <w:rsid w:val="009505BD"/>
    <w:rsid w:val="00950AD6"/>
    <w:rsid w:val="00950D59"/>
    <w:rsid w:val="00952330"/>
    <w:rsid w:val="00952359"/>
    <w:rsid w:val="00952C85"/>
    <w:rsid w:val="009534B5"/>
    <w:rsid w:val="00953C62"/>
    <w:rsid w:val="009540FC"/>
    <w:rsid w:val="009542E2"/>
    <w:rsid w:val="009544ED"/>
    <w:rsid w:val="009554F1"/>
    <w:rsid w:val="00955D0E"/>
    <w:rsid w:val="00956C4C"/>
    <w:rsid w:val="0095753D"/>
    <w:rsid w:val="00957628"/>
    <w:rsid w:val="00957BCE"/>
    <w:rsid w:val="00957C6E"/>
    <w:rsid w:val="009602E9"/>
    <w:rsid w:val="009606BC"/>
    <w:rsid w:val="00960C05"/>
    <w:rsid w:val="00960EA6"/>
    <w:rsid w:val="00961083"/>
    <w:rsid w:val="009612A8"/>
    <w:rsid w:val="0096142F"/>
    <w:rsid w:val="00961EF2"/>
    <w:rsid w:val="00962127"/>
    <w:rsid w:val="0096321A"/>
    <w:rsid w:val="00963E7C"/>
    <w:rsid w:val="00963F72"/>
    <w:rsid w:val="00965413"/>
    <w:rsid w:val="0096624F"/>
    <w:rsid w:val="00970BD7"/>
    <w:rsid w:val="00971E9B"/>
    <w:rsid w:val="0097248E"/>
    <w:rsid w:val="00972655"/>
    <w:rsid w:val="009732C4"/>
    <w:rsid w:val="0097348D"/>
    <w:rsid w:val="009750AF"/>
    <w:rsid w:val="00975D67"/>
    <w:rsid w:val="00977B81"/>
    <w:rsid w:val="00980B25"/>
    <w:rsid w:val="00980D1A"/>
    <w:rsid w:val="00980F19"/>
    <w:rsid w:val="009816E3"/>
    <w:rsid w:val="00982711"/>
    <w:rsid w:val="00982757"/>
    <w:rsid w:val="00982A09"/>
    <w:rsid w:val="00982E3D"/>
    <w:rsid w:val="00983140"/>
    <w:rsid w:val="009831B4"/>
    <w:rsid w:val="00983955"/>
    <w:rsid w:val="00983AE3"/>
    <w:rsid w:val="0098400B"/>
    <w:rsid w:val="00984CDB"/>
    <w:rsid w:val="009855EA"/>
    <w:rsid w:val="0098755A"/>
    <w:rsid w:val="0098756A"/>
    <w:rsid w:val="0098756B"/>
    <w:rsid w:val="009876D0"/>
    <w:rsid w:val="00987CB1"/>
    <w:rsid w:val="00991239"/>
    <w:rsid w:val="00991426"/>
    <w:rsid w:val="009915FB"/>
    <w:rsid w:val="0099162F"/>
    <w:rsid w:val="00991D10"/>
    <w:rsid w:val="009926C8"/>
    <w:rsid w:val="009931D5"/>
    <w:rsid w:val="00993407"/>
    <w:rsid w:val="00993640"/>
    <w:rsid w:val="009936D6"/>
    <w:rsid w:val="009937CC"/>
    <w:rsid w:val="00993FD3"/>
    <w:rsid w:val="00994DCA"/>
    <w:rsid w:val="0099506A"/>
    <w:rsid w:val="009959C7"/>
    <w:rsid w:val="009968AC"/>
    <w:rsid w:val="00997818"/>
    <w:rsid w:val="00997D17"/>
    <w:rsid w:val="009A0574"/>
    <w:rsid w:val="009A09B4"/>
    <w:rsid w:val="009A09D6"/>
    <w:rsid w:val="009A2059"/>
    <w:rsid w:val="009A211E"/>
    <w:rsid w:val="009A27F3"/>
    <w:rsid w:val="009A4E27"/>
    <w:rsid w:val="009A502D"/>
    <w:rsid w:val="009A516C"/>
    <w:rsid w:val="009A51A5"/>
    <w:rsid w:val="009A57A1"/>
    <w:rsid w:val="009A5BC9"/>
    <w:rsid w:val="009A6D71"/>
    <w:rsid w:val="009A7430"/>
    <w:rsid w:val="009A7AD4"/>
    <w:rsid w:val="009B0DEE"/>
    <w:rsid w:val="009B0FDC"/>
    <w:rsid w:val="009B0FFF"/>
    <w:rsid w:val="009B22BA"/>
    <w:rsid w:val="009B2A25"/>
    <w:rsid w:val="009B2D7F"/>
    <w:rsid w:val="009B41EB"/>
    <w:rsid w:val="009B44D9"/>
    <w:rsid w:val="009B54F9"/>
    <w:rsid w:val="009B5D16"/>
    <w:rsid w:val="009B64AA"/>
    <w:rsid w:val="009B7D37"/>
    <w:rsid w:val="009B7D56"/>
    <w:rsid w:val="009C0387"/>
    <w:rsid w:val="009C091C"/>
    <w:rsid w:val="009C2C46"/>
    <w:rsid w:val="009C32C0"/>
    <w:rsid w:val="009C33CA"/>
    <w:rsid w:val="009C3572"/>
    <w:rsid w:val="009C4BD3"/>
    <w:rsid w:val="009C5D8F"/>
    <w:rsid w:val="009C6404"/>
    <w:rsid w:val="009C6C06"/>
    <w:rsid w:val="009C74CB"/>
    <w:rsid w:val="009C757B"/>
    <w:rsid w:val="009C7FA3"/>
    <w:rsid w:val="009D0C31"/>
    <w:rsid w:val="009D21EE"/>
    <w:rsid w:val="009D2CFC"/>
    <w:rsid w:val="009D311D"/>
    <w:rsid w:val="009D3CD2"/>
    <w:rsid w:val="009D3FDF"/>
    <w:rsid w:val="009D5B06"/>
    <w:rsid w:val="009D6179"/>
    <w:rsid w:val="009D655C"/>
    <w:rsid w:val="009D67E2"/>
    <w:rsid w:val="009D73B3"/>
    <w:rsid w:val="009D7AB8"/>
    <w:rsid w:val="009E024F"/>
    <w:rsid w:val="009E1210"/>
    <w:rsid w:val="009E164A"/>
    <w:rsid w:val="009E193D"/>
    <w:rsid w:val="009E1F93"/>
    <w:rsid w:val="009E232B"/>
    <w:rsid w:val="009E3131"/>
    <w:rsid w:val="009E3269"/>
    <w:rsid w:val="009E3544"/>
    <w:rsid w:val="009E38A6"/>
    <w:rsid w:val="009E4449"/>
    <w:rsid w:val="009E453F"/>
    <w:rsid w:val="009E6887"/>
    <w:rsid w:val="009F0189"/>
    <w:rsid w:val="009F0351"/>
    <w:rsid w:val="009F043F"/>
    <w:rsid w:val="009F0941"/>
    <w:rsid w:val="009F1247"/>
    <w:rsid w:val="009F1BAB"/>
    <w:rsid w:val="009F1BBB"/>
    <w:rsid w:val="009F3426"/>
    <w:rsid w:val="009F36B5"/>
    <w:rsid w:val="009F4523"/>
    <w:rsid w:val="009F463F"/>
    <w:rsid w:val="009F54AF"/>
    <w:rsid w:val="009F56C0"/>
    <w:rsid w:val="009F60E7"/>
    <w:rsid w:val="009F6707"/>
    <w:rsid w:val="009F6BCC"/>
    <w:rsid w:val="00A00A79"/>
    <w:rsid w:val="00A01329"/>
    <w:rsid w:val="00A01B41"/>
    <w:rsid w:val="00A01CC0"/>
    <w:rsid w:val="00A0359F"/>
    <w:rsid w:val="00A03B87"/>
    <w:rsid w:val="00A0464E"/>
    <w:rsid w:val="00A0470E"/>
    <w:rsid w:val="00A04B83"/>
    <w:rsid w:val="00A04E90"/>
    <w:rsid w:val="00A05428"/>
    <w:rsid w:val="00A055BB"/>
    <w:rsid w:val="00A05624"/>
    <w:rsid w:val="00A05AE6"/>
    <w:rsid w:val="00A05F03"/>
    <w:rsid w:val="00A06839"/>
    <w:rsid w:val="00A07108"/>
    <w:rsid w:val="00A074B6"/>
    <w:rsid w:val="00A07A7A"/>
    <w:rsid w:val="00A12808"/>
    <w:rsid w:val="00A12DE1"/>
    <w:rsid w:val="00A145DC"/>
    <w:rsid w:val="00A1644B"/>
    <w:rsid w:val="00A164E9"/>
    <w:rsid w:val="00A16C3C"/>
    <w:rsid w:val="00A17575"/>
    <w:rsid w:val="00A17FE1"/>
    <w:rsid w:val="00A200A6"/>
    <w:rsid w:val="00A214E8"/>
    <w:rsid w:val="00A22A76"/>
    <w:rsid w:val="00A23200"/>
    <w:rsid w:val="00A2342D"/>
    <w:rsid w:val="00A2381C"/>
    <w:rsid w:val="00A243E1"/>
    <w:rsid w:val="00A24BD6"/>
    <w:rsid w:val="00A25231"/>
    <w:rsid w:val="00A25632"/>
    <w:rsid w:val="00A259C0"/>
    <w:rsid w:val="00A26953"/>
    <w:rsid w:val="00A27BBD"/>
    <w:rsid w:val="00A30BE1"/>
    <w:rsid w:val="00A30C74"/>
    <w:rsid w:val="00A3242E"/>
    <w:rsid w:val="00A34428"/>
    <w:rsid w:val="00A34E8F"/>
    <w:rsid w:val="00A35CF1"/>
    <w:rsid w:val="00A369E1"/>
    <w:rsid w:val="00A36EEB"/>
    <w:rsid w:val="00A37007"/>
    <w:rsid w:val="00A3704C"/>
    <w:rsid w:val="00A37147"/>
    <w:rsid w:val="00A372DA"/>
    <w:rsid w:val="00A377CB"/>
    <w:rsid w:val="00A41104"/>
    <w:rsid w:val="00A41BB1"/>
    <w:rsid w:val="00A42474"/>
    <w:rsid w:val="00A42D03"/>
    <w:rsid w:val="00A43757"/>
    <w:rsid w:val="00A44C88"/>
    <w:rsid w:val="00A454A1"/>
    <w:rsid w:val="00A45BFD"/>
    <w:rsid w:val="00A4614D"/>
    <w:rsid w:val="00A4665F"/>
    <w:rsid w:val="00A47C1C"/>
    <w:rsid w:val="00A50EFE"/>
    <w:rsid w:val="00A51075"/>
    <w:rsid w:val="00A51170"/>
    <w:rsid w:val="00A511E7"/>
    <w:rsid w:val="00A519BF"/>
    <w:rsid w:val="00A5266C"/>
    <w:rsid w:val="00A53656"/>
    <w:rsid w:val="00A536DB"/>
    <w:rsid w:val="00A53865"/>
    <w:rsid w:val="00A54049"/>
    <w:rsid w:val="00A54596"/>
    <w:rsid w:val="00A548DB"/>
    <w:rsid w:val="00A54CAD"/>
    <w:rsid w:val="00A54D79"/>
    <w:rsid w:val="00A55CEC"/>
    <w:rsid w:val="00A55F6C"/>
    <w:rsid w:val="00A56B4F"/>
    <w:rsid w:val="00A5765B"/>
    <w:rsid w:val="00A60D43"/>
    <w:rsid w:val="00A61156"/>
    <w:rsid w:val="00A612CA"/>
    <w:rsid w:val="00A61C1C"/>
    <w:rsid w:val="00A61F8F"/>
    <w:rsid w:val="00A6222A"/>
    <w:rsid w:val="00A625B9"/>
    <w:rsid w:val="00A6334B"/>
    <w:rsid w:val="00A638D4"/>
    <w:rsid w:val="00A63FE6"/>
    <w:rsid w:val="00A64B48"/>
    <w:rsid w:val="00A666B7"/>
    <w:rsid w:val="00A666D6"/>
    <w:rsid w:val="00A673B4"/>
    <w:rsid w:val="00A67F01"/>
    <w:rsid w:val="00A70D78"/>
    <w:rsid w:val="00A70FAF"/>
    <w:rsid w:val="00A7124C"/>
    <w:rsid w:val="00A71A6F"/>
    <w:rsid w:val="00A730AE"/>
    <w:rsid w:val="00A739B2"/>
    <w:rsid w:val="00A7411D"/>
    <w:rsid w:val="00A743EE"/>
    <w:rsid w:val="00A74E5B"/>
    <w:rsid w:val="00A74ED2"/>
    <w:rsid w:val="00A753EF"/>
    <w:rsid w:val="00A754E0"/>
    <w:rsid w:val="00A75B7B"/>
    <w:rsid w:val="00A75F7C"/>
    <w:rsid w:val="00A77CFF"/>
    <w:rsid w:val="00A80458"/>
    <w:rsid w:val="00A8096F"/>
    <w:rsid w:val="00A80A28"/>
    <w:rsid w:val="00A813C6"/>
    <w:rsid w:val="00A819C0"/>
    <w:rsid w:val="00A82028"/>
    <w:rsid w:val="00A8276D"/>
    <w:rsid w:val="00A83E37"/>
    <w:rsid w:val="00A84B6E"/>
    <w:rsid w:val="00A84D36"/>
    <w:rsid w:val="00A85112"/>
    <w:rsid w:val="00A85134"/>
    <w:rsid w:val="00A857C2"/>
    <w:rsid w:val="00A85EAA"/>
    <w:rsid w:val="00A863FB"/>
    <w:rsid w:val="00A86D93"/>
    <w:rsid w:val="00A87283"/>
    <w:rsid w:val="00A8746A"/>
    <w:rsid w:val="00A87C1E"/>
    <w:rsid w:val="00A9000C"/>
    <w:rsid w:val="00A9056F"/>
    <w:rsid w:val="00A932D1"/>
    <w:rsid w:val="00A93337"/>
    <w:rsid w:val="00A93D7E"/>
    <w:rsid w:val="00A956E0"/>
    <w:rsid w:val="00A96031"/>
    <w:rsid w:val="00A96396"/>
    <w:rsid w:val="00A96ECA"/>
    <w:rsid w:val="00A96FD9"/>
    <w:rsid w:val="00A971C6"/>
    <w:rsid w:val="00AA0373"/>
    <w:rsid w:val="00AA0900"/>
    <w:rsid w:val="00AA0E77"/>
    <w:rsid w:val="00AA1D7C"/>
    <w:rsid w:val="00AA271E"/>
    <w:rsid w:val="00AA295E"/>
    <w:rsid w:val="00AA3246"/>
    <w:rsid w:val="00AA3A06"/>
    <w:rsid w:val="00AA4A41"/>
    <w:rsid w:val="00AA4AE1"/>
    <w:rsid w:val="00AA536B"/>
    <w:rsid w:val="00AA5DD2"/>
    <w:rsid w:val="00AA61E8"/>
    <w:rsid w:val="00AA6493"/>
    <w:rsid w:val="00AA6664"/>
    <w:rsid w:val="00AA69C4"/>
    <w:rsid w:val="00AA7394"/>
    <w:rsid w:val="00AA7496"/>
    <w:rsid w:val="00AB08A7"/>
    <w:rsid w:val="00AB0B86"/>
    <w:rsid w:val="00AB128A"/>
    <w:rsid w:val="00AB2CB5"/>
    <w:rsid w:val="00AB2EEB"/>
    <w:rsid w:val="00AB33B2"/>
    <w:rsid w:val="00AB3758"/>
    <w:rsid w:val="00AB3B8A"/>
    <w:rsid w:val="00AB4000"/>
    <w:rsid w:val="00AB4CFF"/>
    <w:rsid w:val="00AB6A45"/>
    <w:rsid w:val="00AB6CFB"/>
    <w:rsid w:val="00AB7643"/>
    <w:rsid w:val="00AB7B36"/>
    <w:rsid w:val="00AC0017"/>
    <w:rsid w:val="00AC06C3"/>
    <w:rsid w:val="00AC0B3C"/>
    <w:rsid w:val="00AC1722"/>
    <w:rsid w:val="00AC177C"/>
    <w:rsid w:val="00AC20C4"/>
    <w:rsid w:val="00AC2B29"/>
    <w:rsid w:val="00AC471F"/>
    <w:rsid w:val="00AC4C14"/>
    <w:rsid w:val="00AC5106"/>
    <w:rsid w:val="00AC55F0"/>
    <w:rsid w:val="00AC5893"/>
    <w:rsid w:val="00AC595A"/>
    <w:rsid w:val="00AC5BBE"/>
    <w:rsid w:val="00AC6436"/>
    <w:rsid w:val="00AC7221"/>
    <w:rsid w:val="00AC7C27"/>
    <w:rsid w:val="00AD0738"/>
    <w:rsid w:val="00AD0D0E"/>
    <w:rsid w:val="00AD0D29"/>
    <w:rsid w:val="00AD136D"/>
    <w:rsid w:val="00AD1B50"/>
    <w:rsid w:val="00AD20DC"/>
    <w:rsid w:val="00AD2653"/>
    <w:rsid w:val="00AD2A4C"/>
    <w:rsid w:val="00AD4299"/>
    <w:rsid w:val="00AD6316"/>
    <w:rsid w:val="00AD69F1"/>
    <w:rsid w:val="00AD7C9A"/>
    <w:rsid w:val="00AE0136"/>
    <w:rsid w:val="00AE03DE"/>
    <w:rsid w:val="00AE0F31"/>
    <w:rsid w:val="00AE119F"/>
    <w:rsid w:val="00AE13FB"/>
    <w:rsid w:val="00AE152A"/>
    <w:rsid w:val="00AE24A6"/>
    <w:rsid w:val="00AE2B49"/>
    <w:rsid w:val="00AE3D7D"/>
    <w:rsid w:val="00AE57DF"/>
    <w:rsid w:val="00AE58D0"/>
    <w:rsid w:val="00AE75FF"/>
    <w:rsid w:val="00AE776A"/>
    <w:rsid w:val="00AE795C"/>
    <w:rsid w:val="00AF0541"/>
    <w:rsid w:val="00AF0577"/>
    <w:rsid w:val="00AF1F1F"/>
    <w:rsid w:val="00AF2AE3"/>
    <w:rsid w:val="00AF3384"/>
    <w:rsid w:val="00AF3EE3"/>
    <w:rsid w:val="00AF4095"/>
    <w:rsid w:val="00AF52EE"/>
    <w:rsid w:val="00AF548B"/>
    <w:rsid w:val="00AF5639"/>
    <w:rsid w:val="00AF56BB"/>
    <w:rsid w:val="00AF625A"/>
    <w:rsid w:val="00AF7156"/>
    <w:rsid w:val="00AF7ECC"/>
    <w:rsid w:val="00B00135"/>
    <w:rsid w:val="00B00D15"/>
    <w:rsid w:val="00B0157C"/>
    <w:rsid w:val="00B01CF1"/>
    <w:rsid w:val="00B034F0"/>
    <w:rsid w:val="00B04B68"/>
    <w:rsid w:val="00B05191"/>
    <w:rsid w:val="00B05334"/>
    <w:rsid w:val="00B05388"/>
    <w:rsid w:val="00B05CD5"/>
    <w:rsid w:val="00B06CD1"/>
    <w:rsid w:val="00B06D74"/>
    <w:rsid w:val="00B070AE"/>
    <w:rsid w:val="00B07987"/>
    <w:rsid w:val="00B07BBD"/>
    <w:rsid w:val="00B07C99"/>
    <w:rsid w:val="00B07FC4"/>
    <w:rsid w:val="00B102CD"/>
    <w:rsid w:val="00B10CA4"/>
    <w:rsid w:val="00B11CE9"/>
    <w:rsid w:val="00B128A6"/>
    <w:rsid w:val="00B12BDC"/>
    <w:rsid w:val="00B12C99"/>
    <w:rsid w:val="00B14572"/>
    <w:rsid w:val="00B14CFA"/>
    <w:rsid w:val="00B16E2F"/>
    <w:rsid w:val="00B20296"/>
    <w:rsid w:val="00B2169B"/>
    <w:rsid w:val="00B21EEC"/>
    <w:rsid w:val="00B225D4"/>
    <w:rsid w:val="00B23197"/>
    <w:rsid w:val="00B268A2"/>
    <w:rsid w:val="00B273B4"/>
    <w:rsid w:val="00B27820"/>
    <w:rsid w:val="00B27E83"/>
    <w:rsid w:val="00B3001C"/>
    <w:rsid w:val="00B30085"/>
    <w:rsid w:val="00B3080E"/>
    <w:rsid w:val="00B31499"/>
    <w:rsid w:val="00B31565"/>
    <w:rsid w:val="00B31CEA"/>
    <w:rsid w:val="00B32FBF"/>
    <w:rsid w:val="00B3311E"/>
    <w:rsid w:val="00B3498B"/>
    <w:rsid w:val="00B34E4C"/>
    <w:rsid w:val="00B35692"/>
    <w:rsid w:val="00B35724"/>
    <w:rsid w:val="00B35D91"/>
    <w:rsid w:val="00B36AE0"/>
    <w:rsid w:val="00B36AF9"/>
    <w:rsid w:val="00B36C66"/>
    <w:rsid w:val="00B37438"/>
    <w:rsid w:val="00B3782F"/>
    <w:rsid w:val="00B40267"/>
    <w:rsid w:val="00B40436"/>
    <w:rsid w:val="00B40A20"/>
    <w:rsid w:val="00B40F32"/>
    <w:rsid w:val="00B41043"/>
    <w:rsid w:val="00B41745"/>
    <w:rsid w:val="00B42297"/>
    <w:rsid w:val="00B425C8"/>
    <w:rsid w:val="00B42712"/>
    <w:rsid w:val="00B42C03"/>
    <w:rsid w:val="00B44374"/>
    <w:rsid w:val="00B446AE"/>
    <w:rsid w:val="00B4485B"/>
    <w:rsid w:val="00B44D8E"/>
    <w:rsid w:val="00B4560B"/>
    <w:rsid w:val="00B4663C"/>
    <w:rsid w:val="00B47081"/>
    <w:rsid w:val="00B470D1"/>
    <w:rsid w:val="00B4760E"/>
    <w:rsid w:val="00B5022D"/>
    <w:rsid w:val="00B50481"/>
    <w:rsid w:val="00B5064E"/>
    <w:rsid w:val="00B51407"/>
    <w:rsid w:val="00B51B80"/>
    <w:rsid w:val="00B51D64"/>
    <w:rsid w:val="00B52290"/>
    <w:rsid w:val="00B52903"/>
    <w:rsid w:val="00B533D2"/>
    <w:rsid w:val="00B53760"/>
    <w:rsid w:val="00B54616"/>
    <w:rsid w:val="00B55680"/>
    <w:rsid w:val="00B5585F"/>
    <w:rsid w:val="00B55E35"/>
    <w:rsid w:val="00B5779F"/>
    <w:rsid w:val="00B57926"/>
    <w:rsid w:val="00B57F0C"/>
    <w:rsid w:val="00B57F6B"/>
    <w:rsid w:val="00B6084D"/>
    <w:rsid w:val="00B60916"/>
    <w:rsid w:val="00B60D51"/>
    <w:rsid w:val="00B60E2D"/>
    <w:rsid w:val="00B6114E"/>
    <w:rsid w:val="00B6164D"/>
    <w:rsid w:val="00B61747"/>
    <w:rsid w:val="00B6229C"/>
    <w:rsid w:val="00B626F4"/>
    <w:rsid w:val="00B62B30"/>
    <w:rsid w:val="00B63AF7"/>
    <w:rsid w:val="00B63E83"/>
    <w:rsid w:val="00B65B34"/>
    <w:rsid w:val="00B6736E"/>
    <w:rsid w:val="00B67CD6"/>
    <w:rsid w:val="00B67E95"/>
    <w:rsid w:val="00B7141F"/>
    <w:rsid w:val="00B7180D"/>
    <w:rsid w:val="00B71B94"/>
    <w:rsid w:val="00B71BB7"/>
    <w:rsid w:val="00B72546"/>
    <w:rsid w:val="00B72F37"/>
    <w:rsid w:val="00B7317B"/>
    <w:rsid w:val="00B73B40"/>
    <w:rsid w:val="00B7405F"/>
    <w:rsid w:val="00B747DA"/>
    <w:rsid w:val="00B74C05"/>
    <w:rsid w:val="00B7540D"/>
    <w:rsid w:val="00B7557D"/>
    <w:rsid w:val="00B75C0E"/>
    <w:rsid w:val="00B75C98"/>
    <w:rsid w:val="00B76863"/>
    <w:rsid w:val="00B76D9D"/>
    <w:rsid w:val="00B800C2"/>
    <w:rsid w:val="00B80B41"/>
    <w:rsid w:val="00B8133C"/>
    <w:rsid w:val="00B825B9"/>
    <w:rsid w:val="00B825FC"/>
    <w:rsid w:val="00B831A2"/>
    <w:rsid w:val="00B83E82"/>
    <w:rsid w:val="00B85294"/>
    <w:rsid w:val="00B85335"/>
    <w:rsid w:val="00B85EE8"/>
    <w:rsid w:val="00B85F20"/>
    <w:rsid w:val="00B861F8"/>
    <w:rsid w:val="00B8637F"/>
    <w:rsid w:val="00B86FCE"/>
    <w:rsid w:val="00B8707A"/>
    <w:rsid w:val="00B87604"/>
    <w:rsid w:val="00B90197"/>
    <w:rsid w:val="00B90AA5"/>
    <w:rsid w:val="00B9131D"/>
    <w:rsid w:val="00B917C4"/>
    <w:rsid w:val="00B92731"/>
    <w:rsid w:val="00B93243"/>
    <w:rsid w:val="00B93546"/>
    <w:rsid w:val="00B9378C"/>
    <w:rsid w:val="00B93FA7"/>
    <w:rsid w:val="00B94552"/>
    <w:rsid w:val="00B951BB"/>
    <w:rsid w:val="00B9596F"/>
    <w:rsid w:val="00B9643B"/>
    <w:rsid w:val="00B970A7"/>
    <w:rsid w:val="00B975C9"/>
    <w:rsid w:val="00B976AE"/>
    <w:rsid w:val="00BA02E4"/>
    <w:rsid w:val="00BA0FAD"/>
    <w:rsid w:val="00BA26F8"/>
    <w:rsid w:val="00BA2FE3"/>
    <w:rsid w:val="00BA351A"/>
    <w:rsid w:val="00BA40E8"/>
    <w:rsid w:val="00BA410F"/>
    <w:rsid w:val="00BA4686"/>
    <w:rsid w:val="00BA526D"/>
    <w:rsid w:val="00BA590B"/>
    <w:rsid w:val="00BA5C06"/>
    <w:rsid w:val="00BA68F9"/>
    <w:rsid w:val="00BA6C02"/>
    <w:rsid w:val="00BA7CB9"/>
    <w:rsid w:val="00BA7F14"/>
    <w:rsid w:val="00BB0121"/>
    <w:rsid w:val="00BB03C3"/>
    <w:rsid w:val="00BB0430"/>
    <w:rsid w:val="00BB0E99"/>
    <w:rsid w:val="00BB1FAB"/>
    <w:rsid w:val="00BB21F9"/>
    <w:rsid w:val="00BB2279"/>
    <w:rsid w:val="00BB3EF9"/>
    <w:rsid w:val="00BB4550"/>
    <w:rsid w:val="00BB5921"/>
    <w:rsid w:val="00BB6954"/>
    <w:rsid w:val="00BB7819"/>
    <w:rsid w:val="00BB7C11"/>
    <w:rsid w:val="00BB7E70"/>
    <w:rsid w:val="00BC02A7"/>
    <w:rsid w:val="00BC042F"/>
    <w:rsid w:val="00BC1984"/>
    <w:rsid w:val="00BC19CF"/>
    <w:rsid w:val="00BC1C9F"/>
    <w:rsid w:val="00BC2926"/>
    <w:rsid w:val="00BC2B7A"/>
    <w:rsid w:val="00BC4B31"/>
    <w:rsid w:val="00BC52BF"/>
    <w:rsid w:val="00BC5CAF"/>
    <w:rsid w:val="00BC6FF1"/>
    <w:rsid w:val="00BC78F5"/>
    <w:rsid w:val="00BC7CAE"/>
    <w:rsid w:val="00BC7E94"/>
    <w:rsid w:val="00BD09FA"/>
    <w:rsid w:val="00BD2894"/>
    <w:rsid w:val="00BD2CAC"/>
    <w:rsid w:val="00BD3C36"/>
    <w:rsid w:val="00BD3D0F"/>
    <w:rsid w:val="00BD48D4"/>
    <w:rsid w:val="00BD4B69"/>
    <w:rsid w:val="00BD5028"/>
    <w:rsid w:val="00BD58CB"/>
    <w:rsid w:val="00BD5976"/>
    <w:rsid w:val="00BD6B00"/>
    <w:rsid w:val="00BD6BA2"/>
    <w:rsid w:val="00BD6EE8"/>
    <w:rsid w:val="00BD6F9F"/>
    <w:rsid w:val="00BD78E2"/>
    <w:rsid w:val="00BD7F16"/>
    <w:rsid w:val="00BE01AB"/>
    <w:rsid w:val="00BE1247"/>
    <w:rsid w:val="00BE1E61"/>
    <w:rsid w:val="00BE23CA"/>
    <w:rsid w:val="00BE23D1"/>
    <w:rsid w:val="00BE25F9"/>
    <w:rsid w:val="00BE2829"/>
    <w:rsid w:val="00BE3795"/>
    <w:rsid w:val="00BE37F6"/>
    <w:rsid w:val="00BE37FE"/>
    <w:rsid w:val="00BE4123"/>
    <w:rsid w:val="00BE4D57"/>
    <w:rsid w:val="00BE4E4C"/>
    <w:rsid w:val="00BE4F05"/>
    <w:rsid w:val="00BE560A"/>
    <w:rsid w:val="00BE5790"/>
    <w:rsid w:val="00BE647D"/>
    <w:rsid w:val="00BE6E88"/>
    <w:rsid w:val="00BE7BAE"/>
    <w:rsid w:val="00BF0EB3"/>
    <w:rsid w:val="00BF1576"/>
    <w:rsid w:val="00BF1585"/>
    <w:rsid w:val="00BF291F"/>
    <w:rsid w:val="00BF51BB"/>
    <w:rsid w:val="00BF5842"/>
    <w:rsid w:val="00BF5EAE"/>
    <w:rsid w:val="00BF64AC"/>
    <w:rsid w:val="00BF768B"/>
    <w:rsid w:val="00BF7957"/>
    <w:rsid w:val="00C0225F"/>
    <w:rsid w:val="00C02BEA"/>
    <w:rsid w:val="00C034FB"/>
    <w:rsid w:val="00C03571"/>
    <w:rsid w:val="00C035FC"/>
    <w:rsid w:val="00C04292"/>
    <w:rsid w:val="00C044C4"/>
    <w:rsid w:val="00C049C8"/>
    <w:rsid w:val="00C04A3F"/>
    <w:rsid w:val="00C04ECD"/>
    <w:rsid w:val="00C05372"/>
    <w:rsid w:val="00C06075"/>
    <w:rsid w:val="00C0731D"/>
    <w:rsid w:val="00C074A2"/>
    <w:rsid w:val="00C0764B"/>
    <w:rsid w:val="00C077DB"/>
    <w:rsid w:val="00C078A3"/>
    <w:rsid w:val="00C07AFE"/>
    <w:rsid w:val="00C07B35"/>
    <w:rsid w:val="00C10330"/>
    <w:rsid w:val="00C109E6"/>
    <w:rsid w:val="00C12E74"/>
    <w:rsid w:val="00C1300C"/>
    <w:rsid w:val="00C1317C"/>
    <w:rsid w:val="00C13566"/>
    <w:rsid w:val="00C139F8"/>
    <w:rsid w:val="00C13B52"/>
    <w:rsid w:val="00C13E98"/>
    <w:rsid w:val="00C14C81"/>
    <w:rsid w:val="00C14D44"/>
    <w:rsid w:val="00C151F5"/>
    <w:rsid w:val="00C152B6"/>
    <w:rsid w:val="00C16776"/>
    <w:rsid w:val="00C1721B"/>
    <w:rsid w:val="00C1796D"/>
    <w:rsid w:val="00C17BCF"/>
    <w:rsid w:val="00C213AF"/>
    <w:rsid w:val="00C22415"/>
    <w:rsid w:val="00C225B4"/>
    <w:rsid w:val="00C2347E"/>
    <w:rsid w:val="00C30162"/>
    <w:rsid w:val="00C30267"/>
    <w:rsid w:val="00C30633"/>
    <w:rsid w:val="00C30AC0"/>
    <w:rsid w:val="00C30EE5"/>
    <w:rsid w:val="00C311F2"/>
    <w:rsid w:val="00C31699"/>
    <w:rsid w:val="00C31998"/>
    <w:rsid w:val="00C31CD0"/>
    <w:rsid w:val="00C32F0D"/>
    <w:rsid w:val="00C332D2"/>
    <w:rsid w:val="00C33347"/>
    <w:rsid w:val="00C33408"/>
    <w:rsid w:val="00C33424"/>
    <w:rsid w:val="00C339DD"/>
    <w:rsid w:val="00C353CD"/>
    <w:rsid w:val="00C354B0"/>
    <w:rsid w:val="00C357A8"/>
    <w:rsid w:val="00C358F2"/>
    <w:rsid w:val="00C36129"/>
    <w:rsid w:val="00C3681E"/>
    <w:rsid w:val="00C36EE6"/>
    <w:rsid w:val="00C36FFB"/>
    <w:rsid w:val="00C3785B"/>
    <w:rsid w:val="00C40AC9"/>
    <w:rsid w:val="00C41784"/>
    <w:rsid w:val="00C4201A"/>
    <w:rsid w:val="00C4218C"/>
    <w:rsid w:val="00C42519"/>
    <w:rsid w:val="00C43A86"/>
    <w:rsid w:val="00C43F40"/>
    <w:rsid w:val="00C44183"/>
    <w:rsid w:val="00C44EB9"/>
    <w:rsid w:val="00C45854"/>
    <w:rsid w:val="00C45CC5"/>
    <w:rsid w:val="00C4745F"/>
    <w:rsid w:val="00C47E81"/>
    <w:rsid w:val="00C50217"/>
    <w:rsid w:val="00C50254"/>
    <w:rsid w:val="00C50FCB"/>
    <w:rsid w:val="00C513DD"/>
    <w:rsid w:val="00C51B3A"/>
    <w:rsid w:val="00C51BCE"/>
    <w:rsid w:val="00C51C54"/>
    <w:rsid w:val="00C51E86"/>
    <w:rsid w:val="00C528A3"/>
    <w:rsid w:val="00C52AF1"/>
    <w:rsid w:val="00C52F7F"/>
    <w:rsid w:val="00C54FC6"/>
    <w:rsid w:val="00C55068"/>
    <w:rsid w:val="00C55130"/>
    <w:rsid w:val="00C55542"/>
    <w:rsid w:val="00C55918"/>
    <w:rsid w:val="00C55F62"/>
    <w:rsid w:val="00C570EA"/>
    <w:rsid w:val="00C60228"/>
    <w:rsid w:val="00C603D7"/>
    <w:rsid w:val="00C608BF"/>
    <w:rsid w:val="00C60B2C"/>
    <w:rsid w:val="00C6237A"/>
    <w:rsid w:val="00C628C4"/>
    <w:rsid w:val="00C62E94"/>
    <w:rsid w:val="00C63CBD"/>
    <w:rsid w:val="00C63E75"/>
    <w:rsid w:val="00C6598F"/>
    <w:rsid w:val="00C65B27"/>
    <w:rsid w:val="00C65E0B"/>
    <w:rsid w:val="00C663E3"/>
    <w:rsid w:val="00C665E4"/>
    <w:rsid w:val="00C6696D"/>
    <w:rsid w:val="00C67343"/>
    <w:rsid w:val="00C7059A"/>
    <w:rsid w:val="00C71558"/>
    <w:rsid w:val="00C71C91"/>
    <w:rsid w:val="00C71D22"/>
    <w:rsid w:val="00C71EF5"/>
    <w:rsid w:val="00C72627"/>
    <w:rsid w:val="00C748E3"/>
    <w:rsid w:val="00C74C73"/>
    <w:rsid w:val="00C75894"/>
    <w:rsid w:val="00C75B8F"/>
    <w:rsid w:val="00C766E1"/>
    <w:rsid w:val="00C7677B"/>
    <w:rsid w:val="00C76EEE"/>
    <w:rsid w:val="00C77779"/>
    <w:rsid w:val="00C804D4"/>
    <w:rsid w:val="00C80631"/>
    <w:rsid w:val="00C80A58"/>
    <w:rsid w:val="00C818F6"/>
    <w:rsid w:val="00C83240"/>
    <w:rsid w:val="00C83F3C"/>
    <w:rsid w:val="00C84138"/>
    <w:rsid w:val="00C8480A"/>
    <w:rsid w:val="00C866D4"/>
    <w:rsid w:val="00C86BCA"/>
    <w:rsid w:val="00C86DB5"/>
    <w:rsid w:val="00C86E4E"/>
    <w:rsid w:val="00C86F35"/>
    <w:rsid w:val="00C9015D"/>
    <w:rsid w:val="00C9195C"/>
    <w:rsid w:val="00C92067"/>
    <w:rsid w:val="00C92076"/>
    <w:rsid w:val="00C9272D"/>
    <w:rsid w:val="00C92C95"/>
    <w:rsid w:val="00C93C5F"/>
    <w:rsid w:val="00C93D57"/>
    <w:rsid w:val="00C955C7"/>
    <w:rsid w:val="00C95710"/>
    <w:rsid w:val="00C9706A"/>
    <w:rsid w:val="00C974DF"/>
    <w:rsid w:val="00C97C05"/>
    <w:rsid w:val="00CA42CD"/>
    <w:rsid w:val="00CA4BB4"/>
    <w:rsid w:val="00CA5AFC"/>
    <w:rsid w:val="00CA6A45"/>
    <w:rsid w:val="00CA6B62"/>
    <w:rsid w:val="00CA7241"/>
    <w:rsid w:val="00CA7851"/>
    <w:rsid w:val="00CB0E17"/>
    <w:rsid w:val="00CB0EFD"/>
    <w:rsid w:val="00CB0FDC"/>
    <w:rsid w:val="00CB10ED"/>
    <w:rsid w:val="00CB141E"/>
    <w:rsid w:val="00CB33FB"/>
    <w:rsid w:val="00CB3577"/>
    <w:rsid w:val="00CB4079"/>
    <w:rsid w:val="00CB50E7"/>
    <w:rsid w:val="00CB5432"/>
    <w:rsid w:val="00CB5819"/>
    <w:rsid w:val="00CB6689"/>
    <w:rsid w:val="00CB68C8"/>
    <w:rsid w:val="00CB7321"/>
    <w:rsid w:val="00CB74D5"/>
    <w:rsid w:val="00CC0317"/>
    <w:rsid w:val="00CC19AF"/>
    <w:rsid w:val="00CC2978"/>
    <w:rsid w:val="00CC2C11"/>
    <w:rsid w:val="00CC31AE"/>
    <w:rsid w:val="00CC4F01"/>
    <w:rsid w:val="00CC5CD3"/>
    <w:rsid w:val="00CC6CA3"/>
    <w:rsid w:val="00CC7E98"/>
    <w:rsid w:val="00CD0145"/>
    <w:rsid w:val="00CD0E4F"/>
    <w:rsid w:val="00CD1276"/>
    <w:rsid w:val="00CD22C6"/>
    <w:rsid w:val="00CD2386"/>
    <w:rsid w:val="00CD25C0"/>
    <w:rsid w:val="00CD27CE"/>
    <w:rsid w:val="00CD2DEC"/>
    <w:rsid w:val="00CD2F44"/>
    <w:rsid w:val="00CD375B"/>
    <w:rsid w:val="00CD392C"/>
    <w:rsid w:val="00CD3C4C"/>
    <w:rsid w:val="00CD3F1F"/>
    <w:rsid w:val="00CD456B"/>
    <w:rsid w:val="00CD48FE"/>
    <w:rsid w:val="00CD54FE"/>
    <w:rsid w:val="00CD5773"/>
    <w:rsid w:val="00CD70A3"/>
    <w:rsid w:val="00CE01C7"/>
    <w:rsid w:val="00CE1AD4"/>
    <w:rsid w:val="00CE3BD9"/>
    <w:rsid w:val="00CE490C"/>
    <w:rsid w:val="00CE53B1"/>
    <w:rsid w:val="00CE56B7"/>
    <w:rsid w:val="00CE572A"/>
    <w:rsid w:val="00CE5820"/>
    <w:rsid w:val="00CE65FD"/>
    <w:rsid w:val="00CE6EF2"/>
    <w:rsid w:val="00CF0B45"/>
    <w:rsid w:val="00CF0C43"/>
    <w:rsid w:val="00CF2143"/>
    <w:rsid w:val="00CF301C"/>
    <w:rsid w:val="00CF313D"/>
    <w:rsid w:val="00CF398D"/>
    <w:rsid w:val="00CF39D7"/>
    <w:rsid w:val="00CF46DA"/>
    <w:rsid w:val="00CF4C5C"/>
    <w:rsid w:val="00CF53AC"/>
    <w:rsid w:val="00CF6493"/>
    <w:rsid w:val="00CF6549"/>
    <w:rsid w:val="00CF6CAF"/>
    <w:rsid w:val="00CF6D60"/>
    <w:rsid w:val="00D01844"/>
    <w:rsid w:val="00D01D8E"/>
    <w:rsid w:val="00D028F2"/>
    <w:rsid w:val="00D02F92"/>
    <w:rsid w:val="00D035B1"/>
    <w:rsid w:val="00D036B8"/>
    <w:rsid w:val="00D03989"/>
    <w:rsid w:val="00D044DE"/>
    <w:rsid w:val="00D045EA"/>
    <w:rsid w:val="00D04926"/>
    <w:rsid w:val="00D04C49"/>
    <w:rsid w:val="00D0514A"/>
    <w:rsid w:val="00D0525C"/>
    <w:rsid w:val="00D078B1"/>
    <w:rsid w:val="00D10D73"/>
    <w:rsid w:val="00D112DD"/>
    <w:rsid w:val="00D114A9"/>
    <w:rsid w:val="00D11F27"/>
    <w:rsid w:val="00D12557"/>
    <w:rsid w:val="00D12FB0"/>
    <w:rsid w:val="00D13C52"/>
    <w:rsid w:val="00D13F81"/>
    <w:rsid w:val="00D141AB"/>
    <w:rsid w:val="00D161A9"/>
    <w:rsid w:val="00D16E8A"/>
    <w:rsid w:val="00D1743B"/>
    <w:rsid w:val="00D1767C"/>
    <w:rsid w:val="00D1782E"/>
    <w:rsid w:val="00D17AC4"/>
    <w:rsid w:val="00D20B84"/>
    <w:rsid w:val="00D20CCE"/>
    <w:rsid w:val="00D20E2F"/>
    <w:rsid w:val="00D210E5"/>
    <w:rsid w:val="00D21152"/>
    <w:rsid w:val="00D21FFC"/>
    <w:rsid w:val="00D22672"/>
    <w:rsid w:val="00D228DA"/>
    <w:rsid w:val="00D230C7"/>
    <w:rsid w:val="00D25695"/>
    <w:rsid w:val="00D26EDF"/>
    <w:rsid w:val="00D271CE"/>
    <w:rsid w:val="00D27470"/>
    <w:rsid w:val="00D27964"/>
    <w:rsid w:val="00D27A2B"/>
    <w:rsid w:val="00D3042B"/>
    <w:rsid w:val="00D31BCA"/>
    <w:rsid w:val="00D323D6"/>
    <w:rsid w:val="00D32634"/>
    <w:rsid w:val="00D32B04"/>
    <w:rsid w:val="00D33A4B"/>
    <w:rsid w:val="00D33E3F"/>
    <w:rsid w:val="00D34F1C"/>
    <w:rsid w:val="00D35070"/>
    <w:rsid w:val="00D354D8"/>
    <w:rsid w:val="00D355BA"/>
    <w:rsid w:val="00D35C47"/>
    <w:rsid w:val="00D404FD"/>
    <w:rsid w:val="00D410F9"/>
    <w:rsid w:val="00D412D2"/>
    <w:rsid w:val="00D42073"/>
    <w:rsid w:val="00D4255D"/>
    <w:rsid w:val="00D426D7"/>
    <w:rsid w:val="00D426EA"/>
    <w:rsid w:val="00D42EDF"/>
    <w:rsid w:val="00D43493"/>
    <w:rsid w:val="00D436FE"/>
    <w:rsid w:val="00D438E0"/>
    <w:rsid w:val="00D43C21"/>
    <w:rsid w:val="00D440A5"/>
    <w:rsid w:val="00D44B43"/>
    <w:rsid w:val="00D44BF4"/>
    <w:rsid w:val="00D4563F"/>
    <w:rsid w:val="00D45C4E"/>
    <w:rsid w:val="00D46599"/>
    <w:rsid w:val="00D46E35"/>
    <w:rsid w:val="00D47587"/>
    <w:rsid w:val="00D475BF"/>
    <w:rsid w:val="00D4764C"/>
    <w:rsid w:val="00D500CD"/>
    <w:rsid w:val="00D5093A"/>
    <w:rsid w:val="00D52E87"/>
    <w:rsid w:val="00D5305C"/>
    <w:rsid w:val="00D53B5C"/>
    <w:rsid w:val="00D54AD5"/>
    <w:rsid w:val="00D54E2E"/>
    <w:rsid w:val="00D5509F"/>
    <w:rsid w:val="00D57380"/>
    <w:rsid w:val="00D604DE"/>
    <w:rsid w:val="00D60761"/>
    <w:rsid w:val="00D617E7"/>
    <w:rsid w:val="00D61AAA"/>
    <w:rsid w:val="00D627F3"/>
    <w:rsid w:val="00D64219"/>
    <w:rsid w:val="00D646B4"/>
    <w:rsid w:val="00D64F01"/>
    <w:rsid w:val="00D657A2"/>
    <w:rsid w:val="00D657D5"/>
    <w:rsid w:val="00D660FA"/>
    <w:rsid w:val="00D67042"/>
    <w:rsid w:val="00D678E5"/>
    <w:rsid w:val="00D6796D"/>
    <w:rsid w:val="00D7017A"/>
    <w:rsid w:val="00D7093F"/>
    <w:rsid w:val="00D70DEC"/>
    <w:rsid w:val="00D723DD"/>
    <w:rsid w:val="00D72AAB"/>
    <w:rsid w:val="00D72F96"/>
    <w:rsid w:val="00D7334E"/>
    <w:rsid w:val="00D73C3D"/>
    <w:rsid w:val="00D73FD7"/>
    <w:rsid w:val="00D74D9D"/>
    <w:rsid w:val="00D74FEA"/>
    <w:rsid w:val="00D7583F"/>
    <w:rsid w:val="00D762D5"/>
    <w:rsid w:val="00D7666C"/>
    <w:rsid w:val="00D77123"/>
    <w:rsid w:val="00D77C65"/>
    <w:rsid w:val="00D803F1"/>
    <w:rsid w:val="00D80977"/>
    <w:rsid w:val="00D810F8"/>
    <w:rsid w:val="00D81AC1"/>
    <w:rsid w:val="00D81FC7"/>
    <w:rsid w:val="00D82589"/>
    <w:rsid w:val="00D825C7"/>
    <w:rsid w:val="00D82E6F"/>
    <w:rsid w:val="00D83651"/>
    <w:rsid w:val="00D837E1"/>
    <w:rsid w:val="00D84190"/>
    <w:rsid w:val="00D84823"/>
    <w:rsid w:val="00D8565A"/>
    <w:rsid w:val="00D85BD9"/>
    <w:rsid w:val="00D86E0A"/>
    <w:rsid w:val="00D879D2"/>
    <w:rsid w:val="00D87AB7"/>
    <w:rsid w:val="00D87C67"/>
    <w:rsid w:val="00D87F11"/>
    <w:rsid w:val="00D9018D"/>
    <w:rsid w:val="00D9079E"/>
    <w:rsid w:val="00D90DD0"/>
    <w:rsid w:val="00D9232A"/>
    <w:rsid w:val="00D942C8"/>
    <w:rsid w:val="00D944EC"/>
    <w:rsid w:val="00D953E4"/>
    <w:rsid w:val="00D96230"/>
    <w:rsid w:val="00D96EE6"/>
    <w:rsid w:val="00D96FB0"/>
    <w:rsid w:val="00D9700D"/>
    <w:rsid w:val="00D978FA"/>
    <w:rsid w:val="00DA1257"/>
    <w:rsid w:val="00DA2F17"/>
    <w:rsid w:val="00DA34BB"/>
    <w:rsid w:val="00DA3D72"/>
    <w:rsid w:val="00DA4DA9"/>
    <w:rsid w:val="00DA4DB7"/>
    <w:rsid w:val="00DA74B5"/>
    <w:rsid w:val="00DA7871"/>
    <w:rsid w:val="00DB01D6"/>
    <w:rsid w:val="00DB0365"/>
    <w:rsid w:val="00DB04C4"/>
    <w:rsid w:val="00DB10DC"/>
    <w:rsid w:val="00DB14CC"/>
    <w:rsid w:val="00DB2C86"/>
    <w:rsid w:val="00DB49BD"/>
    <w:rsid w:val="00DB5140"/>
    <w:rsid w:val="00DB5820"/>
    <w:rsid w:val="00DB6282"/>
    <w:rsid w:val="00DB7100"/>
    <w:rsid w:val="00DB725E"/>
    <w:rsid w:val="00DB7E64"/>
    <w:rsid w:val="00DB7ECB"/>
    <w:rsid w:val="00DC06D4"/>
    <w:rsid w:val="00DC071D"/>
    <w:rsid w:val="00DC0B5F"/>
    <w:rsid w:val="00DC0D4E"/>
    <w:rsid w:val="00DC0D58"/>
    <w:rsid w:val="00DC148E"/>
    <w:rsid w:val="00DC1863"/>
    <w:rsid w:val="00DC1B15"/>
    <w:rsid w:val="00DC1E49"/>
    <w:rsid w:val="00DC22AE"/>
    <w:rsid w:val="00DC3504"/>
    <w:rsid w:val="00DC3A84"/>
    <w:rsid w:val="00DC3B25"/>
    <w:rsid w:val="00DC57FB"/>
    <w:rsid w:val="00DC5B23"/>
    <w:rsid w:val="00DC5CE0"/>
    <w:rsid w:val="00DC7966"/>
    <w:rsid w:val="00DC7A4F"/>
    <w:rsid w:val="00DC7D82"/>
    <w:rsid w:val="00DC7DAC"/>
    <w:rsid w:val="00DD0147"/>
    <w:rsid w:val="00DD056D"/>
    <w:rsid w:val="00DD12F9"/>
    <w:rsid w:val="00DD169A"/>
    <w:rsid w:val="00DD20CF"/>
    <w:rsid w:val="00DD2332"/>
    <w:rsid w:val="00DD262A"/>
    <w:rsid w:val="00DD2E18"/>
    <w:rsid w:val="00DD309E"/>
    <w:rsid w:val="00DD3C18"/>
    <w:rsid w:val="00DD4E02"/>
    <w:rsid w:val="00DD58FE"/>
    <w:rsid w:val="00DD5F00"/>
    <w:rsid w:val="00DD7BD2"/>
    <w:rsid w:val="00DE0B33"/>
    <w:rsid w:val="00DE1101"/>
    <w:rsid w:val="00DE140A"/>
    <w:rsid w:val="00DE14E6"/>
    <w:rsid w:val="00DE1C61"/>
    <w:rsid w:val="00DE2F92"/>
    <w:rsid w:val="00DE39F0"/>
    <w:rsid w:val="00DE3CC6"/>
    <w:rsid w:val="00DE4CAB"/>
    <w:rsid w:val="00DE5AD4"/>
    <w:rsid w:val="00DE6208"/>
    <w:rsid w:val="00DE677C"/>
    <w:rsid w:val="00DE74CB"/>
    <w:rsid w:val="00DE7903"/>
    <w:rsid w:val="00DF0D90"/>
    <w:rsid w:val="00DF2DE9"/>
    <w:rsid w:val="00DF3660"/>
    <w:rsid w:val="00DF41B6"/>
    <w:rsid w:val="00DF499B"/>
    <w:rsid w:val="00DF5018"/>
    <w:rsid w:val="00DF5585"/>
    <w:rsid w:val="00DF5A25"/>
    <w:rsid w:val="00DF6FD7"/>
    <w:rsid w:val="00DF7087"/>
    <w:rsid w:val="00DF71AB"/>
    <w:rsid w:val="00DF75F2"/>
    <w:rsid w:val="00DF7B5E"/>
    <w:rsid w:val="00E00AA8"/>
    <w:rsid w:val="00E02B0B"/>
    <w:rsid w:val="00E02E87"/>
    <w:rsid w:val="00E02EC4"/>
    <w:rsid w:val="00E0318D"/>
    <w:rsid w:val="00E0349B"/>
    <w:rsid w:val="00E037F0"/>
    <w:rsid w:val="00E0385E"/>
    <w:rsid w:val="00E048D6"/>
    <w:rsid w:val="00E05000"/>
    <w:rsid w:val="00E06A9A"/>
    <w:rsid w:val="00E06C6A"/>
    <w:rsid w:val="00E06C8C"/>
    <w:rsid w:val="00E06CB0"/>
    <w:rsid w:val="00E06F11"/>
    <w:rsid w:val="00E06FFB"/>
    <w:rsid w:val="00E07F5D"/>
    <w:rsid w:val="00E10797"/>
    <w:rsid w:val="00E109E2"/>
    <w:rsid w:val="00E111E0"/>
    <w:rsid w:val="00E116C9"/>
    <w:rsid w:val="00E1271A"/>
    <w:rsid w:val="00E131BE"/>
    <w:rsid w:val="00E1404A"/>
    <w:rsid w:val="00E14227"/>
    <w:rsid w:val="00E142A1"/>
    <w:rsid w:val="00E1485E"/>
    <w:rsid w:val="00E15449"/>
    <w:rsid w:val="00E15D2C"/>
    <w:rsid w:val="00E15D76"/>
    <w:rsid w:val="00E15F98"/>
    <w:rsid w:val="00E16910"/>
    <w:rsid w:val="00E17748"/>
    <w:rsid w:val="00E2108B"/>
    <w:rsid w:val="00E21415"/>
    <w:rsid w:val="00E2229B"/>
    <w:rsid w:val="00E22803"/>
    <w:rsid w:val="00E22B89"/>
    <w:rsid w:val="00E22ECC"/>
    <w:rsid w:val="00E25356"/>
    <w:rsid w:val="00E258AA"/>
    <w:rsid w:val="00E260DE"/>
    <w:rsid w:val="00E271F2"/>
    <w:rsid w:val="00E27AE4"/>
    <w:rsid w:val="00E27B4C"/>
    <w:rsid w:val="00E27C9B"/>
    <w:rsid w:val="00E30AFE"/>
    <w:rsid w:val="00E3144E"/>
    <w:rsid w:val="00E31523"/>
    <w:rsid w:val="00E31AD2"/>
    <w:rsid w:val="00E340CD"/>
    <w:rsid w:val="00E34B91"/>
    <w:rsid w:val="00E40315"/>
    <w:rsid w:val="00E41222"/>
    <w:rsid w:val="00E41B17"/>
    <w:rsid w:val="00E420BB"/>
    <w:rsid w:val="00E43239"/>
    <w:rsid w:val="00E43970"/>
    <w:rsid w:val="00E44A35"/>
    <w:rsid w:val="00E44C95"/>
    <w:rsid w:val="00E450E2"/>
    <w:rsid w:val="00E45A16"/>
    <w:rsid w:val="00E45D3E"/>
    <w:rsid w:val="00E45DC4"/>
    <w:rsid w:val="00E4678E"/>
    <w:rsid w:val="00E479ED"/>
    <w:rsid w:val="00E517D0"/>
    <w:rsid w:val="00E5181E"/>
    <w:rsid w:val="00E51FAC"/>
    <w:rsid w:val="00E520BD"/>
    <w:rsid w:val="00E524A6"/>
    <w:rsid w:val="00E52718"/>
    <w:rsid w:val="00E537A2"/>
    <w:rsid w:val="00E54792"/>
    <w:rsid w:val="00E55EDB"/>
    <w:rsid w:val="00E56052"/>
    <w:rsid w:val="00E56249"/>
    <w:rsid w:val="00E563A3"/>
    <w:rsid w:val="00E56620"/>
    <w:rsid w:val="00E56DB2"/>
    <w:rsid w:val="00E57428"/>
    <w:rsid w:val="00E5748E"/>
    <w:rsid w:val="00E57491"/>
    <w:rsid w:val="00E574D4"/>
    <w:rsid w:val="00E57DC7"/>
    <w:rsid w:val="00E601EC"/>
    <w:rsid w:val="00E60909"/>
    <w:rsid w:val="00E61373"/>
    <w:rsid w:val="00E61534"/>
    <w:rsid w:val="00E63AFE"/>
    <w:rsid w:val="00E63F87"/>
    <w:rsid w:val="00E6414F"/>
    <w:rsid w:val="00E64391"/>
    <w:rsid w:val="00E644AF"/>
    <w:rsid w:val="00E64664"/>
    <w:rsid w:val="00E64E0B"/>
    <w:rsid w:val="00E6510B"/>
    <w:rsid w:val="00E66160"/>
    <w:rsid w:val="00E662EC"/>
    <w:rsid w:val="00E662FD"/>
    <w:rsid w:val="00E66590"/>
    <w:rsid w:val="00E66965"/>
    <w:rsid w:val="00E67219"/>
    <w:rsid w:val="00E674E7"/>
    <w:rsid w:val="00E70C27"/>
    <w:rsid w:val="00E725BA"/>
    <w:rsid w:val="00E7298E"/>
    <w:rsid w:val="00E72BF6"/>
    <w:rsid w:val="00E73623"/>
    <w:rsid w:val="00E73E2C"/>
    <w:rsid w:val="00E74C15"/>
    <w:rsid w:val="00E75575"/>
    <w:rsid w:val="00E75B7D"/>
    <w:rsid w:val="00E771C8"/>
    <w:rsid w:val="00E77B6E"/>
    <w:rsid w:val="00E77FDA"/>
    <w:rsid w:val="00E80203"/>
    <w:rsid w:val="00E814BA"/>
    <w:rsid w:val="00E824BC"/>
    <w:rsid w:val="00E82857"/>
    <w:rsid w:val="00E82C32"/>
    <w:rsid w:val="00E82D26"/>
    <w:rsid w:val="00E83111"/>
    <w:rsid w:val="00E83156"/>
    <w:rsid w:val="00E83C10"/>
    <w:rsid w:val="00E83CC8"/>
    <w:rsid w:val="00E84771"/>
    <w:rsid w:val="00E84C2B"/>
    <w:rsid w:val="00E852E8"/>
    <w:rsid w:val="00E90314"/>
    <w:rsid w:val="00E9058F"/>
    <w:rsid w:val="00E90D20"/>
    <w:rsid w:val="00E90E1C"/>
    <w:rsid w:val="00E91505"/>
    <w:rsid w:val="00E91523"/>
    <w:rsid w:val="00E91D29"/>
    <w:rsid w:val="00E9259D"/>
    <w:rsid w:val="00E926D3"/>
    <w:rsid w:val="00E92DD0"/>
    <w:rsid w:val="00E95E2B"/>
    <w:rsid w:val="00E95F4D"/>
    <w:rsid w:val="00E960E6"/>
    <w:rsid w:val="00E96F35"/>
    <w:rsid w:val="00EA07B1"/>
    <w:rsid w:val="00EA09BC"/>
    <w:rsid w:val="00EA0F48"/>
    <w:rsid w:val="00EA1DB4"/>
    <w:rsid w:val="00EA2B1D"/>
    <w:rsid w:val="00EA2F38"/>
    <w:rsid w:val="00EA43B1"/>
    <w:rsid w:val="00EA50A0"/>
    <w:rsid w:val="00EA582F"/>
    <w:rsid w:val="00EA6139"/>
    <w:rsid w:val="00EB0E59"/>
    <w:rsid w:val="00EB1758"/>
    <w:rsid w:val="00EB21CC"/>
    <w:rsid w:val="00EB26E2"/>
    <w:rsid w:val="00EB2BDF"/>
    <w:rsid w:val="00EB2CB1"/>
    <w:rsid w:val="00EB30A7"/>
    <w:rsid w:val="00EB34C0"/>
    <w:rsid w:val="00EB3915"/>
    <w:rsid w:val="00EB4130"/>
    <w:rsid w:val="00EB44CC"/>
    <w:rsid w:val="00EB455E"/>
    <w:rsid w:val="00EB5189"/>
    <w:rsid w:val="00EB5E86"/>
    <w:rsid w:val="00EB6623"/>
    <w:rsid w:val="00EB67B1"/>
    <w:rsid w:val="00EB6BB3"/>
    <w:rsid w:val="00EB7BC2"/>
    <w:rsid w:val="00EC18CB"/>
    <w:rsid w:val="00EC1C74"/>
    <w:rsid w:val="00EC1F09"/>
    <w:rsid w:val="00EC38B3"/>
    <w:rsid w:val="00EC396E"/>
    <w:rsid w:val="00EC45F5"/>
    <w:rsid w:val="00EC4F0A"/>
    <w:rsid w:val="00EC550F"/>
    <w:rsid w:val="00EC5632"/>
    <w:rsid w:val="00EC5773"/>
    <w:rsid w:val="00EC6BDE"/>
    <w:rsid w:val="00EC76E5"/>
    <w:rsid w:val="00EC78A0"/>
    <w:rsid w:val="00ED0C54"/>
    <w:rsid w:val="00ED2F34"/>
    <w:rsid w:val="00ED3688"/>
    <w:rsid w:val="00ED3BFF"/>
    <w:rsid w:val="00ED4092"/>
    <w:rsid w:val="00ED4E0B"/>
    <w:rsid w:val="00ED536A"/>
    <w:rsid w:val="00ED5473"/>
    <w:rsid w:val="00ED674F"/>
    <w:rsid w:val="00ED6984"/>
    <w:rsid w:val="00ED6FEB"/>
    <w:rsid w:val="00ED76D1"/>
    <w:rsid w:val="00EE01B6"/>
    <w:rsid w:val="00EE0286"/>
    <w:rsid w:val="00EE2961"/>
    <w:rsid w:val="00EE2AA0"/>
    <w:rsid w:val="00EE364C"/>
    <w:rsid w:val="00EE3F14"/>
    <w:rsid w:val="00EE438E"/>
    <w:rsid w:val="00EE5D0C"/>
    <w:rsid w:val="00EE5EA8"/>
    <w:rsid w:val="00EE64C1"/>
    <w:rsid w:val="00EE6896"/>
    <w:rsid w:val="00EE756B"/>
    <w:rsid w:val="00EF0E4C"/>
    <w:rsid w:val="00EF14E9"/>
    <w:rsid w:val="00EF1A49"/>
    <w:rsid w:val="00EF25F5"/>
    <w:rsid w:val="00EF3CB9"/>
    <w:rsid w:val="00EF4AEA"/>
    <w:rsid w:val="00EF60DE"/>
    <w:rsid w:val="00F0112B"/>
    <w:rsid w:val="00F01244"/>
    <w:rsid w:val="00F012FD"/>
    <w:rsid w:val="00F036B0"/>
    <w:rsid w:val="00F049E1"/>
    <w:rsid w:val="00F05ACD"/>
    <w:rsid w:val="00F06CB9"/>
    <w:rsid w:val="00F0729B"/>
    <w:rsid w:val="00F07F5D"/>
    <w:rsid w:val="00F100E2"/>
    <w:rsid w:val="00F10483"/>
    <w:rsid w:val="00F10DF5"/>
    <w:rsid w:val="00F1155E"/>
    <w:rsid w:val="00F129B9"/>
    <w:rsid w:val="00F14030"/>
    <w:rsid w:val="00F1410D"/>
    <w:rsid w:val="00F14177"/>
    <w:rsid w:val="00F14822"/>
    <w:rsid w:val="00F15C20"/>
    <w:rsid w:val="00F16642"/>
    <w:rsid w:val="00F17281"/>
    <w:rsid w:val="00F203CC"/>
    <w:rsid w:val="00F20544"/>
    <w:rsid w:val="00F20B90"/>
    <w:rsid w:val="00F20F79"/>
    <w:rsid w:val="00F21E28"/>
    <w:rsid w:val="00F22864"/>
    <w:rsid w:val="00F23328"/>
    <w:rsid w:val="00F2394B"/>
    <w:rsid w:val="00F2406F"/>
    <w:rsid w:val="00F24AC8"/>
    <w:rsid w:val="00F24C2A"/>
    <w:rsid w:val="00F24CC1"/>
    <w:rsid w:val="00F24DAE"/>
    <w:rsid w:val="00F2507C"/>
    <w:rsid w:val="00F25D23"/>
    <w:rsid w:val="00F25E5D"/>
    <w:rsid w:val="00F26AC7"/>
    <w:rsid w:val="00F26D0F"/>
    <w:rsid w:val="00F26EB7"/>
    <w:rsid w:val="00F27019"/>
    <w:rsid w:val="00F31007"/>
    <w:rsid w:val="00F31DB2"/>
    <w:rsid w:val="00F32610"/>
    <w:rsid w:val="00F32E2F"/>
    <w:rsid w:val="00F33772"/>
    <w:rsid w:val="00F33D0D"/>
    <w:rsid w:val="00F33D85"/>
    <w:rsid w:val="00F340C9"/>
    <w:rsid w:val="00F34134"/>
    <w:rsid w:val="00F34703"/>
    <w:rsid w:val="00F34B46"/>
    <w:rsid w:val="00F34C9F"/>
    <w:rsid w:val="00F34D34"/>
    <w:rsid w:val="00F36C41"/>
    <w:rsid w:val="00F37352"/>
    <w:rsid w:val="00F40FAC"/>
    <w:rsid w:val="00F41C5E"/>
    <w:rsid w:val="00F4212B"/>
    <w:rsid w:val="00F4361B"/>
    <w:rsid w:val="00F43698"/>
    <w:rsid w:val="00F4379B"/>
    <w:rsid w:val="00F43BC0"/>
    <w:rsid w:val="00F43CE4"/>
    <w:rsid w:val="00F4411B"/>
    <w:rsid w:val="00F447F2"/>
    <w:rsid w:val="00F45CCF"/>
    <w:rsid w:val="00F45F1A"/>
    <w:rsid w:val="00F476B0"/>
    <w:rsid w:val="00F519E0"/>
    <w:rsid w:val="00F51E0B"/>
    <w:rsid w:val="00F52026"/>
    <w:rsid w:val="00F52281"/>
    <w:rsid w:val="00F54528"/>
    <w:rsid w:val="00F54E88"/>
    <w:rsid w:val="00F55A0A"/>
    <w:rsid w:val="00F55F30"/>
    <w:rsid w:val="00F569DF"/>
    <w:rsid w:val="00F56B60"/>
    <w:rsid w:val="00F56E14"/>
    <w:rsid w:val="00F57BF8"/>
    <w:rsid w:val="00F603A7"/>
    <w:rsid w:val="00F6171F"/>
    <w:rsid w:val="00F6198E"/>
    <w:rsid w:val="00F61EC4"/>
    <w:rsid w:val="00F627D3"/>
    <w:rsid w:val="00F6314D"/>
    <w:rsid w:val="00F63C2F"/>
    <w:rsid w:val="00F63FC5"/>
    <w:rsid w:val="00F63FCC"/>
    <w:rsid w:val="00F64A61"/>
    <w:rsid w:val="00F64D19"/>
    <w:rsid w:val="00F66462"/>
    <w:rsid w:val="00F664DC"/>
    <w:rsid w:val="00F6690A"/>
    <w:rsid w:val="00F67196"/>
    <w:rsid w:val="00F67497"/>
    <w:rsid w:val="00F70D15"/>
    <w:rsid w:val="00F71EAF"/>
    <w:rsid w:val="00F72121"/>
    <w:rsid w:val="00F7234E"/>
    <w:rsid w:val="00F72CE7"/>
    <w:rsid w:val="00F72DF9"/>
    <w:rsid w:val="00F73ACB"/>
    <w:rsid w:val="00F73FB6"/>
    <w:rsid w:val="00F7428A"/>
    <w:rsid w:val="00F76231"/>
    <w:rsid w:val="00F76699"/>
    <w:rsid w:val="00F76890"/>
    <w:rsid w:val="00F77765"/>
    <w:rsid w:val="00F77B50"/>
    <w:rsid w:val="00F77CAC"/>
    <w:rsid w:val="00F82303"/>
    <w:rsid w:val="00F82C6F"/>
    <w:rsid w:val="00F83802"/>
    <w:rsid w:val="00F84062"/>
    <w:rsid w:val="00F8443B"/>
    <w:rsid w:val="00F84454"/>
    <w:rsid w:val="00F863DD"/>
    <w:rsid w:val="00F878CC"/>
    <w:rsid w:val="00F9105E"/>
    <w:rsid w:val="00F912BC"/>
    <w:rsid w:val="00F916ED"/>
    <w:rsid w:val="00F91B2C"/>
    <w:rsid w:val="00F92ECC"/>
    <w:rsid w:val="00F940E9"/>
    <w:rsid w:val="00F94390"/>
    <w:rsid w:val="00F94AE0"/>
    <w:rsid w:val="00F9524A"/>
    <w:rsid w:val="00F95DF3"/>
    <w:rsid w:val="00F9641D"/>
    <w:rsid w:val="00F966FC"/>
    <w:rsid w:val="00F979A3"/>
    <w:rsid w:val="00F97D72"/>
    <w:rsid w:val="00FA028D"/>
    <w:rsid w:val="00FA0697"/>
    <w:rsid w:val="00FA119E"/>
    <w:rsid w:val="00FA1BC4"/>
    <w:rsid w:val="00FA348E"/>
    <w:rsid w:val="00FA5CE1"/>
    <w:rsid w:val="00FA5FDC"/>
    <w:rsid w:val="00FA6250"/>
    <w:rsid w:val="00FA62A4"/>
    <w:rsid w:val="00FA6862"/>
    <w:rsid w:val="00FA6F5E"/>
    <w:rsid w:val="00FB0C7C"/>
    <w:rsid w:val="00FB251D"/>
    <w:rsid w:val="00FB2F59"/>
    <w:rsid w:val="00FB2FF3"/>
    <w:rsid w:val="00FB3309"/>
    <w:rsid w:val="00FB3387"/>
    <w:rsid w:val="00FB443A"/>
    <w:rsid w:val="00FB5247"/>
    <w:rsid w:val="00FB52C3"/>
    <w:rsid w:val="00FB55D7"/>
    <w:rsid w:val="00FB6F9A"/>
    <w:rsid w:val="00FB7C55"/>
    <w:rsid w:val="00FC07D9"/>
    <w:rsid w:val="00FC0D09"/>
    <w:rsid w:val="00FC1474"/>
    <w:rsid w:val="00FC19D8"/>
    <w:rsid w:val="00FC1D0A"/>
    <w:rsid w:val="00FC1E38"/>
    <w:rsid w:val="00FC1EAB"/>
    <w:rsid w:val="00FC23BD"/>
    <w:rsid w:val="00FC3037"/>
    <w:rsid w:val="00FC3271"/>
    <w:rsid w:val="00FC38B1"/>
    <w:rsid w:val="00FC3E1A"/>
    <w:rsid w:val="00FC3EAC"/>
    <w:rsid w:val="00FC6C9C"/>
    <w:rsid w:val="00FD0727"/>
    <w:rsid w:val="00FD1405"/>
    <w:rsid w:val="00FD15AA"/>
    <w:rsid w:val="00FD190A"/>
    <w:rsid w:val="00FD24D4"/>
    <w:rsid w:val="00FD31BE"/>
    <w:rsid w:val="00FD31D9"/>
    <w:rsid w:val="00FD41D7"/>
    <w:rsid w:val="00FD4225"/>
    <w:rsid w:val="00FD50E9"/>
    <w:rsid w:val="00FD540B"/>
    <w:rsid w:val="00FD5779"/>
    <w:rsid w:val="00FD5C34"/>
    <w:rsid w:val="00FD63BB"/>
    <w:rsid w:val="00FD6DA5"/>
    <w:rsid w:val="00FD6F22"/>
    <w:rsid w:val="00FD6FB2"/>
    <w:rsid w:val="00FD7A01"/>
    <w:rsid w:val="00FE0E34"/>
    <w:rsid w:val="00FE0E84"/>
    <w:rsid w:val="00FE0F3A"/>
    <w:rsid w:val="00FE1ADF"/>
    <w:rsid w:val="00FE1F18"/>
    <w:rsid w:val="00FE2463"/>
    <w:rsid w:val="00FE284C"/>
    <w:rsid w:val="00FE2ADE"/>
    <w:rsid w:val="00FE2DC1"/>
    <w:rsid w:val="00FE3801"/>
    <w:rsid w:val="00FE390E"/>
    <w:rsid w:val="00FE3E7D"/>
    <w:rsid w:val="00FE5BA4"/>
    <w:rsid w:val="00FE6664"/>
    <w:rsid w:val="00FE6C42"/>
    <w:rsid w:val="00FF1126"/>
    <w:rsid w:val="00FF3245"/>
    <w:rsid w:val="00FF4F50"/>
    <w:rsid w:val="00FF55A5"/>
    <w:rsid w:val="00FF6BBF"/>
    <w:rsid w:val="00FF7537"/>
    <w:rsid w:val="00FF7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36"/>
    <w:rPr>
      <w:rFonts w:ascii="Times New Roman" w:hAnsi="Times New Roman"/>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umentLabel">
    <w:name w:val="Document Label"/>
    <w:basedOn w:val="a"/>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3">
    <w:name w:val="Ετικέτα εγγράφου"/>
    <w:basedOn w:val="a"/>
    <w:rsid w:val="001D44D7"/>
    <w:pPr>
      <w:widowControl w:val="0"/>
      <w:overflowPunct w:val="0"/>
      <w:autoSpaceDE w:val="0"/>
      <w:autoSpaceDN w:val="0"/>
      <w:adjustRightInd w:val="0"/>
      <w:textAlignment w:val="baseline"/>
    </w:pPr>
    <w:rPr>
      <w:kern w:val="28"/>
      <w:szCs w:val="20"/>
    </w:rPr>
  </w:style>
  <w:style w:type="paragraph" w:styleId="a4">
    <w:name w:val="footer"/>
    <w:basedOn w:val="a"/>
    <w:link w:val="Char"/>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Char">
    <w:name w:val="Υποσέλιδο Char"/>
    <w:basedOn w:val="a0"/>
    <w:link w:val="a4"/>
    <w:rsid w:val="001D44D7"/>
  </w:style>
  <w:style w:type="paragraph" w:styleId="a5">
    <w:name w:val="header"/>
    <w:basedOn w:val="a"/>
    <w:link w:val="Char0"/>
    <w:rsid w:val="00AE0136"/>
    <w:pPr>
      <w:tabs>
        <w:tab w:val="center" w:pos="4320"/>
        <w:tab w:val="right" w:pos="8640"/>
      </w:tabs>
    </w:pPr>
  </w:style>
  <w:style w:type="character" w:customStyle="1" w:styleId="Char0">
    <w:name w:val="Κεφαλίδα Char"/>
    <w:basedOn w:val="a0"/>
    <w:link w:val="a5"/>
    <w:rsid w:val="00AE0136"/>
    <w:rPr>
      <w:rFonts w:ascii="Times New Roman" w:hAnsi="Times New Roman"/>
      <w:sz w:val="24"/>
      <w:lang w:val="en-GB"/>
    </w:rPr>
  </w:style>
  <w:style w:type="paragraph" w:styleId="a6">
    <w:name w:val="Body Text"/>
    <w:basedOn w:val="a"/>
    <w:link w:val="Char1"/>
    <w:rsid w:val="00AE0136"/>
    <w:pPr>
      <w:spacing w:after="200" w:line="288" w:lineRule="auto"/>
      <w:ind w:left="624"/>
      <w:jc w:val="both"/>
    </w:pPr>
    <w:rPr>
      <w:rFonts w:ascii="CG Times" w:hAnsi="CG Times"/>
      <w:sz w:val="22"/>
      <w:szCs w:val="20"/>
    </w:rPr>
  </w:style>
  <w:style w:type="character" w:customStyle="1" w:styleId="Char1">
    <w:name w:val="Σώμα κειμένου Char"/>
    <w:basedOn w:val="a0"/>
    <w:link w:val="a6"/>
    <w:rsid w:val="00AE0136"/>
    <w:rPr>
      <w:rFonts w:ascii="CG Times" w:hAnsi="CG Times"/>
      <w:szCs w:val="20"/>
      <w:lang w:val="en-GB"/>
    </w:rPr>
  </w:style>
  <w:style w:type="paragraph" w:customStyle="1" w:styleId="Default">
    <w:name w:val="Default"/>
    <w:rsid w:val="00AE0136"/>
    <w:pPr>
      <w:autoSpaceDE w:val="0"/>
      <w:autoSpaceDN w:val="0"/>
      <w:adjustRightInd w:val="0"/>
    </w:pPr>
    <w:rPr>
      <w:rFonts w:ascii="Times New Roman" w:hAnsi="Times New Roman"/>
      <w:color w:val="000000"/>
      <w:sz w:val="24"/>
      <w:lang w:val="en-US" w:eastAsia="ja-JP"/>
    </w:rPr>
  </w:style>
  <w:style w:type="paragraph" w:styleId="a7">
    <w:name w:val="List Paragraph"/>
    <w:basedOn w:val="a"/>
    <w:uiPriority w:val="34"/>
    <w:qFormat/>
    <w:rsid w:val="00AE0136"/>
    <w:pPr>
      <w:ind w:left="720"/>
    </w:pPr>
    <w:rPr>
      <w:rFonts w:ascii="Calibri" w:eastAsia="Calibri" w:hAnsi="Calibri" w:cs="Calibri"/>
      <w:sz w:val="22"/>
      <w:szCs w:val="22"/>
      <w:lang w:val="en-US" w:eastAsia="en-US"/>
    </w:rPr>
  </w:style>
  <w:style w:type="character" w:styleId="a8">
    <w:name w:val="page number"/>
    <w:basedOn w:val="a0"/>
    <w:rsid w:val="00D77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36"/>
    <w:rPr>
      <w:rFonts w:ascii="Times New Roman" w:hAnsi="Times New Roman"/>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umentLabel">
    <w:name w:val="Document Label"/>
    <w:basedOn w:val="a"/>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3">
    <w:name w:val="Ετικέτα εγγράφου"/>
    <w:basedOn w:val="a"/>
    <w:rsid w:val="001D44D7"/>
    <w:pPr>
      <w:widowControl w:val="0"/>
      <w:overflowPunct w:val="0"/>
      <w:autoSpaceDE w:val="0"/>
      <w:autoSpaceDN w:val="0"/>
      <w:adjustRightInd w:val="0"/>
      <w:textAlignment w:val="baseline"/>
    </w:pPr>
    <w:rPr>
      <w:kern w:val="28"/>
      <w:szCs w:val="20"/>
    </w:rPr>
  </w:style>
  <w:style w:type="paragraph" w:styleId="a4">
    <w:name w:val="footer"/>
    <w:basedOn w:val="a"/>
    <w:link w:val="Char"/>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Char">
    <w:name w:val="Υποσέλιδο Char"/>
    <w:basedOn w:val="a0"/>
    <w:link w:val="a4"/>
    <w:rsid w:val="001D44D7"/>
  </w:style>
  <w:style w:type="paragraph" w:styleId="a5">
    <w:name w:val="header"/>
    <w:basedOn w:val="a"/>
    <w:link w:val="Char0"/>
    <w:rsid w:val="00AE0136"/>
    <w:pPr>
      <w:tabs>
        <w:tab w:val="center" w:pos="4320"/>
        <w:tab w:val="right" w:pos="8640"/>
      </w:tabs>
    </w:pPr>
  </w:style>
  <w:style w:type="character" w:customStyle="1" w:styleId="Char0">
    <w:name w:val="Κεφαλίδα Char"/>
    <w:basedOn w:val="a0"/>
    <w:link w:val="a5"/>
    <w:rsid w:val="00AE0136"/>
    <w:rPr>
      <w:rFonts w:ascii="Times New Roman" w:hAnsi="Times New Roman"/>
      <w:sz w:val="24"/>
      <w:lang w:val="en-GB"/>
    </w:rPr>
  </w:style>
  <w:style w:type="paragraph" w:styleId="a6">
    <w:name w:val="Body Text"/>
    <w:basedOn w:val="a"/>
    <w:link w:val="Char1"/>
    <w:rsid w:val="00AE0136"/>
    <w:pPr>
      <w:spacing w:after="200" w:line="288" w:lineRule="auto"/>
      <w:ind w:left="624"/>
      <w:jc w:val="both"/>
    </w:pPr>
    <w:rPr>
      <w:rFonts w:ascii="CG Times" w:hAnsi="CG Times"/>
      <w:sz w:val="22"/>
      <w:szCs w:val="20"/>
    </w:rPr>
  </w:style>
  <w:style w:type="character" w:customStyle="1" w:styleId="Char1">
    <w:name w:val="Σώμα κειμένου Char"/>
    <w:basedOn w:val="a0"/>
    <w:link w:val="a6"/>
    <w:rsid w:val="00AE0136"/>
    <w:rPr>
      <w:rFonts w:ascii="CG Times" w:hAnsi="CG Times"/>
      <w:szCs w:val="20"/>
      <w:lang w:val="en-GB"/>
    </w:rPr>
  </w:style>
  <w:style w:type="paragraph" w:customStyle="1" w:styleId="Default">
    <w:name w:val="Default"/>
    <w:rsid w:val="00AE0136"/>
    <w:pPr>
      <w:autoSpaceDE w:val="0"/>
      <w:autoSpaceDN w:val="0"/>
      <w:adjustRightInd w:val="0"/>
    </w:pPr>
    <w:rPr>
      <w:rFonts w:ascii="Times New Roman" w:hAnsi="Times New Roman"/>
      <w:color w:val="000000"/>
      <w:sz w:val="24"/>
      <w:lang w:val="en-US" w:eastAsia="ja-JP"/>
    </w:rPr>
  </w:style>
  <w:style w:type="paragraph" w:styleId="a7">
    <w:name w:val="List Paragraph"/>
    <w:basedOn w:val="a"/>
    <w:uiPriority w:val="34"/>
    <w:qFormat/>
    <w:rsid w:val="00AE0136"/>
    <w:pPr>
      <w:ind w:left="720"/>
    </w:pPr>
    <w:rPr>
      <w:rFonts w:ascii="Calibri" w:eastAsia="Calibri" w:hAnsi="Calibri" w:cs="Calibri"/>
      <w:sz w:val="22"/>
      <w:szCs w:val="22"/>
      <w:lang w:val="en-US" w:eastAsia="en-US"/>
    </w:rPr>
  </w:style>
  <w:style w:type="character" w:styleId="a8">
    <w:name w:val="page number"/>
    <w:basedOn w:val="a0"/>
    <w:rsid w:val="00D7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3931</Words>
  <Characters>21226</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M. &amp; P. Bernitsas Law Offices</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Bernitsas Law Firm</dc:creator>
  <cp:lastModifiedBy>Bernitsas Law Firm</cp:lastModifiedBy>
  <cp:revision>3</cp:revision>
  <cp:lastPrinted>2018-10-18T10:06:00Z</cp:lastPrinted>
  <dcterms:created xsi:type="dcterms:W3CDTF">2018-10-18T18:12:00Z</dcterms:created>
  <dcterms:modified xsi:type="dcterms:W3CDTF">2018-10-18T18:12:00Z</dcterms:modified>
</cp:coreProperties>
</file>