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3B05E4">
        <w:rPr>
          <w:rFonts w:ascii="Arial" w:eastAsia="Times New Roman" w:hAnsi="Arial" w:cs="Arial"/>
          <w:sz w:val="24"/>
          <w:szCs w:val="24"/>
          <w:lang w:eastAsia="el-GR"/>
        </w:rPr>
        <w:t>Α Εξαμήνου</w:t>
      </w:r>
      <w:r w:rsidR="004E7EAA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AA3552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Α </w:t>
      </w:r>
      <w:r w:rsidR="003B05E4">
        <w:rPr>
          <w:rFonts w:ascii="Arial" w:eastAsia="Times New Roman" w:hAnsi="Arial" w:cs="Arial"/>
          <w:sz w:val="24"/>
          <w:szCs w:val="24"/>
          <w:lang w:eastAsia="el-GR"/>
        </w:rPr>
        <w:t>εξα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AA3552">
        <w:rPr>
          <w:rFonts w:ascii="Arial" w:eastAsia="Times New Roman" w:hAnsi="Arial" w:cs="Arial"/>
          <w:sz w:val="24"/>
          <w:szCs w:val="24"/>
          <w:lang w:eastAsia="el-GR"/>
        </w:rPr>
        <w:t>7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3B05E4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3B05E4">
        <w:rPr>
          <w:rFonts w:ascii="Arial" w:eastAsia="Times New Roman" w:hAnsi="Arial" w:cs="Arial"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F4905">
        <w:rPr>
          <w:rFonts w:ascii="Arial" w:eastAsia="Times New Roman" w:hAnsi="Arial" w:cs="Arial"/>
          <w:sz w:val="24"/>
          <w:szCs w:val="24"/>
          <w:lang w:eastAsia="el-GR"/>
        </w:rPr>
        <w:t>,7</w:t>
      </w:r>
      <w:r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έναντι των </w:t>
      </w:r>
      <w:r w:rsidR="000F4905">
        <w:rPr>
          <w:rFonts w:ascii="Arial" w:eastAsia="Times New Roman" w:hAnsi="Arial" w:cs="Arial"/>
          <w:sz w:val="24"/>
          <w:szCs w:val="24"/>
          <w:lang w:eastAsia="el-GR"/>
        </w:rPr>
        <w:t>1,5</w:t>
      </w:r>
      <w:r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3B05E4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3B05E4" w:rsidRPr="003B05E4">
        <w:rPr>
          <w:rFonts w:ascii="Arial" w:eastAsia="Times New Roman" w:hAnsi="Arial" w:cs="Arial"/>
          <w:sz w:val="24"/>
          <w:szCs w:val="24"/>
          <w:lang w:eastAsia="el-GR"/>
        </w:rPr>
        <w:t>εξά</w:t>
      </w:r>
      <w:r w:rsidR="00054D7A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μηνο του </w:t>
      </w:r>
      <w:r w:rsidR="00021536" w:rsidRPr="003B05E4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0F4905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021536" w:rsidRPr="003B05E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3B05E4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626D04" w:rsidRPr="00E34750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34750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B255E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F4905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8C46C6" w:rsidRPr="00E347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0F4905" w:rsidRPr="000F4905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B255E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="00933909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9B1AA1" w:rsidRPr="00E34750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0F4905">
        <w:rPr>
          <w:rFonts w:ascii="Arial" w:eastAsia="Times New Roman" w:hAnsi="Arial" w:cs="Arial"/>
          <w:sz w:val="24"/>
          <w:szCs w:val="24"/>
          <w:lang w:eastAsia="el-GR"/>
        </w:rPr>
        <w:t>45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το αντίστοιχο </w:t>
      </w:r>
      <w:r w:rsidR="00E34750" w:rsidRPr="00E34750">
        <w:rPr>
          <w:rFonts w:ascii="Arial" w:eastAsia="Times New Roman" w:hAnsi="Arial" w:cs="Arial"/>
          <w:sz w:val="24"/>
          <w:szCs w:val="24"/>
          <w:lang w:eastAsia="el-GR"/>
        </w:rPr>
        <w:t>εξά</w:t>
      </w:r>
      <w:r w:rsidR="00054D7A" w:rsidRPr="00E34750">
        <w:rPr>
          <w:rFonts w:ascii="Arial" w:eastAsia="Times New Roman" w:hAnsi="Arial" w:cs="Arial"/>
          <w:sz w:val="24"/>
          <w:szCs w:val="24"/>
          <w:lang w:eastAsia="el-GR"/>
        </w:rPr>
        <w:t>μηνο του 201</w:t>
      </w:r>
      <w:r w:rsidR="000F4905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626D04" w:rsidRPr="00E34750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 w:rsidRPr="00E3475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CE677F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CE677F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σε 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ζημιές</w:t>
      </w:r>
      <w:r w:rsidR="00922D64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45</w:t>
      </w:r>
      <w:r w:rsidR="008C46C6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ζημιών </w:t>
      </w:r>
      <w:r w:rsidR="00CE677F" w:rsidRPr="00CE677F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4E7EAA" w:rsidRPr="00CE677F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09</w:t>
      </w:r>
      <w:r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CE677F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ο </w:t>
      </w:r>
      <w:r w:rsidR="0095176D">
        <w:rPr>
          <w:rFonts w:ascii="Arial" w:eastAsia="Times New Roman" w:hAnsi="Arial" w:cs="Arial"/>
          <w:sz w:val="24"/>
          <w:szCs w:val="24"/>
          <w:lang w:eastAsia="el-GR"/>
        </w:rPr>
        <w:t>αντ</w:t>
      </w:r>
      <w:r w:rsidR="00857034">
        <w:rPr>
          <w:rFonts w:ascii="Arial" w:eastAsia="Times New Roman" w:hAnsi="Arial" w:cs="Arial"/>
          <w:sz w:val="24"/>
          <w:szCs w:val="24"/>
          <w:lang w:eastAsia="el-GR"/>
        </w:rPr>
        <w:t>ίστοιχο εξάμηνο του</w:t>
      </w:r>
      <w:r w:rsidR="00054D7A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703CF1" w:rsidRPr="00CE677F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 w:rsidRPr="00CE677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857034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857034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857034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B82493" w:rsidRPr="00857034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55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ευρώ έναντι </w:t>
      </w:r>
      <w:r w:rsidR="004E7EAA" w:rsidRPr="00857034">
        <w:rPr>
          <w:rFonts w:ascii="Arial" w:eastAsia="Times New Roman" w:hAnsi="Arial" w:cs="Arial"/>
          <w:sz w:val="24"/>
          <w:szCs w:val="24"/>
          <w:lang w:eastAsia="el-GR"/>
        </w:rPr>
        <w:t>ζημι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ών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0,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35</w:t>
      </w:r>
      <w:r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D41D3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</w:t>
      </w:r>
      <w:r w:rsidR="00857034" w:rsidRPr="00857034">
        <w:rPr>
          <w:rFonts w:ascii="Arial" w:eastAsia="Times New Roman" w:hAnsi="Arial" w:cs="Arial"/>
          <w:sz w:val="24"/>
          <w:szCs w:val="24"/>
          <w:lang w:eastAsia="el-GR"/>
        </w:rPr>
        <w:t>εξάμηνο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του</w:t>
      </w:r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20</w:t>
      </w:r>
      <w:bookmarkStart w:id="0" w:name="_GoBack"/>
      <w:bookmarkEnd w:id="0"/>
      <w:r w:rsidR="00E94F3C" w:rsidRPr="00857034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A52D8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626D04" w:rsidRPr="00857034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54D7A" w:rsidRPr="00857034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a3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D64E1"/>
    <w:rsid w:val="000F3AA7"/>
    <w:rsid w:val="000F4905"/>
    <w:rsid w:val="00101E50"/>
    <w:rsid w:val="00113145"/>
    <w:rsid w:val="00116110"/>
    <w:rsid w:val="00121EF5"/>
    <w:rsid w:val="00123B4A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2D8"/>
    <w:rsid w:val="003A56A3"/>
    <w:rsid w:val="003B05E4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57CE7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E7EAA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E7BD2"/>
    <w:rsid w:val="006F21FE"/>
    <w:rsid w:val="00703CF1"/>
    <w:rsid w:val="00722488"/>
    <w:rsid w:val="007316E4"/>
    <w:rsid w:val="007319D8"/>
    <w:rsid w:val="007372E3"/>
    <w:rsid w:val="00740B14"/>
    <w:rsid w:val="00767018"/>
    <w:rsid w:val="007B1645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57034"/>
    <w:rsid w:val="00866950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176D"/>
    <w:rsid w:val="00952C0E"/>
    <w:rsid w:val="0095360F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64798"/>
    <w:rsid w:val="00A7317F"/>
    <w:rsid w:val="00A822B5"/>
    <w:rsid w:val="00AA274B"/>
    <w:rsid w:val="00AA3552"/>
    <w:rsid w:val="00AF1D79"/>
    <w:rsid w:val="00B255EA"/>
    <w:rsid w:val="00B278E9"/>
    <w:rsid w:val="00B36F1D"/>
    <w:rsid w:val="00B72DF6"/>
    <w:rsid w:val="00B732F7"/>
    <w:rsid w:val="00B763FB"/>
    <w:rsid w:val="00B82493"/>
    <w:rsid w:val="00B96A20"/>
    <w:rsid w:val="00BA69F0"/>
    <w:rsid w:val="00BB2082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E677F"/>
    <w:rsid w:val="00CF0D9E"/>
    <w:rsid w:val="00CF42BE"/>
    <w:rsid w:val="00D0228E"/>
    <w:rsid w:val="00D41D3A"/>
    <w:rsid w:val="00D52A73"/>
    <w:rsid w:val="00D53D06"/>
    <w:rsid w:val="00D67E54"/>
    <w:rsid w:val="00D934C6"/>
    <w:rsid w:val="00DA6553"/>
    <w:rsid w:val="00DF57FE"/>
    <w:rsid w:val="00E2119F"/>
    <w:rsid w:val="00E34750"/>
    <w:rsid w:val="00E37CFC"/>
    <w:rsid w:val="00E40503"/>
    <w:rsid w:val="00E456BE"/>
    <w:rsid w:val="00E62BF6"/>
    <w:rsid w:val="00E94F3C"/>
    <w:rsid w:val="00EB415C"/>
    <w:rsid w:val="00EB4D08"/>
    <w:rsid w:val="00ED06B1"/>
    <w:rsid w:val="00ED6AB1"/>
    <w:rsid w:val="00F03B53"/>
    <w:rsid w:val="00F05B85"/>
    <w:rsid w:val="00F10704"/>
    <w:rsid w:val="00F11FC5"/>
    <w:rsid w:val="00F27844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6C15"/>
  <w15:docId w15:val="{2663762E-B7D5-4E03-A3A9-AACEEF1E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5593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278E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5758-EBEB-43D8-9820-2CFA47DA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5</cp:revision>
  <cp:lastPrinted>2017-09-28T08:21:00Z</cp:lastPrinted>
  <dcterms:created xsi:type="dcterms:W3CDTF">2017-09-28T08:18:00Z</dcterms:created>
  <dcterms:modified xsi:type="dcterms:W3CDTF">2017-09-28T08:34:00Z</dcterms:modified>
</cp:coreProperties>
</file>