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08" w:rsidRPr="00F32CC6" w:rsidRDefault="00CB6708" w:rsidP="00820504">
      <w:pPr>
        <w:pStyle w:val="DateNew"/>
        <w:rPr>
          <w:lang w:val="en-US"/>
        </w:rPr>
      </w:pPr>
      <w:r w:rsidRPr="003C45E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900F7" wp14:editId="2416DBD9">
                <wp:simplePos x="0" y="0"/>
                <wp:positionH relativeFrom="column">
                  <wp:posOffset>3166607</wp:posOffset>
                </wp:positionH>
                <wp:positionV relativeFrom="paragraph">
                  <wp:posOffset>-518326</wp:posOffset>
                </wp:positionV>
                <wp:extent cx="2324763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63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08" w:rsidRPr="00CB6708" w:rsidRDefault="006D09E0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Announcement</w:t>
                            </w:r>
                            <w:r w:rsidR="00F32CC6">
                              <w:rPr>
                                <w:lang w:val="en-US"/>
                              </w:rPr>
                              <w:t xml:space="preserve">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.35pt;margin-top:-40.8pt;width:183.0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" filled="f" stroked="f" strokeweight=".5pt">
                <v:textbox>
                  <w:txbxContent>
                    <w:p w:rsidR="00CB6708" w:rsidRPr="00CB6708" w:rsidRDefault="006D09E0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Announcement</w:t>
                      </w:r>
                      <w:r w:rsidR="00F32CC6">
                        <w:rPr>
                          <w:lang w:val="en-US"/>
                        </w:rPr>
                        <w:t xml:space="preserve"> Release</w:t>
                      </w:r>
                    </w:p>
                  </w:txbxContent>
                </v:textbox>
              </v:shape>
            </w:pict>
          </mc:Fallback>
        </mc:AlternateContent>
      </w:r>
      <w:r w:rsidR="003C45E3" w:rsidRPr="003C45E3">
        <w:rPr>
          <w:lang w:val="en-GB"/>
        </w:rPr>
        <w:t>September</w:t>
      </w:r>
      <w:r w:rsidR="00675058" w:rsidRPr="003C45E3">
        <w:rPr>
          <w:lang w:val="en-GB"/>
        </w:rPr>
        <w:t xml:space="preserve"> </w:t>
      </w:r>
      <w:r w:rsidR="003C45E3">
        <w:rPr>
          <w:lang w:val="en-GB"/>
        </w:rPr>
        <w:t>6</w:t>
      </w:r>
      <w:r w:rsidR="005B3DBD" w:rsidRPr="00F32CC6">
        <w:rPr>
          <w:lang w:val="en-US"/>
        </w:rPr>
        <w:t>,</w:t>
      </w:r>
      <w:r w:rsidRPr="00F32CC6">
        <w:rPr>
          <w:lang w:val="en-US"/>
        </w:rPr>
        <w:t xml:space="preserve"> </w:t>
      </w:r>
      <w:r w:rsidR="001A492B" w:rsidRPr="003C45E3">
        <w:rPr>
          <w:lang w:val="en-US"/>
        </w:rPr>
        <w:t>2016</w:t>
      </w:r>
    </w:p>
    <w:p w:rsidR="0051381C" w:rsidRPr="00F32CC6" w:rsidRDefault="006D09E0" w:rsidP="0051381C">
      <w:pPr>
        <w:pStyle w:val="Title"/>
        <w:tabs>
          <w:tab w:val="left" w:pos="6198"/>
        </w:tabs>
        <w:rPr>
          <w:iCs/>
          <w:lang w:val="en-US"/>
        </w:rPr>
      </w:pPr>
      <w:proofErr w:type="spellStart"/>
      <w:r w:rsidRPr="006D09E0">
        <w:rPr>
          <w:iCs/>
          <w:lang w:val="en-GB"/>
        </w:rPr>
        <w:t>ΑξIAnumbers</w:t>
      </w:r>
      <w:proofErr w:type="spellEnd"/>
      <w:r w:rsidRPr="006D09E0">
        <w:rPr>
          <w:iCs/>
          <w:lang w:val="en-GB"/>
        </w:rPr>
        <w:t xml:space="preserve"> Monthly Publication</w:t>
      </w:r>
      <w:r w:rsidR="0051381C" w:rsidRPr="00F32CC6">
        <w:rPr>
          <w:iCs/>
          <w:lang w:val="en-US"/>
        </w:rPr>
        <w:t xml:space="preserve"> </w:t>
      </w:r>
    </w:p>
    <w:p w:rsidR="006D09E0" w:rsidRPr="006D09E0" w:rsidRDefault="006D09E0" w:rsidP="006D09E0">
      <w:pPr>
        <w:rPr>
          <w:iCs/>
          <w:lang w:val="en-GB"/>
        </w:rPr>
      </w:pPr>
      <w:r w:rsidRPr="006D09E0">
        <w:rPr>
          <w:b/>
          <w:iCs/>
          <w:lang w:val="en-GB"/>
        </w:rPr>
        <w:t>Athens Exchange Group (ATHEX Group)</w:t>
      </w:r>
      <w:r w:rsidRPr="006D09E0">
        <w:rPr>
          <w:b/>
          <w:bCs/>
          <w:iCs/>
          <w:lang w:val="en-GB"/>
        </w:rPr>
        <w:t xml:space="preserve"> publishes its Monthly Statistics Bulletin for</w:t>
      </w:r>
      <w:r w:rsidR="00CB7C2E">
        <w:rPr>
          <w:b/>
          <w:bCs/>
          <w:iCs/>
          <w:lang w:val="en-GB"/>
        </w:rPr>
        <w:t xml:space="preserve"> </w:t>
      </w:r>
      <w:r w:rsidR="0079101B" w:rsidRPr="0079101B">
        <w:rPr>
          <w:b/>
          <w:iCs/>
          <w:lang w:val="en-GB"/>
        </w:rPr>
        <w:t>August 2016</w:t>
      </w:r>
      <w:r w:rsidRPr="00CB7C2E">
        <w:rPr>
          <w:b/>
          <w:iCs/>
          <w:lang w:val="en-GB"/>
        </w:rPr>
        <w:t>.</w:t>
      </w:r>
    </w:p>
    <w:p w:rsidR="006D09E0" w:rsidRPr="00815319" w:rsidRDefault="006D09E0" w:rsidP="006D09E0">
      <w:p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>Summary of basic statistical information for</w:t>
      </w:r>
      <w:r w:rsidR="00D429C2">
        <w:rPr>
          <w:b/>
          <w:bCs/>
          <w:iCs/>
          <w:lang w:val="en-GB"/>
        </w:rPr>
        <w:t xml:space="preserve"> </w:t>
      </w:r>
      <w:r w:rsidR="0079101B" w:rsidRPr="0079101B">
        <w:rPr>
          <w:b/>
          <w:bCs/>
          <w:iCs/>
          <w:lang w:val="en-GB"/>
        </w:rPr>
        <w:t>August 2016</w:t>
      </w:r>
      <w:r w:rsidRPr="00815319">
        <w:rPr>
          <w:b/>
          <w:bCs/>
          <w:iCs/>
          <w:lang w:val="en-GB"/>
        </w:rPr>
        <w:t>:</w:t>
      </w:r>
    </w:p>
    <w:p w:rsidR="00CE44A0" w:rsidRPr="00815319" w:rsidRDefault="00CE44A0" w:rsidP="001039FB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>Total ATHEX capitalization closed up at €</w:t>
      </w:r>
      <w:r w:rsidR="0079101B" w:rsidRPr="0079101B">
        <w:rPr>
          <w:b/>
          <w:bCs/>
          <w:iCs/>
          <w:lang w:val="en-GB"/>
        </w:rPr>
        <w:t>35.75</w:t>
      </w:r>
      <w:r w:rsidR="003C62BB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billion, </w:t>
      </w:r>
      <w:r w:rsidR="0079101B" w:rsidRPr="0079101B">
        <w:rPr>
          <w:b/>
          <w:bCs/>
          <w:iCs/>
          <w:lang w:val="en-GB"/>
        </w:rPr>
        <w:t>increased</w:t>
      </w:r>
      <w:r w:rsidR="00352FF0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by </w:t>
      </w:r>
      <w:r w:rsidR="0079101B" w:rsidRPr="0079101B">
        <w:rPr>
          <w:b/>
          <w:bCs/>
          <w:iCs/>
          <w:lang w:val="en-GB"/>
        </w:rPr>
        <w:t>0.9%</w:t>
      </w:r>
      <w:r w:rsidR="00352FF0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since the previous month. </w:t>
      </w:r>
      <w:r w:rsidR="008602D4">
        <w:rPr>
          <w:b/>
          <w:bCs/>
          <w:iCs/>
          <w:lang w:val="en-GB"/>
        </w:rPr>
        <w:t>I</w:t>
      </w:r>
      <w:r w:rsidRPr="006F5C5C">
        <w:rPr>
          <w:b/>
          <w:bCs/>
          <w:iCs/>
          <w:lang w:val="en-GB"/>
        </w:rPr>
        <w:t>n</w:t>
      </w:r>
      <w:r w:rsidR="006F5C5C" w:rsidRPr="006F5C5C">
        <w:rPr>
          <w:b/>
          <w:bCs/>
          <w:iCs/>
          <w:lang w:val="en-GB"/>
        </w:rPr>
        <w:t xml:space="preserve"> case that HFSF was not counted</w:t>
      </w:r>
      <w:r w:rsidR="008602D4">
        <w:rPr>
          <w:b/>
          <w:bCs/>
          <w:iCs/>
          <w:lang w:val="en-GB"/>
        </w:rPr>
        <w:t xml:space="preserve"> </w:t>
      </w:r>
      <w:r w:rsidR="00DB0BAC">
        <w:rPr>
          <w:b/>
          <w:bCs/>
          <w:iCs/>
          <w:lang w:val="en-GB"/>
        </w:rPr>
        <w:t xml:space="preserve">the increase </w:t>
      </w:r>
      <w:r w:rsidR="008602D4">
        <w:rPr>
          <w:b/>
          <w:bCs/>
          <w:iCs/>
          <w:lang w:val="en-GB"/>
        </w:rPr>
        <w:t xml:space="preserve">was </w:t>
      </w:r>
      <w:r w:rsidR="00A11C79">
        <w:rPr>
          <w:b/>
          <w:bCs/>
          <w:iCs/>
          <w:lang w:val="en-GB"/>
        </w:rPr>
        <w:t xml:space="preserve">also </w:t>
      </w:r>
      <w:r w:rsidR="00DB0BAC">
        <w:rPr>
          <w:b/>
          <w:bCs/>
          <w:iCs/>
          <w:lang w:val="en-GB"/>
        </w:rPr>
        <w:t>0.9%.</w:t>
      </w:r>
      <w:r w:rsidR="00A11C79">
        <w:rPr>
          <w:b/>
          <w:bCs/>
          <w:iCs/>
          <w:lang w:val="en-GB"/>
        </w:rPr>
        <w:t xml:space="preserve"> </w:t>
      </w:r>
    </w:p>
    <w:p w:rsidR="00CE44A0" w:rsidRPr="00815319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 xml:space="preserve">Capital inflows from foreign investors in the Greek capital, during </w:t>
      </w:r>
      <w:r w:rsidR="0079101B" w:rsidRPr="0079101B">
        <w:rPr>
          <w:b/>
          <w:bCs/>
          <w:iCs/>
          <w:lang w:val="en-GB"/>
        </w:rPr>
        <w:t>August</w:t>
      </w:r>
      <w:r w:rsidRPr="00815319">
        <w:rPr>
          <w:b/>
          <w:bCs/>
          <w:iCs/>
          <w:lang w:val="en-GB"/>
        </w:rPr>
        <w:t xml:space="preserve">, </w:t>
      </w:r>
      <w:r w:rsidR="0079101B" w:rsidRPr="0079101B">
        <w:rPr>
          <w:b/>
          <w:bCs/>
          <w:iCs/>
          <w:lang w:val="en-GB"/>
        </w:rPr>
        <w:t>exceeded</w:t>
      </w:r>
      <w:r w:rsidR="0079101B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>outflows.</w:t>
      </w:r>
    </w:p>
    <w:p w:rsidR="00CE44A0" w:rsidRPr="00815319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 xml:space="preserve">Participation of foreign investors in the total market capitalization reached </w:t>
      </w:r>
      <w:r w:rsidR="0079101B" w:rsidRPr="0079101B">
        <w:rPr>
          <w:b/>
          <w:bCs/>
          <w:iCs/>
          <w:lang w:val="en-GB"/>
        </w:rPr>
        <w:t>61.1%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compared to </w:t>
      </w:r>
      <w:r w:rsidR="0079101B" w:rsidRPr="0079101B">
        <w:rPr>
          <w:b/>
          <w:bCs/>
          <w:iCs/>
          <w:lang w:val="en-GB"/>
        </w:rPr>
        <w:t>60.8%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at the end of previous month, </w:t>
      </w:r>
      <w:r w:rsidR="0079101B" w:rsidRPr="0079101B">
        <w:rPr>
          <w:b/>
          <w:bCs/>
          <w:iCs/>
          <w:lang w:val="en-GB"/>
        </w:rPr>
        <w:t>increased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by </w:t>
      </w:r>
      <w:r w:rsidR="0079101B" w:rsidRPr="0079101B">
        <w:rPr>
          <w:b/>
          <w:bCs/>
          <w:iCs/>
          <w:lang w:val="en-GB"/>
        </w:rPr>
        <w:t>0.5%</w:t>
      </w:r>
      <w:r w:rsidR="00CB25D7">
        <w:rPr>
          <w:b/>
          <w:bCs/>
          <w:iCs/>
          <w:lang w:val="en-GB"/>
        </w:rPr>
        <w:t xml:space="preserve">. </w:t>
      </w:r>
      <w:r w:rsidRPr="00815319">
        <w:rPr>
          <w:b/>
          <w:bCs/>
          <w:iCs/>
          <w:lang w:val="en-GB"/>
        </w:rPr>
        <w:t>In case the participation of HFSF is counted (€</w:t>
      </w:r>
      <w:r w:rsidR="0079101B" w:rsidRPr="0079101B">
        <w:rPr>
          <w:b/>
          <w:bCs/>
          <w:iCs/>
          <w:lang w:val="en-GB"/>
        </w:rPr>
        <w:t>1,435.32</w:t>
      </w:r>
      <w:r w:rsidR="00CB25D7">
        <w:rPr>
          <w:b/>
          <w:bCs/>
          <w:iCs/>
          <w:lang w:val="en-GB"/>
        </w:rPr>
        <w:t xml:space="preserve"> million or </w:t>
      </w:r>
      <w:r w:rsidR="0079101B" w:rsidRPr="0079101B">
        <w:rPr>
          <w:b/>
          <w:bCs/>
          <w:iCs/>
          <w:lang w:val="en-GB"/>
        </w:rPr>
        <w:t>4.0%</w:t>
      </w:r>
      <w:r w:rsidRPr="00815319">
        <w:rPr>
          <w:b/>
          <w:bCs/>
          <w:iCs/>
          <w:lang w:val="en-GB"/>
        </w:rPr>
        <w:t>)</w:t>
      </w:r>
      <w:r w:rsidR="00DF26F4">
        <w:rPr>
          <w:b/>
          <w:bCs/>
          <w:iCs/>
          <w:lang w:val="en-GB"/>
        </w:rPr>
        <w:t>,</w:t>
      </w:r>
      <w:r w:rsidRPr="00815319">
        <w:rPr>
          <w:b/>
          <w:bCs/>
          <w:iCs/>
          <w:lang w:val="en-GB"/>
        </w:rPr>
        <w:t xml:space="preserve"> the participation of foreign investors amounts to </w:t>
      </w:r>
      <w:r w:rsidR="0079101B" w:rsidRPr="0079101B">
        <w:rPr>
          <w:b/>
          <w:bCs/>
          <w:iCs/>
          <w:lang w:val="en-GB"/>
        </w:rPr>
        <w:t>58.6%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compared to </w:t>
      </w:r>
      <w:r w:rsidR="0079101B" w:rsidRPr="0079101B">
        <w:rPr>
          <w:b/>
          <w:bCs/>
          <w:iCs/>
          <w:lang w:val="en-GB"/>
        </w:rPr>
        <w:t>58.4%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at the end of previous month </w:t>
      </w:r>
      <w:r w:rsidR="0079101B" w:rsidRPr="0079101B">
        <w:rPr>
          <w:b/>
          <w:bCs/>
          <w:iCs/>
          <w:lang w:val="en-GB"/>
        </w:rPr>
        <w:t>increased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by </w:t>
      </w:r>
      <w:r w:rsidR="0079101B" w:rsidRPr="0079101B">
        <w:rPr>
          <w:b/>
          <w:bCs/>
          <w:iCs/>
          <w:lang w:val="en-GB"/>
        </w:rPr>
        <w:t>0.4%</w:t>
      </w:r>
      <w:r w:rsidR="00CB25D7">
        <w:rPr>
          <w:b/>
          <w:bCs/>
          <w:iCs/>
          <w:lang w:val="en-GB"/>
        </w:rPr>
        <w:t>.</w:t>
      </w:r>
    </w:p>
    <w:p w:rsidR="00CE44A0" w:rsidRPr="00815319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>Total turnover €</w:t>
      </w:r>
      <w:r w:rsidR="0079101B" w:rsidRPr="0079101B">
        <w:rPr>
          <w:b/>
          <w:bCs/>
          <w:iCs/>
          <w:lang w:val="en-GB"/>
        </w:rPr>
        <w:t>0.85</w:t>
      </w:r>
      <w:r w:rsidR="00361D05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>billion (</w:t>
      </w:r>
      <w:r w:rsidR="0079101B" w:rsidRPr="0079101B">
        <w:rPr>
          <w:b/>
          <w:bCs/>
          <w:iCs/>
          <w:lang w:val="en-GB"/>
        </w:rPr>
        <w:t>decreased</w:t>
      </w:r>
      <w:r w:rsidR="00361D05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by </w:t>
      </w:r>
      <w:r w:rsidR="0079101B" w:rsidRPr="0079101B">
        <w:rPr>
          <w:b/>
          <w:bCs/>
          <w:iCs/>
          <w:lang w:val="en-GB"/>
        </w:rPr>
        <w:t>1.6%</w:t>
      </w:r>
      <w:r w:rsidR="00361D05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compared to the previous month and </w:t>
      </w:r>
      <w:r w:rsidR="0079101B" w:rsidRPr="0079101B">
        <w:rPr>
          <w:b/>
          <w:bCs/>
          <w:iCs/>
          <w:lang w:val="en-GB"/>
        </w:rPr>
        <w:t>decreased</w:t>
      </w:r>
      <w:r w:rsidR="00361D05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by </w:t>
      </w:r>
      <w:r w:rsidR="0079101B" w:rsidRPr="0079101B">
        <w:rPr>
          <w:b/>
          <w:bCs/>
          <w:iCs/>
          <w:lang w:val="en-GB"/>
        </w:rPr>
        <w:t>6.2</w:t>
      </w:r>
      <w:r w:rsidR="0079101B" w:rsidRPr="0079101B">
        <w:rPr>
          <w:rFonts w:ascii="Arial" w:eastAsiaTheme="minorEastAsia" w:hAnsi="Arial" w:cs="Arial"/>
          <w:color w:val="000000"/>
          <w:sz w:val="20"/>
          <w:szCs w:val="20"/>
          <w:lang w:val="en-US" w:eastAsia="el-GR"/>
        </w:rPr>
        <w:t>%</w:t>
      </w:r>
      <w:r w:rsidR="00361D05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>compared to the same month of the previous year).</w:t>
      </w:r>
    </w:p>
    <w:p w:rsidR="00CE44A0" w:rsidRPr="00404B9E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404B9E">
        <w:rPr>
          <w:b/>
          <w:bCs/>
          <w:iCs/>
          <w:lang w:val="en-GB"/>
        </w:rPr>
        <w:t xml:space="preserve">Total number of securities transferred due to settlement of stock exchange transactions amounted at </w:t>
      </w:r>
      <w:r w:rsidR="00404B9E" w:rsidRPr="00404B9E">
        <w:rPr>
          <w:b/>
          <w:bCs/>
          <w:iCs/>
          <w:lang w:val="en-US"/>
        </w:rPr>
        <w:t xml:space="preserve">889.435.662 </w:t>
      </w:r>
      <w:r w:rsidRPr="00404B9E">
        <w:rPr>
          <w:b/>
          <w:bCs/>
          <w:iCs/>
          <w:lang w:val="en-GB"/>
        </w:rPr>
        <w:t xml:space="preserve">items </w:t>
      </w:r>
      <w:r w:rsidR="00223689" w:rsidRPr="00404B9E">
        <w:rPr>
          <w:b/>
          <w:bCs/>
          <w:iCs/>
          <w:lang w:val="en-GB"/>
        </w:rPr>
        <w:t>de</w:t>
      </w:r>
      <w:r w:rsidRPr="00404B9E">
        <w:rPr>
          <w:b/>
          <w:bCs/>
          <w:iCs/>
          <w:lang w:val="en-GB"/>
        </w:rPr>
        <w:t xml:space="preserve">creased by </w:t>
      </w:r>
      <w:r w:rsidR="00404B9E" w:rsidRPr="00404B9E">
        <w:rPr>
          <w:b/>
          <w:bCs/>
          <w:iCs/>
          <w:lang w:val="en-US"/>
        </w:rPr>
        <w:t>46</w:t>
      </w:r>
      <w:r w:rsidRPr="00404B9E">
        <w:rPr>
          <w:b/>
          <w:bCs/>
          <w:iCs/>
          <w:lang w:val="en-GB"/>
        </w:rPr>
        <w:t>.</w:t>
      </w:r>
      <w:r w:rsidR="00404B9E" w:rsidRPr="00404B9E">
        <w:rPr>
          <w:b/>
          <w:bCs/>
          <w:iCs/>
          <w:lang w:val="en-US"/>
        </w:rPr>
        <w:t>3</w:t>
      </w:r>
      <w:r w:rsidRPr="00404B9E">
        <w:rPr>
          <w:b/>
          <w:bCs/>
          <w:iCs/>
          <w:lang w:val="en-GB"/>
        </w:rPr>
        <w:t>% compared to last month (</w:t>
      </w:r>
      <w:r w:rsidR="00404B9E" w:rsidRPr="00404B9E">
        <w:rPr>
          <w:b/>
          <w:bCs/>
          <w:iCs/>
          <w:lang w:val="en-US"/>
        </w:rPr>
        <w:t>1.657.786.947</w:t>
      </w:r>
      <w:r w:rsidRPr="00404B9E">
        <w:rPr>
          <w:b/>
          <w:bCs/>
          <w:iCs/>
          <w:lang w:val="en-GB"/>
        </w:rPr>
        <w:t xml:space="preserve">) and decreased by </w:t>
      </w:r>
      <w:r w:rsidR="00404B9E" w:rsidRPr="00404B9E">
        <w:rPr>
          <w:b/>
          <w:bCs/>
          <w:iCs/>
          <w:lang w:val="en-US"/>
        </w:rPr>
        <w:t>71</w:t>
      </w:r>
      <w:r w:rsidRPr="00404B9E">
        <w:rPr>
          <w:b/>
          <w:bCs/>
          <w:iCs/>
          <w:lang w:val="en-GB"/>
        </w:rPr>
        <w:t>.</w:t>
      </w:r>
      <w:r w:rsidR="00404B9E" w:rsidRPr="00404B9E">
        <w:rPr>
          <w:b/>
          <w:bCs/>
          <w:iCs/>
          <w:lang w:val="en-US"/>
        </w:rPr>
        <w:t>9</w:t>
      </w:r>
      <w:r w:rsidRPr="00404B9E">
        <w:rPr>
          <w:b/>
          <w:bCs/>
          <w:iCs/>
          <w:lang w:val="en-GB"/>
        </w:rPr>
        <w:t xml:space="preserve">% compared to </w:t>
      </w:r>
      <w:r w:rsidR="00404B9E" w:rsidRPr="00404B9E">
        <w:rPr>
          <w:b/>
          <w:bCs/>
          <w:iCs/>
          <w:lang w:val="en-GB"/>
        </w:rPr>
        <w:t>August</w:t>
      </w:r>
      <w:r w:rsidRPr="00404B9E">
        <w:rPr>
          <w:b/>
          <w:bCs/>
          <w:iCs/>
          <w:lang w:val="en-GB"/>
        </w:rPr>
        <w:t xml:space="preserve"> 2015 (</w:t>
      </w:r>
      <w:r w:rsidR="00404B9E" w:rsidRPr="00404B9E">
        <w:rPr>
          <w:b/>
          <w:bCs/>
          <w:iCs/>
          <w:lang w:val="en-US"/>
        </w:rPr>
        <w:t xml:space="preserve">3.169.262.416 </w:t>
      </w:r>
      <w:r w:rsidRPr="00404B9E">
        <w:rPr>
          <w:b/>
          <w:bCs/>
          <w:iCs/>
          <w:lang w:val="en-GB"/>
        </w:rPr>
        <w:t>items).</w:t>
      </w:r>
    </w:p>
    <w:p w:rsidR="00CE44A0" w:rsidRPr="00815319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 xml:space="preserve">Foreign investors in </w:t>
      </w:r>
      <w:r w:rsidR="0079101B" w:rsidRPr="0079101B">
        <w:rPr>
          <w:b/>
          <w:bCs/>
          <w:iCs/>
          <w:lang w:val="en-GB"/>
        </w:rPr>
        <w:t>August 2016</w:t>
      </w:r>
      <w:r w:rsidR="00BD66A8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constituted </w:t>
      </w:r>
      <w:r w:rsidR="0079101B" w:rsidRPr="0079101B">
        <w:rPr>
          <w:b/>
          <w:bCs/>
          <w:iCs/>
          <w:lang w:val="en-GB"/>
        </w:rPr>
        <w:t>57.2%</w:t>
      </w:r>
      <w:r w:rsidR="00BD66A8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>of total turnover.</w:t>
      </w:r>
    </w:p>
    <w:p w:rsidR="00CE44A0" w:rsidRPr="00815319" w:rsidRDefault="00DF26F4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Active investors’ a</w:t>
      </w:r>
      <w:r w:rsidR="00CE44A0" w:rsidRPr="00815319">
        <w:rPr>
          <w:b/>
          <w:bCs/>
          <w:iCs/>
          <w:lang w:val="en-GB"/>
        </w:rPr>
        <w:t xml:space="preserve">ccounts number reached </w:t>
      </w:r>
      <w:r w:rsidR="0079101B" w:rsidRPr="0079101B">
        <w:rPr>
          <w:b/>
          <w:bCs/>
          <w:iCs/>
          <w:lang w:val="en-GB"/>
        </w:rPr>
        <w:t>10.08</w:t>
      </w:r>
      <w:r w:rsidR="00BD66A8">
        <w:rPr>
          <w:b/>
          <w:bCs/>
          <w:iCs/>
          <w:lang w:val="en-GB"/>
        </w:rPr>
        <w:t xml:space="preserve"> </w:t>
      </w:r>
      <w:r w:rsidR="00CE44A0" w:rsidRPr="00815319">
        <w:rPr>
          <w:b/>
          <w:bCs/>
          <w:iCs/>
          <w:lang w:val="en-GB"/>
        </w:rPr>
        <w:t xml:space="preserve">thousand (previous month: </w:t>
      </w:r>
      <w:r w:rsidR="0079101B" w:rsidRPr="0079101B">
        <w:rPr>
          <w:b/>
          <w:bCs/>
          <w:iCs/>
          <w:lang w:val="en-GB"/>
        </w:rPr>
        <w:t>13.40</w:t>
      </w:r>
      <w:r w:rsidR="00BD66A8">
        <w:rPr>
          <w:b/>
          <w:bCs/>
          <w:iCs/>
          <w:lang w:val="en-GB"/>
        </w:rPr>
        <w:t xml:space="preserve"> </w:t>
      </w:r>
      <w:r w:rsidR="00CE44A0" w:rsidRPr="00815319">
        <w:rPr>
          <w:b/>
          <w:bCs/>
          <w:iCs/>
          <w:lang w:val="en-GB"/>
        </w:rPr>
        <w:t>thousand).</w:t>
      </w:r>
    </w:p>
    <w:p w:rsidR="00CE44A0" w:rsidRPr="00815319" w:rsidRDefault="006C0199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431</w:t>
      </w:r>
      <w:r w:rsidR="00CE44A0" w:rsidRPr="00815319">
        <w:rPr>
          <w:b/>
          <w:bCs/>
          <w:iCs/>
          <w:lang w:val="en-GB"/>
        </w:rPr>
        <w:t xml:space="preserve"> New investors’ Accounts (previous month: </w:t>
      </w:r>
      <w:r>
        <w:rPr>
          <w:b/>
          <w:bCs/>
          <w:iCs/>
          <w:lang w:val="en-GB"/>
        </w:rPr>
        <w:t>626</w:t>
      </w:r>
      <w:r w:rsidR="00CE44A0" w:rsidRPr="00815319">
        <w:rPr>
          <w:b/>
          <w:bCs/>
          <w:iCs/>
          <w:lang w:val="en-GB"/>
        </w:rPr>
        <w:t xml:space="preserve"> Accounts).</w:t>
      </w:r>
    </w:p>
    <w:p w:rsidR="00CE44A0" w:rsidRPr="00815319" w:rsidRDefault="0079101B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79101B">
        <w:rPr>
          <w:b/>
          <w:bCs/>
          <w:iCs/>
          <w:lang w:val="en-GB"/>
        </w:rPr>
        <w:t>Profits</w:t>
      </w:r>
      <w:r w:rsidR="00223689">
        <w:rPr>
          <w:b/>
          <w:bCs/>
          <w:iCs/>
          <w:lang w:val="en-GB"/>
        </w:rPr>
        <w:t xml:space="preserve"> </w:t>
      </w:r>
      <w:r w:rsidR="00CE44A0" w:rsidRPr="00815319">
        <w:rPr>
          <w:b/>
          <w:bCs/>
          <w:iCs/>
          <w:lang w:val="en-GB"/>
        </w:rPr>
        <w:t xml:space="preserve">in the price of ATHEX Composite Share Price Index by </w:t>
      </w:r>
      <w:r w:rsidRPr="0079101B">
        <w:rPr>
          <w:b/>
          <w:bCs/>
          <w:iCs/>
          <w:lang w:val="en-GB"/>
        </w:rPr>
        <w:t>1.1%</w:t>
      </w:r>
      <w:r w:rsidR="00023693">
        <w:rPr>
          <w:b/>
          <w:bCs/>
          <w:iCs/>
          <w:lang w:val="en-GB"/>
        </w:rPr>
        <w:t xml:space="preserve"> </w:t>
      </w:r>
      <w:r w:rsidR="00CE44A0" w:rsidRPr="00815319">
        <w:rPr>
          <w:b/>
          <w:bCs/>
          <w:iCs/>
          <w:lang w:val="en-GB"/>
        </w:rPr>
        <w:t>since the end of previous month.</w:t>
      </w:r>
    </w:p>
    <w:p w:rsidR="00CE44A0" w:rsidRPr="00CE44A0" w:rsidRDefault="00CE44A0" w:rsidP="00CE44A0">
      <w:pPr>
        <w:rPr>
          <w:bCs/>
          <w:iCs/>
          <w:lang w:val="en-GB"/>
        </w:rPr>
      </w:pPr>
      <w:r w:rsidRPr="00DF26F4">
        <w:rPr>
          <w:b/>
          <w:bCs/>
          <w:iCs/>
          <w:lang w:val="en-GB"/>
        </w:rPr>
        <w:lastRenderedPageBreak/>
        <w:t>Transactions Value</w:t>
      </w:r>
      <w:r w:rsidRPr="00CE44A0">
        <w:rPr>
          <w:bCs/>
          <w:iCs/>
          <w:lang w:val="en-GB"/>
        </w:rPr>
        <w:t xml:space="preserve"> in </w:t>
      </w:r>
      <w:r w:rsidR="0079101B" w:rsidRPr="0079101B">
        <w:rPr>
          <w:bCs/>
          <w:iCs/>
          <w:lang w:val="en-GB"/>
        </w:rPr>
        <w:t>August 2016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reached </w:t>
      </w:r>
      <w:r w:rsidRPr="00C83956">
        <w:rPr>
          <w:b/>
          <w:bCs/>
          <w:iCs/>
          <w:lang w:val="en-GB"/>
        </w:rPr>
        <w:t>€</w:t>
      </w:r>
      <w:r w:rsidR="0079101B" w:rsidRPr="0079101B">
        <w:rPr>
          <w:b/>
          <w:bCs/>
          <w:iCs/>
          <w:lang w:val="en-GB"/>
        </w:rPr>
        <w:t>847.00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million (see Chart 1), </w:t>
      </w:r>
      <w:r w:rsidR="0079101B" w:rsidRPr="0079101B">
        <w:rPr>
          <w:bCs/>
          <w:iCs/>
          <w:lang w:val="en-GB"/>
        </w:rPr>
        <w:t>decreased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by </w:t>
      </w:r>
      <w:r w:rsidR="0079101B" w:rsidRPr="0079101B">
        <w:rPr>
          <w:bCs/>
          <w:iCs/>
          <w:lang w:val="en-GB"/>
        </w:rPr>
        <w:t>1.6%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>since the previous month when transactions value reached €</w:t>
      </w:r>
      <w:r w:rsidR="0079101B" w:rsidRPr="0079101B">
        <w:rPr>
          <w:bCs/>
          <w:iCs/>
          <w:lang w:val="en-GB"/>
        </w:rPr>
        <w:t>860.98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>million. Compared to the same month of the previous year when transactions value was €</w:t>
      </w:r>
      <w:r w:rsidR="0079101B" w:rsidRPr="0079101B">
        <w:rPr>
          <w:bCs/>
          <w:iCs/>
          <w:lang w:val="en-GB"/>
        </w:rPr>
        <w:t>902.94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million marked a </w:t>
      </w:r>
      <w:r w:rsidR="0079101B" w:rsidRPr="0079101B">
        <w:rPr>
          <w:bCs/>
          <w:iCs/>
          <w:lang w:val="en-GB"/>
        </w:rPr>
        <w:t>decrease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of </w:t>
      </w:r>
      <w:r w:rsidR="0079101B" w:rsidRPr="0079101B">
        <w:rPr>
          <w:bCs/>
          <w:iCs/>
          <w:lang w:val="en-GB"/>
        </w:rPr>
        <w:t>6.2</w:t>
      </w:r>
      <w:r w:rsidR="0079101B" w:rsidRPr="0079101B">
        <w:rPr>
          <w:rFonts w:ascii="Arial" w:eastAsiaTheme="minorEastAsia" w:hAnsi="Arial" w:cs="Arial"/>
          <w:color w:val="000000"/>
          <w:sz w:val="20"/>
          <w:szCs w:val="20"/>
          <w:lang w:val="en-US" w:eastAsia="el-GR"/>
        </w:rPr>
        <w:t>%</w:t>
      </w:r>
      <w:r w:rsidRPr="00CE44A0">
        <w:rPr>
          <w:bCs/>
          <w:iCs/>
          <w:lang w:val="en-GB"/>
        </w:rPr>
        <w:t>.</w:t>
      </w:r>
    </w:p>
    <w:p w:rsidR="00CE44A0" w:rsidRDefault="008B583C" w:rsidP="002A6569">
      <w:pPr>
        <w:rPr>
          <w:rFonts w:ascii="Arial" w:hAnsi="Arial" w:cs="Times New Roman"/>
          <w:b/>
          <w:i/>
          <w:sz w:val="18"/>
          <w:szCs w:val="18"/>
          <w:lang w:val="en-GB"/>
        </w:rPr>
      </w:pPr>
      <w:r>
        <w:rPr>
          <w:rFonts w:ascii="Arial" w:hAnsi="Arial" w:cs="Times New Roman"/>
          <w:b/>
          <w:i/>
          <w:sz w:val="18"/>
          <w:szCs w:val="18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13.5pt">
            <v:imagedata r:id="rId8" o:title=""/>
          </v:shape>
        </w:pict>
      </w:r>
    </w:p>
    <w:p w:rsidR="002A6569" w:rsidRDefault="002A6569" w:rsidP="00CE44A0">
      <w:pPr>
        <w:jc w:val="center"/>
        <w:rPr>
          <w:rFonts w:ascii="Arial" w:hAnsi="Arial" w:cs="Times New Roman"/>
          <w:b/>
          <w:i/>
          <w:sz w:val="18"/>
          <w:szCs w:val="18"/>
          <w:lang w:val="en-GB"/>
        </w:rPr>
      </w:pP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 w:rsidR="00AE7984" w:rsidRPr="00CE44A0">
        <w:rPr>
          <w:rFonts w:ascii="Arial" w:hAnsi="Arial" w:cs="Times New Roman"/>
          <w:b/>
          <w:i/>
          <w:noProof/>
          <w:sz w:val="18"/>
          <w:szCs w:val="18"/>
          <w:lang w:val="en-GB"/>
        </w:rPr>
        <w:t>1</w:t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lang w:val="en-GB" w:eastAsia="el-GR"/>
        </w:rPr>
        <w:t xml:space="preserve">Correspondingly, </w:t>
      </w:r>
      <w:r w:rsidR="00DB0BAC">
        <w:rPr>
          <w:lang w:val="en-GB" w:eastAsia="el-GR"/>
        </w:rPr>
        <w:t xml:space="preserve">the </w:t>
      </w:r>
      <w:r w:rsidRPr="002A6569">
        <w:rPr>
          <w:b/>
          <w:lang w:val="en-GB" w:eastAsia="el-GR"/>
        </w:rPr>
        <w:t>Average Daily Value (ADV) of Transactions</w:t>
      </w:r>
      <w:r w:rsidRPr="002A6569">
        <w:rPr>
          <w:lang w:val="en-GB" w:eastAsia="el-GR"/>
        </w:rPr>
        <w:t xml:space="preserve"> in </w:t>
      </w:r>
      <w:r w:rsidR="0079101B" w:rsidRPr="0079101B">
        <w:rPr>
          <w:lang w:val="en-GB" w:eastAsia="el-GR"/>
        </w:rPr>
        <w:t>August 2016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 xml:space="preserve">was </w:t>
      </w:r>
      <w:r w:rsidRPr="00F810E7">
        <w:rPr>
          <w:b/>
          <w:lang w:val="en-GB" w:eastAsia="el-GR"/>
        </w:rPr>
        <w:t>€</w:t>
      </w:r>
      <w:r w:rsidR="0079101B" w:rsidRPr="00F810E7">
        <w:rPr>
          <w:b/>
          <w:lang w:val="en-GB" w:eastAsia="el-GR"/>
        </w:rPr>
        <w:t>38.50</w:t>
      </w:r>
      <w:r w:rsidR="003000EB" w:rsidRPr="003000EB">
        <w:rPr>
          <w:b/>
          <w:lang w:val="en-US" w:eastAsia="el-GR"/>
        </w:rPr>
        <w:t xml:space="preserve"> </w:t>
      </w:r>
      <w:r w:rsidRPr="002A6569">
        <w:rPr>
          <w:b/>
          <w:lang w:val="en-GB" w:eastAsia="el-GR"/>
        </w:rPr>
        <w:t>million</w:t>
      </w:r>
      <w:r w:rsidRPr="002A6569">
        <w:rPr>
          <w:lang w:val="en-GB" w:eastAsia="el-GR"/>
        </w:rPr>
        <w:t xml:space="preserve"> which is </w:t>
      </w:r>
      <w:r w:rsidR="0079101B" w:rsidRPr="0079101B">
        <w:rPr>
          <w:lang w:val="en-GB" w:eastAsia="el-GR"/>
        </w:rPr>
        <w:t>decreased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>compared to the previous month (€</w:t>
      </w:r>
      <w:r w:rsidR="008B583C">
        <w:rPr>
          <w:lang w:val="en-GB" w:eastAsia="el-GR"/>
        </w:rPr>
        <w:t>41,00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 xml:space="preserve">million) and </w:t>
      </w:r>
      <w:r w:rsidR="0079101B" w:rsidRPr="0079101B">
        <w:rPr>
          <w:lang w:val="en-GB" w:eastAsia="el-GR"/>
        </w:rPr>
        <w:t>decreased</w:t>
      </w:r>
      <w:r w:rsidR="003000EB" w:rsidRPr="003000EB">
        <w:rPr>
          <w:lang w:val="en-GB" w:eastAsia="el-GR"/>
        </w:rPr>
        <w:t xml:space="preserve"> </w:t>
      </w:r>
      <w:r w:rsidRPr="002A6569">
        <w:rPr>
          <w:lang w:val="en-GB" w:eastAsia="el-GR"/>
        </w:rPr>
        <w:t>compared to the same month of the previous year (€</w:t>
      </w:r>
      <w:r w:rsidR="0079101B" w:rsidRPr="0079101B">
        <w:rPr>
          <w:lang w:val="en-GB" w:eastAsia="el-GR"/>
        </w:rPr>
        <w:t>43,00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>million).</w:t>
      </w:r>
      <w:bookmarkStart w:id="0" w:name="_GoBack"/>
      <w:bookmarkEnd w:id="0"/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lang w:val="en-GB" w:eastAsia="el-GR"/>
        </w:rPr>
        <w:t>The number of</w:t>
      </w:r>
      <w:r w:rsidRPr="002A6569">
        <w:rPr>
          <w:b/>
          <w:lang w:val="en-GB" w:eastAsia="el-GR"/>
        </w:rPr>
        <w:t xml:space="preserve"> Active Investors Accounts for </w:t>
      </w:r>
      <w:r w:rsidR="0079101B" w:rsidRPr="0079101B">
        <w:rPr>
          <w:b/>
          <w:lang w:val="en-GB" w:eastAsia="el-GR"/>
        </w:rPr>
        <w:t>August</w:t>
      </w:r>
      <w:r w:rsidR="003000EB" w:rsidRPr="003000EB">
        <w:rPr>
          <w:b/>
          <w:lang w:val="en-US" w:eastAsia="el-GR"/>
        </w:rPr>
        <w:t xml:space="preserve"> </w:t>
      </w:r>
      <w:r w:rsidRPr="002A6569">
        <w:rPr>
          <w:b/>
          <w:lang w:val="en-GB" w:eastAsia="el-GR"/>
        </w:rPr>
        <w:t>reached</w:t>
      </w:r>
      <w:r w:rsidRPr="002A6569">
        <w:rPr>
          <w:lang w:val="en-GB" w:eastAsia="el-GR"/>
        </w:rPr>
        <w:t xml:space="preserve"> </w:t>
      </w:r>
      <w:r w:rsidR="0079101B" w:rsidRPr="0079101B">
        <w:rPr>
          <w:b/>
          <w:lang w:val="en-GB" w:eastAsia="el-GR"/>
        </w:rPr>
        <w:t>10</w:t>
      </w:r>
      <w:r w:rsidR="006C0199">
        <w:rPr>
          <w:b/>
          <w:lang w:val="en-GB" w:eastAsia="el-GR"/>
        </w:rPr>
        <w:t>,</w:t>
      </w:r>
      <w:r w:rsidR="0079101B" w:rsidRPr="0079101B">
        <w:rPr>
          <w:b/>
          <w:lang w:val="en-GB" w:eastAsia="el-GR"/>
        </w:rPr>
        <w:t>078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 xml:space="preserve">accounts compared to </w:t>
      </w:r>
      <w:r w:rsidR="0079101B" w:rsidRPr="0079101B">
        <w:rPr>
          <w:lang w:val="en-GB" w:eastAsia="el-GR"/>
        </w:rPr>
        <w:t>13,398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>of the previous month (</w:t>
      </w:r>
      <w:r w:rsidR="0079101B" w:rsidRPr="0079101B">
        <w:rPr>
          <w:lang w:val="en-GB" w:eastAsia="el-GR"/>
        </w:rPr>
        <w:t>August 2015</w:t>
      </w:r>
      <w:r w:rsidRPr="002A6569">
        <w:rPr>
          <w:lang w:val="en-GB" w:eastAsia="el-GR"/>
        </w:rPr>
        <w:t>:</w:t>
      </w:r>
      <w:r w:rsidR="003000EB" w:rsidRPr="003000EB">
        <w:rPr>
          <w:lang w:val="en-US" w:eastAsia="el-GR"/>
        </w:rPr>
        <w:t xml:space="preserve"> </w:t>
      </w:r>
      <w:r w:rsidR="0079101B" w:rsidRPr="0079101B">
        <w:rPr>
          <w:lang w:val="en-GB" w:eastAsia="el-GR"/>
        </w:rPr>
        <w:t>21,016</w:t>
      </w:r>
      <w:r w:rsidRPr="002A6569">
        <w:rPr>
          <w:lang w:val="en-GB" w:eastAsia="el-GR"/>
        </w:rPr>
        <w:t xml:space="preserve">). </w:t>
      </w:r>
    </w:p>
    <w:p w:rsidR="002A6569" w:rsidRPr="0062618C" w:rsidRDefault="002A6569" w:rsidP="002A6569">
      <w:pPr>
        <w:rPr>
          <w:lang w:val="en-US" w:eastAsia="el-GR"/>
        </w:rPr>
      </w:pPr>
      <w:r w:rsidRPr="002A6569">
        <w:rPr>
          <w:lang w:val="en-GB" w:eastAsia="el-GR"/>
        </w:rPr>
        <w:t xml:space="preserve">In </w:t>
      </w:r>
      <w:r w:rsidR="0079101B" w:rsidRPr="0079101B">
        <w:rPr>
          <w:lang w:val="en-GB" w:eastAsia="el-GR"/>
        </w:rPr>
        <w:t>August 2016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 xml:space="preserve">there were </w:t>
      </w:r>
      <w:r w:rsidR="006C0199" w:rsidRPr="006C0199">
        <w:rPr>
          <w:b/>
          <w:lang w:val="en-GB" w:eastAsia="el-GR"/>
        </w:rPr>
        <w:t>431</w:t>
      </w:r>
      <w:r w:rsidRPr="002A6569">
        <w:rPr>
          <w:b/>
          <w:lang w:val="en-GB" w:eastAsia="el-GR"/>
        </w:rPr>
        <w:t xml:space="preserve"> new Investor Accounts</w:t>
      </w:r>
      <w:r w:rsidRPr="002A6569">
        <w:rPr>
          <w:lang w:val="en-GB" w:eastAsia="el-GR"/>
        </w:rPr>
        <w:t xml:space="preserve"> created against the </w:t>
      </w:r>
      <w:r w:rsidR="006C0199">
        <w:rPr>
          <w:lang w:val="en-GB" w:eastAsia="el-GR"/>
        </w:rPr>
        <w:t>626</w:t>
      </w:r>
      <w:r w:rsidR="00C83956">
        <w:rPr>
          <w:lang w:val="en-GB" w:eastAsia="el-GR"/>
        </w:rPr>
        <w:t xml:space="preserve"> </w:t>
      </w:r>
      <w:r w:rsidRPr="002A6569">
        <w:rPr>
          <w:lang w:val="en-GB" w:eastAsia="el-GR"/>
        </w:rPr>
        <w:t>new Accounts that had been created during the previous month.</w:t>
      </w:r>
      <w:r w:rsidR="003000EB" w:rsidRPr="003000EB">
        <w:rPr>
          <w:lang w:val="en-US" w:eastAsia="el-GR"/>
        </w:rPr>
        <w:t xml:space="preserve"> </w:t>
      </w:r>
    </w:p>
    <w:p w:rsidR="002A6569" w:rsidRPr="002A6569" w:rsidRDefault="002A6569" w:rsidP="002A6569">
      <w:pPr>
        <w:rPr>
          <w:b/>
          <w:lang w:val="en-GB" w:eastAsia="el-GR"/>
        </w:rPr>
      </w:pPr>
      <w:r w:rsidRPr="002A6569">
        <w:rPr>
          <w:b/>
          <w:lang w:val="en-GB" w:eastAsia="el-GR"/>
        </w:rPr>
        <w:t>Market capitalization of the Athens Exchange</w:t>
      </w:r>
      <w:r w:rsidRPr="002A6569">
        <w:rPr>
          <w:lang w:val="en-GB" w:eastAsia="el-GR"/>
        </w:rPr>
        <w:t xml:space="preserve"> by the end of </w:t>
      </w:r>
      <w:r w:rsidR="0079101B" w:rsidRPr="0079101B">
        <w:rPr>
          <w:lang w:val="en-GB" w:eastAsia="el-GR"/>
        </w:rPr>
        <w:t>August</w:t>
      </w:r>
      <w:r w:rsidR="00C53D21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reached </w:t>
      </w:r>
      <w:r w:rsidRPr="002A6569">
        <w:rPr>
          <w:b/>
          <w:lang w:val="en-GB" w:eastAsia="el-GR"/>
        </w:rPr>
        <w:t>€</w:t>
      </w:r>
      <w:r w:rsidR="0079101B" w:rsidRPr="0079101B">
        <w:rPr>
          <w:b/>
          <w:lang w:val="en-GB" w:eastAsia="el-GR"/>
        </w:rPr>
        <w:t>35.75</w:t>
      </w:r>
      <w:r w:rsidR="00C53D21">
        <w:rPr>
          <w:b/>
          <w:lang w:val="en-GB" w:eastAsia="el-GR"/>
        </w:rPr>
        <w:t xml:space="preserve"> </w:t>
      </w:r>
      <w:r w:rsidRPr="002A6569">
        <w:rPr>
          <w:b/>
          <w:lang w:val="en-GB" w:eastAsia="el-GR"/>
        </w:rPr>
        <w:t>billion</w:t>
      </w:r>
      <w:r w:rsidRPr="002A6569">
        <w:rPr>
          <w:lang w:val="en-GB" w:eastAsia="el-GR"/>
        </w:rPr>
        <w:t xml:space="preserve"> (</w:t>
      </w:r>
      <w:r w:rsidRPr="002A6569">
        <w:rPr>
          <w:i/>
          <w:lang w:val="en-GB" w:eastAsia="el-GR"/>
        </w:rPr>
        <w:t>see Chart 2</w:t>
      </w:r>
      <w:r w:rsidRPr="002A6569">
        <w:rPr>
          <w:lang w:val="en-GB" w:eastAsia="el-GR"/>
        </w:rPr>
        <w:t>). Compared to capitalization at the end of the previous month, which was €</w:t>
      </w:r>
      <w:r w:rsidR="0079101B" w:rsidRPr="0079101B">
        <w:rPr>
          <w:lang w:val="en-US"/>
        </w:rPr>
        <w:t>35.43</w:t>
      </w:r>
      <w:r w:rsidR="002E2E6E">
        <w:rPr>
          <w:lang w:val="en-GB" w:eastAsia="el-GR"/>
        </w:rPr>
        <w:t xml:space="preserve"> </w:t>
      </w:r>
      <w:r w:rsidRPr="002A6569">
        <w:rPr>
          <w:lang w:val="en-GB" w:eastAsia="el-GR"/>
        </w:rPr>
        <w:t>billion, there was a</w:t>
      </w:r>
      <w:r w:rsidR="00014ED0">
        <w:rPr>
          <w:lang w:val="en-GB" w:eastAsia="el-GR"/>
        </w:rPr>
        <w:t>n</w:t>
      </w:r>
      <w:r w:rsidRPr="002A6569">
        <w:rPr>
          <w:lang w:val="en-GB" w:eastAsia="el-GR"/>
        </w:rPr>
        <w:t xml:space="preserve"> </w:t>
      </w:r>
      <w:r w:rsidR="0079101B" w:rsidRPr="0079101B">
        <w:rPr>
          <w:lang w:val="en-US"/>
        </w:rPr>
        <w:t>increase</w:t>
      </w:r>
      <w:r w:rsidR="00014ED0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of </w:t>
      </w:r>
      <w:r w:rsidR="0079101B" w:rsidRPr="0079101B">
        <w:rPr>
          <w:lang w:val="en-GB" w:eastAsia="el-GR"/>
        </w:rPr>
        <w:t>0.9%</w:t>
      </w:r>
      <w:r w:rsidRPr="002A6569">
        <w:rPr>
          <w:lang w:val="en-GB" w:eastAsia="el-GR"/>
        </w:rPr>
        <w:t xml:space="preserve">, whilst compared to market capitalization at the end of </w:t>
      </w:r>
      <w:r w:rsidR="0079101B" w:rsidRPr="0079101B">
        <w:rPr>
          <w:lang w:val="en-US"/>
        </w:rPr>
        <w:t>August 2015</w:t>
      </w:r>
      <w:r w:rsidR="00F4494B">
        <w:rPr>
          <w:lang w:val="en-GB" w:eastAsia="el-GR"/>
        </w:rPr>
        <w:t xml:space="preserve"> </w:t>
      </w:r>
      <w:r w:rsidRPr="002A6569">
        <w:rPr>
          <w:lang w:val="en-GB" w:eastAsia="el-GR"/>
        </w:rPr>
        <w:t>which was €</w:t>
      </w:r>
      <w:r w:rsidR="0079101B" w:rsidRPr="0079101B">
        <w:rPr>
          <w:lang w:val="en-US"/>
        </w:rPr>
        <w:t>29.90</w:t>
      </w:r>
      <w:r w:rsidRPr="002A6569">
        <w:rPr>
          <w:lang w:val="en-GB" w:eastAsia="el-GR"/>
        </w:rPr>
        <w:t xml:space="preserve"> billion, the </w:t>
      </w:r>
      <w:r w:rsidR="0079101B" w:rsidRPr="0079101B">
        <w:rPr>
          <w:lang w:val="en-US"/>
        </w:rPr>
        <w:t>increase</w:t>
      </w:r>
      <w:r w:rsidR="00F4494B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was </w:t>
      </w:r>
      <w:r w:rsidR="0079101B" w:rsidRPr="0079101B">
        <w:rPr>
          <w:lang w:val="en-US"/>
        </w:rPr>
        <w:t>19.6%</w:t>
      </w:r>
      <w:r w:rsidRPr="002A6569">
        <w:rPr>
          <w:lang w:val="en-GB" w:eastAsia="el-GR"/>
        </w:rPr>
        <w:t>.</w:t>
      </w:r>
    </w:p>
    <w:p w:rsidR="002A6569" w:rsidRPr="002A6569" w:rsidRDefault="008B583C" w:rsidP="00815319">
      <w:pPr>
        <w:jc w:val="center"/>
        <w:rPr>
          <w:rFonts w:ascii="Times New Roman" w:hAnsi="Times New Roman" w:cs="Times New Roman"/>
          <w:sz w:val="24"/>
          <w:szCs w:val="24"/>
          <w:lang w:val="en-GB" w:eastAsia="el-GR"/>
        </w:rPr>
      </w:pPr>
      <w:r>
        <w:rPr>
          <w:rFonts w:ascii="Arial" w:hAnsi="Arial" w:cs="Times New Roman"/>
          <w:b/>
          <w:sz w:val="18"/>
          <w:szCs w:val="18"/>
          <w:lang w:val="en-GB"/>
        </w:rPr>
        <w:pict>
          <v:shape id="_x0000_i1026" type="#_x0000_t75" style="width:413pt;height:107pt">
            <v:imagedata r:id="rId9" o:title=""/>
          </v:shape>
        </w:pic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 w:rsidR="00AE7984" w:rsidRPr="0062618C">
        <w:rPr>
          <w:rFonts w:ascii="Arial" w:hAnsi="Arial" w:cs="Times New Roman"/>
          <w:b/>
          <w:i/>
          <w:noProof/>
          <w:sz w:val="18"/>
          <w:szCs w:val="18"/>
          <w:lang w:val="en-GB"/>
        </w:rPr>
        <w:t>2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Default="002A6569" w:rsidP="002A6569">
      <w:pPr>
        <w:rPr>
          <w:lang w:val="en-GB" w:eastAsia="el-GR"/>
        </w:rPr>
      </w:pPr>
    </w:p>
    <w:p w:rsidR="00815319" w:rsidRPr="002A6569" w:rsidRDefault="00815319" w:rsidP="002A6569">
      <w:pPr>
        <w:rPr>
          <w:lang w:val="en-GB" w:eastAsia="el-GR"/>
        </w:rPr>
      </w:pPr>
    </w:p>
    <w:p w:rsidR="002A6569" w:rsidRPr="00FC18A9" w:rsidRDefault="002A6569" w:rsidP="002A6569">
      <w:pPr>
        <w:rPr>
          <w:b/>
          <w:color w:val="auto"/>
          <w:lang w:val="en-GB" w:eastAsia="el-GR"/>
        </w:rPr>
      </w:pPr>
      <w:r w:rsidRPr="002A6569">
        <w:rPr>
          <w:b/>
          <w:lang w:val="en-GB" w:eastAsia="el-GR"/>
        </w:rPr>
        <w:lastRenderedPageBreak/>
        <w:t xml:space="preserve">Trade Analysis based on origin of investors </w:t>
      </w:r>
    </w:p>
    <w:p w:rsidR="00694DEA" w:rsidRPr="006915AE" w:rsidRDefault="002A6569" w:rsidP="002A6569">
      <w:pPr>
        <w:rPr>
          <w:lang w:val="en-GB" w:eastAsia="el-GR"/>
        </w:rPr>
      </w:pPr>
      <w:r w:rsidRPr="006915AE">
        <w:rPr>
          <w:lang w:val="en-GB" w:eastAsia="el-GR"/>
        </w:rPr>
        <w:t xml:space="preserve">In </w:t>
      </w:r>
      <w:r w:rsidR="00DA5D68" w:rsidRPr="006915AE">
        <w:rPr>
          <w:lang w:val="en-GB" w:eastAsia="el-GR"/>
        </w:rPr>
        <w:t>August</w:t>
      </w:r>
      <w:r w:rsidRPr="006915AE">
        <w:rPr>
          <w:lang w:val="en-GB" w:eastAsia="el-GR"/>
        </w:rPr>
        <w:t xml:space="preserve"> 2016, </w:t>
      </w:r>
      <w:r w:rsidRPr="006915AE">
        <w:rPr>
          <w:b/>
          <w:lang w:val="en-GB" w:eastAsia="el-GR"/>
        </w:rPr>
        <w:t>international investors as a whole accounted for inflows which reached €2</w:t>
      </w:r>
      <w:r w:rsidR="00DB136E" w:rsidRPr="006915AE">
        <w:rPr>
          <w:b/>
          <w:lang w:val="en-GB" w:eastAsia="el-GR"/>
        </w:rPr>
        <w:t>93</w:t>
      </w:r>
      <w:r w:rsidRPr="006915AE">
        <w:rPr>
          <w:b/>
          <w:lang w:val="en-GB" w:eastAsia="el-GR"/>
        </w:rPr>
        <w:t>.</w:t>
      </w:r>
      <w:r w:rsidR="00DB136E" w:rsidRPr="006915AE">
        <w:rPr>
          <w:b/>
          <w:lang w:val="en-GB" w:eastAsia="el-GR"/>
        </w:rPr>
        <w:t>59</w:t>
      </w:r>
      <w:r w:rsidRPr="006915AE">
        <w:rPr>
          <w:b/>
          <w:lang w:val="en-GB" w:eastAsia="el-GR"/>
        </w:rPr>
        <w:t xml:space="preserve"> mil.</w:t>
      </w:r>
      <w:r w:rsidRPr="006915AE">
        <w:rPr>
          <w:lang w:val="en-GB" w:eastAsia="el-GR"/>
        </w:rPr>
        <w:t xml:space="preserve"> The </w:t>
      </w:r>
      <w:r w:rsidRPr="006915AE">
        <w:rPr>
          <w:b/>
          <w:lang w:val="en-GB" w:eastAsia="el-GR"/>
        </w:rPr>
        <w:t>largest inflows</w:t>
      </w:r>
      <w:r w:rsidRPr="006915AE">
        <w:rPr>
          <w:lang w:val="en-GB" w:eastAsia="el-GR"/>
        </w:rPr>
        <w:t xml:space="preserve"> derived from </w:t>
      </w:r>
      <w:r w:rsidR="00DB136E" w:rsidRPr="006915AE">
        <w:rPr>
          <w:lang w:val="en-GB" w:eastAsia="el-GR"/>
        </w:rPr>
        <w:t xml:space="preserve">Non-Financial Corporations (€276.96 million), </w:t>
      </w:r>
      <w:r w:rsidRPr="006915AE">
        <w:rPr>
          <w:lang w:val="en-GB" w:eastAsia="el-GR"/>
        </w:rPr>
        <w:t>Other Financial Intermediaries except insurance corporations &amp; pension funds (€</w:t>
      </w:r>
      <w:r w:rsidR="00DB136E" w:rsidRPr="006915AE">
        <w:rPr>
          <w:lang w:val="en-GB" w:eastAsia="el-GR"/>
        </w:rPr>
        <w:t>24</w:t>
      </w:r>
      <w:r w:rsidRPr="006915AE">
        <w:rPr>
          <w:lang w:val="en-GB" w:eastAsia="el-GR"/>
        </w:rPr>
        <w:t>.</w:t>
      </w:r>
      <w:r w:rsidR="00DB136E" w:rsidRPr="006915AE">
        <w:rPr>
          <w:lang w:val="en-GB" w:eastAsia="el-GR"/>
        </w:rPr>
        <w:t>56</w:t>
      </w:r>
      <w:r w:rsidRPr="006915AE">
        <w:rPr>
          <w:lang w:val="en-GB" w:eastAsia="el-GR"/>
        </w:rPr>
        <w:t xml:space="preserve"> million), </w:t>
      </w:r>
      <w:r w:rsidR="00DB136E" w:rsidRPr="006915AE">
        <w:rPr>
          <w:lang w:val="en-GB" w:eastAsia="el-GR"/>
        </w:rPr>
        <w:t>Deposit-taking Corporations (€9.00 million)</w:t>
      </w:r>
      <w:r w:rsidR="00694DEA" w:rsidRPr="006915AE">
        <w:rPr>
          <w:lang w:val="en-GB" w:eastAsia="el-GR"/>
        </w:rPr>
        <w:t xml:space="preserve"> and Central Government (€1.20 million),</w:t>
      </w:r>
      <w:r w:rsidR="00DB136E" w:rsidRPr="006915AE">
        <w:rPr>
          <w:lang w:val="en-GB" w:eastAsia="el-GR"/>
        </w:rPr>
        <w:t xml:space="preserve"> </w:t>
      </w:r>
      <w:r w:rsidRPr="006915AE">
        <w:rPr>
          <w:lang w:val="en-GB" w:eastAsia="el-GR"/>
        </w:rPr>
        <w:t xml:space="preserve">while the </w:t>
      </w:r>
      <w:r w:rsidRPr="006915AE">
        <w:rPr>
          <w:b/>
          <w:lang w:val="en-GB" w:eastAsia="el-GR"/>
        </w:rPr>
        <w:t>largest outflows</w:t>
      </w:r>
      <w:r w:rsidRPr="006915AE">
        <w:rPr>
          <w:lang w:val="en-GB" w:eastAsia="el-GR"/>
        </w:rPr>
        <w:t xml:space="preserve"> derived from </w:t>
      </w:r>
      <w:r w:rsidR="00A234AA" w:rsidRPr="006915AE">
        <w:rPr>
          <w:lang w:val="en-GB" w:eastAsia="el-GR"/>
        </w:rPr>
        <w:t>Institutions and bodies of the European Union (€12.39 million</w:t>
      </w:r>
      <w:r w:rsidR="00694DEA" w:rsidRPr="006915AE">
        <w:rPr>
          <w:lang w:val="en-GB" w:eastAsia="el-GR"/>
        </w:rPr>
        <w:t xml:space="preserve">) and </w:t>
      </w:r>
      <w:r w:rsidRPr="006915AE">
        <w:rPr>
          <w:lang w:val="en-GB" w:eastAsia="el-GR"/>
        </w:rPr>
        <w:t>Non-MMF Investment Funds (€</w:t>
      </w:r>
      <w:r w:rsidR="00694DEA" w:rsidRPr="006915AE">
        <w:rPr>
          <w:lang w:val="en-GB" w:eastAsia="el-GR"/>
        </w:rPr>
        <w:t>6</w:t>
      </w:r>
      <w:r w:rsidRPr="006915AE">
        <w:rPr>
          <w:lang w:val="en-GB" w:eastAsia="el-GR"/>
        </w:rPr>
        <w:t>.</w:t>
      </w:r>
      <w:r w:rsidR="00694DEA" w:rsidRPr="006915AE">
        <w:rPr>
          <w:lang w:val="en-GB" w:eastAsia="el-GR"/>
        </w:rPr>
        <w:t>73</w:t>
      </w:r>
      <w:r w:rsidRPr="006915AE">
        <w:rPr>
          <w:lang w:val="en-GB" w:eastAsia="el-GR"/>
        </w:rPr>
        <w:t xml:space="preserve"> million)</w:t>
      </w:r>
      <w:r w:rsidR="00694DEA" w:rsidRPr="006915AE">
        <w:rPr>
          <w:lang w:val="en-GB" w:eastAsia="el-GR"/>
        </w:rPr>
        <w:t>.</w:t>
      </w:r>
      <w:r w:rsidRPr="006915AE">
        <w:rPr>
          <w:lang w:val="en-GB" w:eastAsia="el-GR"/>
        </w:rPr>
        <w:t xml:space="preserve"> </w:t>
      </w:r>
    </w:p>
    <w:p w:rsidR="00BC46A9" w:rsidRDefault="002A6569" w:rsidP="002A6569">
      <w:pPr>
        <w:rPr>
          <w:lang w:val="en-GB" w:eastAsia="el-GR"/>
        </w:rPr>
      </w:pPr>
      <w:r w:rsidRPr="006915AE">
        <w:rPr>
          <w:b/>
          <w:lang w:val="en-GB" w:eastAsia="el-GR"/>
        </w:rPr>
        <w:t>Greek investors were net sellers by €2</w:t>
      </w:r>
      <w:r w:rsidR="00CC39D9" w:rsidRPr="006915AE">
        <w:rPr>
          <w:b/>
          <w:lang w:val="en-GB" w:eastAsia="el-GR"/>
        </w:rPr>
        <w:t>93</w:t>
      </w:r>
      <w:r w:rsidRPr="006915AE">
        <w:rPr>
          <w:b/>
          <w:lang w:val="en-GB" w:eastAsia="el-GR"/>
        </w:rPr>
        <w:t>.</w:t>
      </w:r>
      <w:r w:rsidR="00CC39D9" w:rsidRPr="006915AE">
        <w:rPr>
          <w:b/>
          <w:lang w:val="en-GB" w:eastAsia="el-GR"/>
        </w:rPr>
        <w:t>60</w:t>
      </w:r>
      <w:r w:rsidRPr="006915AE">
        <w:rPr>
          <w:b/>
          <w:lang w:val="en-GB" w:eastAsia="el-GR"/>
        </w:rPr>
        <w:t xml:space="preserve"> million</w:t>
      </w:r>
      <w:r w:rsidRPr="006915AE">
        <w:rPr>
          <w:lang w:val="en-GB" w:eastAsia="el-GR"/>
        </w:rPr>
        <w:t xml:space="preserve">, with </w:t>
      </w:r>
      <w:r w:rsidRPr="006915AE">
        <w:rPr>
          <w:b/>
          <w:lang w:val="en-GB" w:eastAsia="el-GR"/>
        </w:rPr>
        <w:t>largest outflows</w:t>
      </w:r>
      <w:r w:rsidRPr="006915AE">
        <w:rPr>
          <w:lang w:val="en-GB" w:eastAsia="el-GR"/>
        </w:rPr>
        <w:t xml:space="preserve"> which related to </w:t>
      </w:r>
      <w:r w:rsidR="00CC39D9" w:rsidRPr="006915AE">
        <w:rPr>
          <w:lang w:val="en-GB" w:eastAsia="el-GR"/>
        </w:rPr>
        <w:t>Non-Financial Corporations (€278.62 million), Households (€12.97</w:t>
      </w:r>
      <w:r w:rsidR="00BC46A9" w:rsidRPr="006915AE">
        <w:rPr>
          <w:lang w:val="en-GB" w:eastAsia="el-GR"/>
        </w:rPr>
        <w:t xml:space="preserve"> million) and Non-MMF Investment Funds (€2.06 million).</w:t>
      </w:r>
      <w:r w:rsidR="00BC46A9" w:rsidRPr="00BC46A9">
        <w:rPr>
          <w:lang w:val="en-GB" w:eastAsia="el-GR"/>
        </w:rPr>
        <w:t xml:space="preserve"> 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b/>
          <w:lang w:val="en-GB" w:eastAsia="el-GR"/>
        </w:rPr>
        <w:t xml:space="preserve">International investors in </w:t>
      </w:r>
      <w:r w:rsidR="0079101B" w:rsidRPr="0079101B">
        <w:rPr>
          <w:b/>
          <w:lang w:val="en-GB" w:eastAsia="el-GR"/>
        </w:rPr>
        <w:t>August 2016</w:t>
      </w:r>
      <w:r w:rsidR="00C86EF0">
        <w:rPr>
          <w:b/>
          <w:lang w:val="en-GB" w:eastAsia="el-GR"/>
        </w:rPr>
        <w:t xml:space="preserve"> </w:t>
      </w:r>
      <w:r w:rsidRPr="002A6569">
        <w:rPr>
          <w:b/>
          <w:lang w:val="en-GB" w:eastAsia="el-GR"/>
        </w:rPr>
        <w:t xml:space="preserve">accounted </w:t>
      </w:r>
      <w:r w:rsidRPr="00C86EF0">
        <w:rPr>
          <w:b/>
          <w:lang w:val="en-GB" w:eastAsia="el-GR"/>
        </w:rPr>
        <w:t xml:space="preserve">for </w:t>
      </w:r>
      <w:r w:rsidR="0079101B" w:rsidRPr="0079101B">
        <w:rPr>
          <w:b/>
          <w:lang w:val="en-US"/>
        </w:rPr>
        <w:t>57.2%</w:t>
      </w:r>
      <w:r w:rsidR="00C86EF0"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>of the transactions’ value (in the previous month they realized</w:t>
      </w:r>
      <w:r w:rsidR="00C86EF0">
        <w:rPr>
          <w:lang w:val="en-GB" w:eastAsia="el-GR"/>
        </w:rPr>
        <w:t xml:space="preserve"> </w:t>
      </w:r>
      <w:r w:rsidR="0079101B" w:rsidRPr="0079101B">
        <w:rPr>
          <w:lang w:val="en-US"/>
        </w:rPr>
        <w:t>55.0%</w:t>
      </w:r>
      <w:r w:rsidRPr="002A6569">
        <w:rPr>
          <w:lang w:val="en-GB" w:eastAsia="el-GR"/>
        </w:rPr>
        <w:t xml:space="preserve">, while in </w:t>
      </w:r>
      <w:r w:rsidR="0079101B" w:rsidRPr="0079101B">
        <w:rPr>
          <w:lang w:val="en-US"/>
        </w:rPr>
        <w:t>August 2015</w:t>
      </w:r>
      <w:r w:rsidR="00C86EF0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they had accounted for </w:t>
      </w:r>
      <w:r w:rsidR="0079101B" w:rsidRPr="0079101B">
        <w:rPr>
          <w:lang w:val="en-US"/>
        </w:rPr>
        <w:t>66.2%</w:t>
      </w:r>
      <w:r w:rsidRPr="002A6569">
        <w:rPr>
          <w:lang w:val="en-GB" w:eastAsia="el-GR"/>
        </w:rPr>
        <w:t xml:space="preserve"> of the transactions’ value). 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b/>
          <w:lang w:val="en-GB" w:eastAsia="el-GR"/>
        </w:rPr>
        <w:t xml:space="preserve">Greek Retail investors (households) in </w:t>
      </w:r>
      <w:r w:rsidR="0079101B" w:rsidRPr="0079101B">
        <w:rPr>
          <w:b/>
          <w:lang w:val="en-US"/>
        </w:rPr>
        <w:t>August 2016</w:t>
      </w:r>
      <w:r w:rsidR="00DE70D3">
        <w:rPr>
          <w:b/>
          <w:lang w:val="en-GB" w:eastAsia="el-GR"/>
        </w:rPr>
        <w:t xml:space="preserve"> </w:t>
      </w:r>
      <w:r w:rsidRPr="002A6569">
        <w:rPr>
          <w:b/>
          <w:lang w:val="en-GB" w:eastAsia="el-GR"/>
        </w:rPr>
        <w:t>accounted for 1</w:t>
      </w:r>
      <w:r w:rsidR="006C0199">
        <w:rPr>
          <w:b/>
          <w:lang w:val="en-GB" w:eastAsia="el-GR"/>
        </w:rPr>
        <w:t>0</w:t>
      </w:r>
      <w:r w:rsidRPr="002A6569">
        <w:rPr>
          <w:b/>
          <w:lang w:val="en-GB" w:eastAsia="el-GR"/>
        </w:rPr>
        <w:t>.</w:t>
      </w:r>
      <w:r w:rsidR="006C0199">
        <w:rPr>
          <w:b/>
          <w:lang w:val="en-GB" w:eastAsia="el-GR"/>
        </w:rPr>
        <w:t>6</w:t>
      </w:r>
      <w:r w:rsidRPr="002A6569">
        <w:rPr>
          <w:b/>
          <w:lang w:val="en-GB" w:eastAsia="el-GR"/>
        </w:rPr>
        <w:t>%</w:t>
      </w:r>
      <w:r w:rsidRPr="002A6569">
        <w:rPr>
          <w:lang w:val="en-GB" w:eastAsia="el-GR"/>
        </w:rPr>
        <w:t xml:space="preserve"> of the transactions’ value (in the previous month they realized </w:t>
      </w:r>
      <w:r w:rsidR="0079101B" w:rsidRPr="0079101B">
        <w:rPr>
          <w:lang w:val="en-GB" w:eastAsia="el-GR"/>
        </w:rPr>
        <w:t>1</w:t>
      </w:r>
      <w:r w:rsidR="006C0199">
        <w:rPr>
          <w:lang w:val="en-GB" w:eastAsia="el-GR"/>
        </w:rPr>
        <w:t>6</w:t>
      </w:r>
      <w:r w:rsidR="0079101B" w:rsidRPr="0079101B">
        <w:rPr>
          <w:lang w:val="en-GB" w:eastAsia="el-GR"/>
        </w:rPr>
        <w:t>.</w:t>
      </w:r>
      <w:r w:rsidR="006C0199">
        <w:rPr>
          <w:lang w:val="en-GB" w:eastAsia="el-GR"/>
        </w:rPr>
        <w:t>5</w:t>
      </w:r>
      <w:r w:rsidR="0079101B" w:rsidRPr="0079101B">
        <w:rPr>
          <w:lang w:val="en-GB" w:eastAsia="el-GR"/>
        </w:rPr>
        <w:t>%</w:t>
      </w:r>
      <w:r w:rsidRPr="002A6569">
        <w:rPr>
          <w:lang w:val="en-GB" w:eastAsia="el-GR"/>
        </w:rPr>
        <w:t xml:space="preserve"> of the transactions’ value, while in </w:t>
      </w:r>
      <w:r w:rsidR="0079101B" w:rsidRPr="0079101B">
        <w:rPr>
          <w:lang w:val="en-GB" w:eastAsia="el-GR"/>
        </w:rPr>
        <w:t>August 2015</w:t>
      </w:r>
      <w:r w:rsidRPr="002A6569">
        <w:rPr>
          <w:lang w:val="en-GB" w:eastAsia="el-GR"/>
        </w:rPr>
        <w:t xml:space="preserve"> they had accounted for </w:t>
      </w:r>
      <w:r w:rsidR="0079101B" w:rsidRPr="0079101B">
        <w:rPr>
          <w:lang w:val="en-US"/>
        </w:rPr>
        <w:t>20.0%</w:t>
      </w:r>
      <w:r w:rsidR="00B265BA">
        <w:rPr>
          <w:lang w:val="en-GB" w:eastAsia="el-GR"/>
        </w:rPr>
        <w:t xml:space="preserve"> </w:t>
      </w:r>
      <w:r w:rsidRPr="002A6569">
        <w:rPr>
          <w:lang w:val="en-GB" w:eastAsia="el-GR"/>
        </w:rPr>
        <w:t>of the transactions’ value). (</w:t>
      </w:r>
      <w:proofErr w:type="gramStart"/>
      <w:r w:rsidRPr="002A6569">
        <w:rPr>
          <w:lang w:val="en-GB" w:eastAsia="el-GR"/>
        </w:rPr>
        <w:t>see</w:t>
      </w:r>
      <w:proofErr w:type="gramEnd"/>
      <w:r w:rsidRPr="002A6569">
        <w:rPr>
          <w:lang w:val="en-GB" w:eastAsia="el-GR"/>
        </w:rPr>
        <w:t xml:space="preserve"> Chart 3)</w:t>
      </w:r>
    </w:p>
    <w:p w:rsidR="002A6569" w:rsidRPr="002A6569" w:rsidRDefault="008B583C" w:rsidP="0062618C">
      <w:pPr>
        <w:jc w:val="center"/>
        <w:rPr>
          <w:rFonts w:ascii="Times New Roman" w:hAnsi="Times New Roman" w:cs="Times New Roman"/>
          <w:sz w:val="24"/>
          <w:szCs w:val="24"/>
          <w:lang w:val="en-GB" w:eastAsia="el-GR"/>
        </w:rPr>
      </w:pPr>
      <w:r>
        <w:rPr>
          <w:rFonts w:ascii="Arial" w:hAnsi="Arial" w:cs="Times New Roman"/>
          <w:b/>
          <w:sz w:val="18"/>
          <w:szCs w:val="18"/>
          <w:lang w:val="en-GB"/>
        </w:rPr>
        <w:pict>
          <v:shape id="_x0000_i1027" type="#_x0000_t75" style="width:407.5pt;height:110.5pt">
            <v:imagedata r:id="rId10" o:title=""/>
          </v:shape>
        </w:pic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 w:rsidR="00AE7984" w:rsidRPr="0062618C">
        <w:rPr>
          <w:rFonts w:ascii="Arial" w:hAnsi="Arial" w:cs="Times New Roman"/>
          <w:b/>
          <w:i/>
          <w:noProof/>
          <w:sz w:val="18"/>
          <w:szCs w:val="18"/>
          <w:lang w:val="en-GB"/>
        </w:rPr>
        <w:t>3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Pr="002A6569" w:rsidRDefault="002A6569" w:rsidP="002A6569">
      <w:pPr>
        <w:rPr>
          <w:b/>
          <w:lang w:val="en-GB" w:eastAsia="el-GR"/>
        </w:rPr>
      </w:pPr>
      <w:r w:rsidRPr="002A6569">
        <w:rPr>
          <w:b/>
          <w:lang w:val="en-GB" w:eastAsia="el-GR"/>
        </w:rPr>
        <w:t>Investors’ Participation in the Athens Stock Exchange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b/>
          <w:lang w:val="en-GB" w:eastAsia="el-GR"/>
        </w:rPr>
        <w:t>The participation of international investors</w:t>
      </w:r>
      <w:r w:rsidRPr="002A6569">
        <w:rPr>
          <w:lang w:val="en-GB" w:eastAsia="el-GR"/>
        </w:rPr>
        <w:t xml:space="preserve"> in the capitalization of the Greek Exchange at the end of the month </w:t>
      </w:r>
      <w:r w:rsidR="006C0199">
        <w:rPr>
          <w:lang w:val="en-GB" w:eastAsia="el-GR"/>
        </w:rPr>
        <w:t xml:space="preserve">- </w:t>
      </w:r>
      <w:r w:rsidRPr="002A6569">
        <w:rPr>
          <w:lang w:val="en-GB" w:eastAsia="el-GR"/>
        </w:rPr>
        <w:t xml:space="preserve">if HFSF participation was included </w:t>
      </w:r>
      <w:r w:rsidR="006C0199">
        <w:rPr>
          <w:lang w:val="en-GB" w:eastAsia="el-GR"/>
        </w:rPr>
        <w:t xml:space="preserve">- </w:t>
      </w:r>
      <w:r w:rsidRPr="002A6569">
        <w:rPr>
          <w:lang w:val="en-GB" w:eastAsia="el-GR"/>
        </w:rPr>
        <w:t xml:space="preserve">would account to </w:t>
      </w:r>
      <w:r w:rsidR="0079101B" w:rsidRPr="0079101B">
        <w:rPr>
          <w:b/>
          <w:lang w:val="en-US"/>
        </w:rPr>
        <w:t>58.6%</w:t>
      </w:r>
      <w:r w:rsidRPr="002A6569">
        <w:rPr>
          <w:b/>
          <w:lang w:val="en-GB" w:eastAsia="el-GR"/>
        </w:rPr>
        <w:t xml:space="preserve">, </w:t>
      </w:r>
      <w:r w:rsidR="0079101B" w:rsidRPr="0079101B">
        <w:rPr>
          <w:lang w:val="en-US"/>
        </w:rPr>
        <w:t>increased</w:t>
      </w:r>
      <w:r w:rsidRPr="002A6569">
        <w:rPr>
          <w:lang w:val="en-GB" w:eastAsia="el-GR"/>
        </w:rPr>
        <w:t xml:space="preserve"> compared to the percentage at the end of</w:t>
      </w:r>
      <w:r w:rsidR="00CE5363">
        <w:rPr>
          <w:lang w:val="en-GB" w:eastAsia="el-GR"/>
        </w:rPr>
        <w:t xml:space="preserve"> </w:t>
      </w:r>
      <w:r w:rsidR="0079101B" w:rsidRPr="0079101B">
        <w:rPr>
          <w:lang w:val="en-US"/>
        </w:rPr>
        <w:t>July 2016</w:t>
      </w:r>
      <w:r w:rsidRPr="002A6569">
        <w:rPr>
          <w:lang w:val="en-GB" w:eastAsia="el-GR"/>
        </w:rPr>
        <w:t>.</w:t>
      </w:r>
      <w:r w:rsidRPr="002A6569"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If HFSF participation was not included the percentage would account to </w:t>
      </w:r>
      <w:r w:rsidR="0079101B" w:rsidRPr="0079101B">
        <w:rPr>
          <w:b/>
          <w:lang w:val="en-US"/>
        </w:rPr>
        <w:t>61.1%</w:t>
      </w:r>
      <w:r w:rsidR="00CF4CCE">
        <w:rPr>
          <w:lang w:val="en-GB" w:eastAsia="el-GR"/>
        </w:rPr>
        <w:t xml:space="preserve"> </w:t>
      </w:r>
      <w:r w:rsidRPr="002A6569">
        <w:rPr>
          <w:b/>
          <w:lang w:val="en-GB" w:eastAsia="el-GR"/>
        </w:rPr>
        <w:t xml:space="preserve">from </w:t>
      </w:r>
      <w:r w:rsidR="0079101B" w:rsidRPr="0079101B">
        <w:rPr>
          <w:b/>
          <w:lang w:val="en-GB" w:eastAsia="el-GR"/>
        </w:rPr>
        <w:t>60.8%</w:t>
      </w:r>
      <w:r w:rsidR="00CF4CCE"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>at the end of</w:t>
      </w:r>
      <w:r w:rsidR="00CF4CCE">
        <w:rPr>
          <w:lang w:val="en-GB" w:eastAsia="el-GR"/>
        </w:rPr>
        <w:t xml:space="preserve"> </w:t>
      </w:r>
      <w:r w:rsidR="0079101B" w:rsidRPr="0079101B">
        <w:rPr>
          <w:lang w:val="en-US"/>
        </w:rPr>
        <w:t>July 2016</w:t>
      </w:r>
      <w:r w:rsidRPr="002A6569">
        <w:rPr>
          <w:lang w:val="en-GB" w:eastAsia="el-GR"/>
        </w:rPr>
        <w:t>.</w:t>
      </w:r>
      <w:r w:rsidRPr="002A6569"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>At the end of</w:t>
      </w:r>
      <w:r w:rsidR="009D5665">
        <w:rPr>
          <w:lang w:val="en-GB" w:eastAsia="el-GR"/>
        </w:rPr>
        <w:t xml:space="preserve"> </w:t>
      </w:r>
      <w:r w:rsidR="0079101B" w:rsidRPr="0079101B">
        <w:rPr>
          <w:lang w:val="en-US"/>
        </w:rPr>
        <w:t>August 2015</w:t>
      </w:r>
      <w:r w:rsidRPr="002A6569">
        <w:rPr>
          <w:lang w:val="en-GB" w:eastAsia="el-GR"/>
        </w:rPr>
        <w:t xml:space="preserve">, foreign investors’ participation was </w:t>
      </w:r>
      <w:r w:rsidR="0079101B" w:rsidRPr="0079101B">
        <w:rPr>
          <w:b/>
          <w:lang w:val="en-US"/>
        </w:rPr>
        <w:t>52.9%</w:t>
      </w:r>
      <w:r w:rsidR="009D5665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(with the HFSF participation) and </w:t>
      </w:r>
      <w:r w:rsidR="0079101B" w:rsidRPr="0079101B">
        <w:rPr>
          <w:b/>
          <w:lang w:val="en-US"/>
        </w:rPr>
        <w:t>57.3%</w:t>
      </w:r>
      <w:r w:rsidR="009D5665">
        <w:rPr>
          <w:lang w:val="en-GB" w:eastAsia="el-GR"/>
        </w:rPr>
        <w:t xml:space="preserve"> </w:t>
      </w:r>
      <w:r w:rsidRPr="002A6569">
        <w:rPr>
          <w:lang w:val="en-GB" w:eastAsia="el-GR"/>
        </w:rPr>
        <w:t>(without the HFSF participation). (</w:t>
      </w:r>
      <w:proofErr w:type="gramStart"/>
      <w:r w:rsidRPr="002A6569">
        <w:rPr>
          <w:lang w:val="en-GB" w:eastAsia="el-GR"/>
        </w:rPr>
        <w:t>see</w:t>
      </w:r>
      <w:proofErr w:type="gramEnd"/>
      <w:r w:rsidRPr="002A6569">
        <w:rPr>
          <w:lang w:val="en-GB" w:eastAsia="el-GR"/>
        </w:rPr>
        <w:t xml:space="preserve"> chart 4). 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lang w:val="en-GB" w:eastAsia="el-GR"/>
        </w:rPr>
        <w:t xml:space="preserve">The </w:t>
      </w:r>
      <w:r w:rsidRPr="002A6569">
        <w:rPr>
          <w:b/>
          <w:lang w:val="en-GB" w:eastAsia="el-GR"/>
        </w:rPr>
        <w:t>Greek investors</w:t>
      </w:r>
      <w:r w:rsidRPr="002A6569">
        <w:rPr>
          <w:lang w:val="en-GB" w:eastAsia="el-GR"/>
        </w:rPr>
        <w:t xml:space="preserve"> at the end of the month held </w:t>
      </w:r>
      <w:r w:rsidR="006C0199">
        <w:rPr>
          <w:b/>
          <w:lang w:val="en-GB" w:eastAsia="el-GR"/>
        </w:rPr>
        <w:t>40</w:t>
      </w:r>
      <w:r w:rsidRPr="002A6569">
        <w:rPr>
          <w:b/>
          <w:lang w:val="en-GB" w:eastAsia="el-GR"/>
        </w:rPr>
        <w:t>.</w:t>
      </w:r>
      <w:r w:rsidR="006C0199">
        <w:rPr>
          <w:b/>
          <w:lang w:val="en-GB" w:eastAsia="el-GR"/>
        </w:rPr>
        <w:t>0</w:t>
      </w:r>
      <w:r w:rsidRPr="002A6569">
        <w:rPr>
          <w:b/>
          <w:lang w:val="en-GB" w:eastAsia="el-GR"/>
        </w:rPr>
        <w:t>%</w:t>
      </w:r>
      <w:r w:rsidRPr="002A6569">
        <w:rPr>
          <w:lang w:val="en-GB" w:eastAsia="el-GR"/>
        </w:rPr>
        <w:t xml:space="preserve"> of the total capitalization of the ATHEX listed stocks.</w:t>
      </w:r>
    </w:p>
    <w:p w:rsidR="002A6569" w:rsidRPr="002A6569" w:rsidRDefault="002A6569" w:rsidP="002A6569">
      <w:pPr>
        <w:rPr>
          <w:lang w:val="en-GB" w:eastAsia="el-GR"/>
        </w:rPr>
      </w:pPr>
    </w:p>
    <w:p w:rsidR="002A6569" w:rsidRPr="002A6569" w:rsidRDefault="008B583C" w:rsidP="002A6569">
      <w:pPr>
        <w:rPr>
          <w:rFonts w:ascii="Times New Roman" w:hAnsi="Times New Roman" w:cs="Times New Roman"/>
          <w:noProof/>
          <w:sz w:val="24"/>
          <w:szCs w:val="24"/>
          <w:lang w:val="en-GB" w:eastAsia="el-GR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l-GR"/>
        </w:rPr>
        <w:lastRenderedPageBreak/>
        <w:pict>
          <v:shape id="_x0000_i1028" type="#_x0000_t75" style="width:410pt;height:172pt">
            <v:imagedata r:id="rId11" o:title=""/>
          </v:shape>
        </w:pict>
      </w:r>
    </w:p>
    <w:p w:rsidR="002A6569" w:rsidRPr="0062618C" w:rsidRDefault="002A6569" w:rsidP="0062618C">
      <w:pPr>
        <w:jc w:val="center"/>
        <w:rPr>
          <w:rFonts w:ascii="Times New Roman" w:hAnsi="Times New Roman" w:cs="Times New Roman"/>
          <w:i/>
          <w:sz w:val="24"/>
          <w:szCs w:val="24"/>
          <w:lang w:val="en-GB" w:eastAsia="el-GR"/>
        </w:rPr>
      </w:pP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 w:rsidR="00AE7984" w:rsidRPr="0062618C">
        <w:rPr>
          <w:rFonts w:ascii="Arial" w:hAnsi="Arial" w:cs="Times New Roman"/>
          <w:b/>
          <w:i/>
          <w:noProof/>
          <w:sz w:val="18"/>
          <w:szCs w:val="18"/>
          <w:lang w:val="en-GB"/>
        </w:rPr>
        <w:t>4</w:t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Pr="002A6569" w:rsidRDefault="002A6569" w:rsidP="002A6569">
      <w:pPr>
        <w:rPr>
          <w:sz w:val="16"/>
          <w:szCs w:val="16"/>
          <w:lang w:val="en-GB" w:eastAsia="el-GR"/>
        </w:rPr>
      </w:pPr>
      <w:r w:rsidRPr="002A6569">
        <w:rPr>
          <w:b/>
          <w:sz w:val="16"/>
          <w:szCs w:val="16"/>
          <w:u w:val="single"/>
          <w:lang w:val="en-GB" w:eastAsia="el-GR"/>
        </w:rPr>
        <w:t>Important Note:</w:t>
      </w:r>
      <w:r w:rsidRPr="002A6569">
        <w:rPr>
          <w:sz w:val="16"/>
          <w:szCs w:val="16"/>
          <w:lang w:val="en-GB" w:eastAsia="el-GR"/>
        </w:rPr>
        <w:t xml:space="preserve"> In the chart above the percentage that remains refers to Other Not Identified Investors and it is below 2%.</w:t>
      </w:r>
    </w:p>
    <w:p w:rsidR="00451183" w:rsidRPr="002A6569" w:rsidRDefault="00451183" w:rsidP="00451183">
      <w:pPr>
        <w:rPr>
          <w:lang w:val="en-GB"/>
        </w:rPr>
      </w:pPr>
    </w:p>
    <w:p w:rsidR="006D09E0" w:rsidRDefault="006D09E0" w:rsidP="006D09E0">
      <w:pPr>
        <w:rPr>
          <w:lang w:val="en-US"/>
        </w:rPr>
      </w:pPr>
    </w:p>
    <w:p w:rsidR="00AC6152" w:rsidRPr="006D09E0" w:rsidRDefault="00AC6152" w:rsidP="006D09E0">
      <w:pPr>
        <w:rPr>
          <w:lang w:val="en-US"/>
        </w:rPr>
      </w:pPr>
    </w:p>
    <w:p w:rsidR="006D09E0" w:rsidRPr="006D09E0" w:rsidRDefault="006D09E0" w:rsidP="006D09E0">
      <w:pPr>
        <w:pBdr>
          <w:top w:val="single" w:sz="12" w:space="1" w:color="006EAB"/>
        </w:pBdr>
        <w:spacing w:after="0"/>
        <w:rPr>
          <w:b/>
          <w:lang w:val="en-US"/>
        </w:rPr>
      </w:pPr>
      <w:r w:rsidRPr="006D09E0">
        <w:rPr>
          <w:b/>
          <w:lang w:val="en-US"/>
        </w:rPr>
        <w:t>For more information:</w:t>
      </w:r>
    </w:p>
    <w:p w:rsidR="006D09E0" w:rsidRPr="006D09E0" w:rsidRDefault="006D09E0" w:rsidP="006D09E0">
      <w:pPr>
        <w:spacing w:after="0"/>
        <w:rPr>
          <w:lang w:val="en-US"/>
        </w:rPr>
      </w:pPr>
      <w:r w:rsidRPr="006D09E0">
        <w:rPr>
          <w:lang w:val="en-US"/>
        </w:rPr>
        <w:t xml:space="preserve">I. Chorianopoulou, </w:t>
      </w:r>
      <w:r w:rsidR="00584FDD">
        <w:rPr>
          <w:lang w:val="en-US"/>
        </w:rPr>
        <w:t>Tel</w:t>
      </w:r>
      <w:r w:rsidRPr="006D09E0">
        <w:rPr>
          <w:lang w:val="en-US"/>
        </w:rPr>
        <w:t xml:space="preserve">. 210 3366 565, e-mail: </w:t>
      </w:r>
      <w:hyperlink r:id="rId12" w:history="1">
        <w:r w:rsidRPr="006D09E0">
          <w:rPr>
            <w:color w:val="0563C1"/>
            <w:u w:val="single"/>
            <w:lang w:val="en-US"/>
          </w:rPr>
          <w:t>I.Chorianopoulou@athexgroup.gr</w:t>
        </w:r>
      </w:hyperlink>
      <w:r w:rsidRPr="006D09E0">
        <w:rPr>
          <w:lang w:val="en-US"/>
        </w:rPr>
        <w:t xml:space="preserve"> </w:t>
      </w:r>
    </w:p>
    <w:p w:rsidR="006D09E0" w:rsidRPr="006D09E0" w:rsidRDefault="006D09E0" w:rsidP="006D09E0">
      <w:pPr>
        <w:pBdr>
          <w:top w:val="single" w:sz="4" w:space="1" w:color="006EAB"/>
        </w:pBdr>
        <w:rPr>
          <w:lang w:val="en-US"/>
        </w:rPr>
      </w:pPr>
    </w:p>
    <w:p w:rsidR="006D09E0" w:rsidRDefault="006D09E0" w:rsidP="006D09E0">
      <w:pPr>
        <w:pBdr>
          <w:top w:val="single" w:sz="4" w:space="1" w:color="006EAB"/>
        </w:pBdr>
        <w:rPr>
          <w:lang w:val="en-US"/>
        </w:rPr>
      </w:pPr>
    </w:p>
    <w:p w:rsidR="002A6569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2A6569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2A6569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2A6569" w:rsidRPr="006D09E0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6D09E0" w:rsidRPr="006D09E0" w:rsidRDefault="006D09E0" w:rsidP="006D09E0">
      <w:pPr>
        <w:pBdr>
          <w:bottom w:val="single" w:sz="24" w:space="1" w:color="006EAB"/>
        </w:pBdr>
        <w:rPr>
          <w:b/>
          <w:sz w:val="24"/>
          <w:lang w:val="en-US"/>
        </w:rPr>
      </w:pPr>
      <w:r w:rsidRPr="006D09E0">
        <w:rPr>
          <w:b/>
          <w:sz w:val="24"/>
          <w:lang w:val="en-US"/>
        </w:rPr>
        <w:t xml:space="preserve">Athens Exchange Publications </w:t>
      </w:r>
    </w:p>
    <w:p w:rsidR="006D09E0" w:rsidRPr="006D09E0" w:rsidRDefault="006D09E0" w:rsidP="006D09E0">
      <w:pPr>
        <w:spacing w:after="0"/>
        <w:rPr>
          <w:lang w:val="en-US"/>
        </w:rPr>
      </w:pPr>
      <w:r w:rsidRPr="006D09E0">
        <w:rPr>
          <w:lang w:val="en-US"/>
        </w:rPr>
        <w:t xml:space="preserve">Visit the relevant </w:t>
      </w:r>
      <w:hyperlink r:id="rId13" w:history="1">
        <w:r w:rsidRPr="006D09E0">
          <w:rPr>
            <w:color w:val="0563C1"/>
            <w:u w:val="single"/>
            <w:lang w:val="en-US"/>
          </w:rPr>
          <w:t>link</w:t>
        </w:r>
      </w:hyperlink>
      <w:r w:rsidRPr="006D09E0">
        <w:rPr>
          <w:lang w:val="en-US"/>
        </w:rPr>
        <w:t>.</w:t>
      </w:r>
    </w:p>
    <w:p w:rsidR="006D09E0" w:rsidRPr="006D09E0" w:rsidRDefault="006D09E0" w:rsidP="006D09E0">
      <w:pPr>
        <w:spacing w:after="0"/>
        <w:rPr>
          <w:lang w:val="en-US"/>
        </w:rPr>
      </w:pPr>
      <w:r w:rsidRPr="006D09E0">
        <w:rPr>
          <w:lang w:val="en-US"/>
        </w:rPr>
        <w:t xml:space="preserve">Tel: 210 33 66 565, E-mail: </w:t>
      </w:r>
      <w:hyperlink r:id="rId14" w:history="1">
        <w:r w:rsidRPr="006D09E0">
          <w:rPr>
            <w:color w:val="0563C1"/>
            <w:u w:val="single"/>
            <w:lang w:val="en-US"/>
          </w:rPr>
          <w:t>StatProducts@athexgroup.gr</w:t>
        </w:r>
      </w:hyperlink>
    </w:p>
    <w:p w:rsidR="006D09E0" w:rsidRDefault="006D09E0" w:rsidP="006D09E0">
      <w:pPr>
        <w:rPr>
          <w:lang w:val="en-US"/>
        </w:rPr>
      </w:pPr>
    </w:p>
    <w:p w:rsidR="00AC6152" w:rsidRPr="006D09E0" w:rsidRDefault="00AC6152" w:rsidP="006D09E0">
      <w:pPr>
        <w:rPr>
          <w:lang w:val="en-US"/>
        </w:rPr>
      </w:pPr>
    </w:p>
    <w:p w:rsidR="00D6548A" w:rsidRPr="00F32CC6" w:rsidRDefault="004D0B91" w:rsidP="00035040">
      <w:pPr>
        <w:pStyle w:val="NormalStrong"/>
        <w:rPr>
          <w:lang w:val="en-US"/>
        </w:rPr>
      </w:pPr>
      <w:r w:rsidRPr="00F32CC6">
        <w:rPr>
          <w:lang w:val="en-US"/>
        </w:rPr>
        <w:lastRenderedPageBreak/>
        <w:t>About Athens Exchange Group</w:t>
      </w:r>
    </w:p>
    <w:p w:rsidR="00675058" w:rsidRPr="00675058" w:rsidRDefault="00675058" w:rsidP="00675058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The Athens </w:t>
      </w:r>
      <w:r w:rsidR="005F04F5">
        <w:rPr>
          <w:color w:val="7F7F7F"/>
          <w:sz w:val="20"/>
          <w:szCs w:val="20"/>
          <w:shd w:val="clear" w:color="auto" w:fill="FFFFFF"/>
          <w:lang w:val="en-US"/>
        </w:rPr>
        <w:t xml:space="preserve">Stock </w:t>
      </w:r>
      <w:r w:rsidRPr="00675058">
        <w:rPr>
          <w:color w:val="7F7F7F"/>
          <w:sz w:val="20"/>
          <w:szCs w:val="20"/>
          <w:shd w:val="clear" w:color="auto" w:fill="FFFFFF"/>
          <w:lang w:val="en-US"/>
        </w:rPr>
        <w:t>Exchange since its establishment in 1876, consistently participate in the financial and business developments in the country.</w:t>
      </w:r>
    </w:p>
    <w:p w:rsidR="00675058" w:rsidRPr="00675058" w:rsidRDefault="00675058" w:rsidP="00675058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>Athens Exchange Group (ATHEX Group</w:t>
      </w:r>
      <w:proofErr w:type="gramStart"/>
      <w:r w:rsidRPr="00675058">
        <w:rPr>
          <w:color w:val="7F7F7F"/>
          <w:sz w:val="20"/>
          <w:szCs w:val="20"/>
          <w:shd w:val="clear" w:color="auto" w:fill="FFFFFF"/>
          <w:lang w:val="en-US"/>
        </w:rPr>
        <w:t>),</w:t>
      </w:r>
      <w:proofErr w:type="gramEnd"/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 provides support to the Greek Capital Market. ATHEX Group operates the organized Equities and Derivatives markets, the alternative market </w:t>
      </w:r>
      <w:r>
        <w:rPr>
          <w:color w:val="7F7F7F"/>
          <w:sz w:val="20"/>
          <w:szCs w:val="20"/>
          <w:shd w:val="clear" w:color="auto" w:fill="FFFFFF"/>
          <w:lang w:val="en-GB"/>
        </w:rPr>
        <w:t xml:space="preserve">and </w:t>
      </w:r>
      <w:r w:rsidRPr="00675058">
        <w:rPr>
          <w:color w:val="7F7F7F"/>
          <w:sz w:val="20"/>
          <w:szCs w:val="20"/>
          <w:shd w:val="clear" w:color="auto" w:fill="FFFFFF"/>
          <w:lang w:val="en-US"/>
        </w:rPr>
        <w:t>performs clearing and settlement of trades</w:t>
      </w:r>
      <w:r w:rsidRPr="00675058">
        <w:rPr>
          <w:color w:val="7F7F7F"/>
          <w:sz w:val="20"/>
          <w:szCs w:val="20"/>
          <w:shd w:val="clear" w:color="auto" w:fill="FFFFFF"/>
          <w:lang w:val="en-GB"/>
        </w:rPr>
        <w:t xml:space="preserve">. </w:t>
      </w:r>
    </w:p>
    <w:p w:rsidR="00675058" w:rsidRPr="00675058" w:rsidRDefault="00675058" w:rsidP="00675058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>The Athens Stock Exchange, through its markets, offers solutions and financing tools to businesses, expands investor choice by providing a safe, stable and easy environment in full alignment with international practices and the European regulatory framework.</w:t>
      </w:r>
    </w:p>
    <w:p w:rsidR="00675058" w:rsidRDefault="00675058" w:rsidP="00675058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>Its shares are traded on the Main Market of the Athens Exchange (Symbol: EXAE).</w:t>
      </w:r>
      <w:r>
        <w:rPr>
          <w:color w:val="7F7F7F"/>
          <w:sz w:val="20"/>
          <w:szCs w:val="20"/>
          <w:shd w:val="clear" w:color="auto" w:fill="FFFFFF"/>
          <w:lang w:val="en-US"/>
        </w:rPr>
        <w:t xml:space="preserve"> </w:t>
      </w:r>
      <w:r w:rsidRPr="00675058">
        <w:rPr>
          <w:color w:val="7F7F7F"/>
          <w:sz w:val="20"/>
          <w:szCs w:val="20"/>
          <w:shd w:val="clear" w:color="auto" w:fill="FFFFFF"/>
          <w:lang w:val="en-US"/>
        </w:rPr>
        <w:t>More information a</w:t>
      </w:r>
      <w:r w:rsidR="00A92833">
        <w:rPr>
          <w:color w:val="7F7F7F"/>
          <w:sz w:val="20"/>
          <w:szCs w:val="20"/>
          <w:shd w:val="clear" w:color="auto" w:fill="FFFFFF"/>
          <w:lang w:val="en-US"/>
        </w:rPr>
        <w:t xml:space="preserve">bout the Athens Exchange </w:t>
      </w:r>
      <w:proofErr w:type="gramStart"/>
      <w:r w:rsidR="00A92833">
        <w:rPr>
          <w:color w:val="7F7F7F"/>
          <w:sz w:val="20"/>
          <w:szCs w:val="20"/>
          <w:shd w:val="clear" w:color="auto" w:fill="FFFFFF"/>
          <w:lang w:val="en-US"/>
        </w:rPr>
        <w:t>Group,</w:t>
      </w:r>
      <w:proofErr w:type="gramEnd"/>
      <w:r w:rsidR="00A92833">
        <w:rPr>
          <w:color w:val="7F7F7F"/>
          <w:sz w:val="20"/>
          <w:szCs w:val="20"/>
          <w:shd w:val="clear" w:color="auto" w:fill="FFFFFF"/>
          <w:lang w:val="en-US"/>
        </w:rPr>
        <w:t xml:space="preserve"> </w:t>
      </w:r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can be found in the links provided here, </w:t>
      </w:r>
      <w:hyperlink r:id="rId15" w:tgtFrame="_blank" w:history="1">
        <w:r w:rsidRPr="00675058">
          <w:rPr>
            <w:rStyle w:val="Hyperlink"/>
            <w:sz w:val="20"/>
            <w:szCs w:val="20"/>
            <w:shd w:val="clear" w:color="auto" w:fill="FFFFFF"/>
            <w:lang w:val="en-US"/>
          </w:rPr>
          <w:t>website</w:t>
        </w:r>
      </w:hyperlink>
      <w:r w:rsidRPr="00675058">
        <w:rPr>
          <w:color w:val="7F7F7F"/>
          <w:sz w:val="20"/>
          <w:szCs w:val="20"/>
          <w:shd w:val="clear" w:color="auto" w:fill="FFFFFF"/>
          <w:lang w:val="en-US"/>
        </w:rPr>
        <w:t>,</w:t>
      </w:r>
      <w:hyperlink r:id="rId16" w:tgtFrame="_blank" w:history="1">
        <w:r w:rsidRPr="00675058">
          <w:rPr>
            <w:rStyle w:val="Hyperlink"/>
            <w:sz w:val="20"/>
            <w:szCs w:val="20"/>
            <w:shd w:val="clear" w:color="auto" w:fill="FFFFFF"/>
            <w:lang w:val="en-US"/>
          </w:rPr>
          <w:t xml:space="preserve"> company profile</w:t>
        </w:r>
      </w:hyperlink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 and </w:t>
      </w:r>
      <w:hyperlink r:id="rId17" w:tgtFrame="_blank" w:history="1">
        <w:r w:rsidRPr="00675058">
          <w:rPr>
            <w:rStyle w:val="Hyperlink"/>
            <w:sz w:val="20"/>
            <w:szCs w:val="20"/>
            <w:shd w:val="clear" w:color="auto" w:fill="FFFFFF"/>
            <w:lang w:val="en-US"/>
          </w:rPr>
          <w:t>overview of the market</w:t>
        </w:r>
      </w:hyperlink>
      <w:r w:rsidRPr="00675058">
        <w:rPr>
          <w:color w:val="7F7F7F"/>
          <w:sz w:val="20"/>
          <w:szCs w:val="20"/>
          <w:shd w:val="clear" w:color="auto" w:fill="FFFFFF"/>
          <w:lang w:val="en-US"/>
        </w:rPr>
        <w:t>.</w:t>
      </w:r>
    </w:p>
    <w:p w:rsidR="00CE057F" w:rsidRPr="00F32CC6" w:rsidRDefault="00CE057F" w:rsidP="00035040">
      <w:pPr>
        <w:pStyle w:val="NormalLight"/>
        <w:pBdr>
          <w:bottom w:val="single" w:sz="4" w:space="1" w:color="006EAB"/>
        </w:pBdr>
        <w:rPr>
          <w:rFonts w:cs="Calibri"/>
          <w:color w:val="404040" w:themeColor="text1" w:themeTint="BF"/>
          <w:szCs w:val="20"/>
          <w:lang w:val="en-US"/>
        </w:rPr>
      </w:pPr>
    </w:p>
    <w:p w:rsidR="00CE057F" w:rsidRPr="00F32CC6" w:rsidRDefault="00CE057F" w:rsidP="00035040">
      <w:pPr>
        <w:pStyle w:val="NormalLight"/>
        <w:rPr>
          <w:lang w:val="en-US"/>
        </w:rPr>
      </w:pPr>
    </w:p>
    <w:sectPr w:rsidR="00CE057F" w:rsidRPr="00F32CC6" w:rsidSect="00787BB3">
      <w:headerReference w:type="default" r:id="rId18"/>
      <w:footerReference w:type="default" r:id="rId19"/>
      <w:pgSz w:w="11906" w:h="16838"/>
      <w:pgMar w:top="2970" w:right="1736" w:bottom="1530" w:left="1800" w:header="993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4F" w:rsidRDefault="007A424F" w:rsidP="00035040">
      <w:r>
        <w:separator/>
      </w:r>
    </w:p>
  </w:endnote>
  <w:endnote w:type="continuationSeparator" w:id="0">
    <w:p w:rsidR="007A424F" w:rsidRDefault="007A424F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Pr="00AA5329" w:rsidRDefault="00AA5329" w:rsidP="00AA5329">
    <w:pPr>
      <w:pStyle w:val="PageNumberNew"/>
      <w:tabs>
        <w:tab w:val="clear" w:pos="8280"/>
        <w:tab w:val="right" w:pos="8370"/>
      </w:tabs>
      <w:jc w:val="left"/>
      <w:rPr>
        <w:rFonts w:asciiTheme="majorHAnsi" w:hAnsiTheme="majorHAnsi"/>
        <w:sz w:val="48"/>
        <w:szCs w:val="44"/>
        <w:lang w:val="en-US"/>
      </w:rPr>
    </w:pPr>
    <w:r w:rsidRPr="00E37984">
      <w:rPr>
        <w:sz w:val="14"/>
        <w:szCs w:val="14"/>
        <w:lang w:val="en-US"/>
      </w:rPr>
      <w:t>Athinon Avenue 110, 104 42, Athens</w:t>
    </w:r>
    <w:r>
      <w:rPr>
        <w:sz w:val="14"/>
        <w:szCs w:val="14"/>
        <w:lang w:val="en-US"/>
      </w:rPr>
      <w:t xml:space="preserve">, T +30 210-3366 </w:t>
    </w:r>
    <w:proofErr w:type="gramStart"/>
    <w:r>
      <w:rPr>
        <w:sz w:val="14"/>
        <w:szCs w:val="14"/>
        <w:lang w:val="en-US"/>
      </w:rPr>
      <w:t>800  F</w:t>
    </w:r>
    <w:proofErr w:type="gramEnd"/>
    <w:r>
      <w:rPr>
        <w:sz w:val="14"/>
        <w:szCs w:val="14"/>
        <w:lang w:val="en-US"/>
      </w:rPr>
      <w:t>+30 210-3366101 www.athexgroup.gr</w:t>
    </w:r>
    <w:r w:rsidRPr="00AA5329">
      <w:rPr>
        <w:noProof/>
        <w:lang w:val="en-US" w:eastAsia="el-GR"/>
      </w:rPr>
      <w:t xml:space="preserve"> </w:t>
    </w:r>
    <w:r w:rsidR="00035040" w:rsidRPr="00AA5329">
      <w:rPr>
        <w:lang w:val="en-US"/>
      </w:rPr>
      <w:tab/>
    </w:r>
    <w:sdt>
      <w:sdtPr>
        <w:id w:val="-1109964164"/>
        <w:docPartObj>
          <w:docPartGallery w:val="Page Numbers (Margins)"/>
          <w:docPartUnique/>
        </w:docPartObj>
      </w:sdtPr>
      <w:sdtEndPr/>
      <w:sdtContent>
        <w:sdt>
          <w:sdtPr>
            <w:id w:val="-816563463"/>
            <w:docPartObj>
              <w:docPartGallery w:val="Page Numbers (Margins)"/>
              <w:docPartUnique/>
            </w:docPartObj>
          </w:sdtPr>
          <w:sdtEndPr/>
          <w:sdtContent>
            <w:r w:rsidR="001757B3" w:rsidRPr="00ED2B58">
              <w:rPr>
                <w:rFonts w:eastAsiaTheme="minorEastAsia" w:cs="Times New Roman"/>
              </w:rPr>
              <w:fldChar w:fldCharType="begin"/>
            </w:r>
            <w:r w:rsidR="001757B3" w:rsidRPr="00AA5329">
              <w:rPr>
                <w:lang w:val="en-US"/>
              </w:rPr>
              <w:instrText xml:space="preserve"> PAGE   \* MERGEFORMAT </w:instrText>
            </w:r>
            <w:r w:rsidR="001757B3" w:rsidRPr="00ED2B58">
              <w:rPr>
                <w:rFonts w:eastAsiaTheme="minorEastAsia" w:cs="Times New Roman"/>
              </w:rPr>
              <w:fldChar w:fldCharType="separate"/>
            </w:r>
            <w:r w:rsidR="008B583C">
              <w:rPr>
                <w:noProof/>
                <w:lang w:val="en-US"/>
              </w:rPr>
              <w:t>2</w:t>
            </w:r>
            <w:r w:rsidR="001757B3" w:rsidRPr="00ED2B5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4F" w:rsidRDefault="007A424F" w:rsidP="00035040">
      <w:r>
        <w:separator/>
      </w:r>
    </w:p>
  </w:footnote>
  <w:footnote w:type="continuationSeparator" w:id="0">
    <w:p w:rsidR="007A424F" w:rsidRDefault="007A424F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Default="005B3DBD" w:rsidP="00035040">
    <w:pPr>
      <w:pStyle w:val="Header"/>
    </w:pPr>
    <w:r>
      <w:rPr>
        <w:noProof/>
        <w:lang w:eastAsia="el-GR"/>
      </w:rPr>
      <w:drawing>
        <wp:inline distT="0" distB="0" distL="0" distR="0" wp14:anchorId="4CC346E2" wp14:editId="7A833AD8">
          <wp:extent cx="1144800" cy="106200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623525"/>
    <w:multiLevelType w:val="hybridMultilevel"/>
    <w:tmpl w:val="1BCE128A"/>
    <w:lvl w:ilvl="0" w:tplc="F3189E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E3FAF"/>
    <w:multiLevelType w:val="hybridMultilevel"/>
    <w:tmpl w:val="B650B19A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E0950"/>
    <w:multiLevelType w:val="hybridMultilevel"/>
    <w:tmpl w:val="C5307E8E"/>
    <w:lvl w:ilvl="0" w:tplc="F3189E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96147"/>
    <w:multiLevelType w:val="hybridMultilevel"/>
    <w:tmpl w:val="75D6F7B2"/>
    <w:lvl w:ilvl="0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BE"/>
    <w:rsid w:val="00014ED0"/>
    <w:rsid w:val="0001799B"/>
    <w:rsid w:val="00023693"/>
    <w:rsid w:val="00027C6D"/>
    <w:rsid w:val="00035040"/>
    <w:rsid w:val="00036E6B"/>
    <w:rsid w:val="00046892"/>
    <w:rsid w:val="00051501"/>
    <w:rsid w:val="000C5940"/>
    <w:rsid w:val="000D52EF"/>
    <w:rsid w:val="000D7FE4"/>
    <w:rsid w:val="000F18B9"/>
    <w:rsid w:val="000F3D44"/>
    <w:rsid w:val="000F5FEF"/>
    <w:rsid w:val="001039FB"/>
    <w:rsid w:val="00116BD1"/>
    <w:rsid w:val="00127070"/>
    <w:rsid w:val="0015035F"/>
    <w:rsid w:val="00166618"/>
    <w:rsid w:val="00167F55"/>
    <w:rsid w:val="0017239F"/>
    <w:rsid w:val="001757B3"/>
    <w:rsid w:val="00176CB9"/>
    <w:rsid w:val="00176FC1"/>
    <w:rsid w:val="001803C7"/>
    <w:rsid w:val="00191CEC"/>
    <w:rsid w:val="001922E5"/>
    <w:rsid w:val="00192D4B"/>
    <w:rsid w:val="001A492B"/>
    <w:rsid w:val="001C27DD"/>
    <w:rsid w:val="001C4418"/>
    <w:rsid w:val="001D7A5C"/>
    <w:rsid w:val="001E047F"/>
    <w:rsid w:val="001E2C20"/>
    <w:rsid w:val="00213D9F"/>
    <w:rsid w:val="00223689"/>
    <w:rsid w:val="00244E4F"/>
    <w:rsid w:val="0024581F"/>
    <w:rsid w:val="002741D2"/>
    <w:rsid w:val="002761DE"/>
    <w:rsid w:val="0028092B"/>
    <w:rsid w:val="00280DC9"/>
    <w:rsid w:val="00286C6D"/>
    <w:rsid w:val="002A6569"/>
    <w:rsid w:val="002C6E3F"/>
    <w:rsid w:val="002D2661"/>
    <w:rsid w:val="002D38E8"/>
    <w:rsid w:val="002E2E6E"/>
    <w:rsid w:val="002F16FA"/>
    <w:rsid w:val="002F78FB"/>
    <w:rsid w:val="003000EB"/>
    <w:rsid w:val="00336963"/>
    <w:rsid w:val="00352FF0"/>
    <w:rsid w:val="00361D05"/>
    <w:rsid w:val="00366B1E"/>
    <w:rsid w:val="00371ADF"/>
    <w:rsid w:val="003C45E3"/>
    <w:rsid w:val="003C62BB"/>
    <w:rsid w:val="003D3A7C"/>
    <w:rsid w:val="003E5065"/>
    <w:rsid w:val="003F4AF0"/>
    <w:rsid w:val="003F4E95"/>
    <w:rsid w:val="00404B9E"/>
    <w:rsid w:val="00405690"/>
    <w:rsid w:val="00451183"/>
    <w:rsid w:val="00471EEA"/>
    <w:rsid w:val="004814C3"/>
    <w:rsid w:val="004A2A15"/>
    <w:rsid w:val="004A6465"/>
    <w:rsid w:val="004D0B91"/>
    <w:rsid w:val="004D71F4"/>
    <w:rsid w:val="00504B55"/>
    <w:rsid w:val="0051381C"/>
    <w:rsid w:val="0052639C"/>
    <w:rsid w:val="005421C4"/>
    <w:rsid w:val="00544FB7"/>
    <w:rsid w:val="00566624"/>
    <w:rsid w:val="005820A1"/>
    <w:rsid w:val="00584FDD"/>
    <w:rsid w:val="00585102"/>
    <w:rsid w:val="005902FD"/>
    <w:rsid w:val="00590843"/>
    <w:rsid w:val="005A6FCE"/>
    <w:rsid w:val="005B3DBD"/>
    <w:rsid w:val="005E2CD8"/>
    <w:rsid w:val="005F04F5"/>
    <w:rsid w:val="006020BD"/>
    <w:rsid w:val="00616AD7"/>
    <w:rsid w:val="00625430"/>
    <w:rsid w:val="0062618C"/>
    <w:rsid w:val="00637A64"/>
    <w:rsid w:val="00656955"/>
    <w:rsid w:val="00675058"/>
    <w:rsid w:val="00676AEA"/>
    <w:rsid w:val="006915AE"/>
    <w:rsid w:val="00694DEA"/>
    <w:rsid w:val="006B6009"/>
    <w:rsid w:val="006C0199"/>
    <w:rsid w:val="006C5F50"/>
    <w:rsid w:val="006D09E0"/>
    <w:rsid w:val="006D3F54"/>
    <w:rsid w:val="006F5C5C"/>
    <w:rsid w:val="006F71C8"/>
    <w:rsid w:val="006F7979"/>
    <w:rsid w:val="007018F8"/>
    <w:rsid w:val="00716E7D"/>
    <w:rsid w:val="00727746"/>
    <w:rsid w:val="00740B92"/>
    <w:rsid w:val="00761C11"/>
    <w:rsid w:val="00774E7D"/>
    <w:rsid w:val="007804B0"/>
    <w:rsid w:val="00787BB3"/>
    <w:rsid w:val="0079101B"/>
    <w:rsid w:val="007A0DE3"/>
    <w:rsid w:val="007A424F"/>
    <w:rsid w:val="007A43DA"/>
    <w:rsid w:val="007C1C13"/>
    <w:rsid w:val="007E5505"/>
    <w:rsid w:val="008068DE"/>
    <w:rsid w:val="00815319"/>
    <w:rsid w:val="00816FD9"/>
    <w:rsid w:val="00820504"/>
    <w:rsid w:val="008602D4"/>
    <w:rsid w:val="008659E7"/>
    <w:rsid w:val="00870B13"/>
    <w:rsid w:val="00887493"/>
    <w:rsid w:val="00892D52"/>
    <w:rsid w:val="008941DB"/>
    <w:rsid w:val="0089765B"/>
    <w:rsid w:val="008A3BE7"/>
    <w:rsid w:val="008B583C"/>
    <w:rsid w:val="008C68C3"/>
    <w:rsid w:val="00943160"/>
    <w:rsid w:val="00954780"/>
    <w:rsid w:val="00961033"/>
    <w:rsid w:val="00971FF9"/>
    <w:rsid w:val="00972192"/>
    <w:rsid w:val="009824B4"/>
    <w:rsid w:val="009A441E"/>
    <w:rsid w:val="009C01A1"/>
    <w:rsid w:val="009D5665"/>
    <w:rsid w:val="00A02896"/>
    <w:rsid w:val="00A11C79"/>
    <w:rsid w:val="00A212BA"/>
    <w:rsid w:val="00A234AA"/>
    <w:rsid w:val="00A24B53"/>
    <w:rsid w:val="00A36C1D"/>
    <w:rsid w:val="00A40EC3"/>
    <w:rsid w:val="00A837EB"/>
    <w:rsid w:val="00A92833"/>
    <w:rsid w:val="00AA5329"/>
    <w:rsid w:val="00AA5D2C"/>
    <w:rsid w:val="00AC6152"/>
    <w:rsid w:val="00AD55D5"/>
    <w:rsid w:val="00AD66E7"/>
    <w:rsid w:val="00AE7984"/>
    <w:rsid w:val="00AF6F21"/>
    <w:rsid w:val="00B03981"/>
    <w:rsid w:val="00B12D2B"/>
    <w:rsid w:val="00B265BA"/>
    <w:rsid w:val="00B266FC"/>
    <w:rsid w:val="00B312A3"/>
    <w:rsid w:val="00B40A17"/>
    <w:rsid w:val="00B534BE"/>
    <w:rsid w:val="00B5605E"/>
    <w:rsid w:val="00B7599D"/>
    <w:rsid w:val="00BA102F"/>
    <w:rsid w:val="00BB2823"/>
    <w:rsid w:val="00BC46A9"/>
    <w:rsid w:val="00BD66A8"/>
    <w:rsid w:val="00C06314"/>
    <w:rsid w:val="00C13F9F"/>
    <w:rsid w:val="00C23B24"/>
    <w:rsid w:val="00C36FD7"/>
    <w:rsid w:val="00C440D7"/>
    <w:rsid w:val="00C50D2F"/>
    <w:rsid w:val="00C53D21"/>
    <w:rsid w:val="00C63FBD"/>
    <w:rsid w:val="00C71E8A"/>
    <w:rsid w:val="00C805CF"/>
    <w:rsid w:val="00C83956"/>
    <w:rsid w:val="00C85206"/>
    <w:rsid w:val="00C86EF0"/>
    <w:rsid w:val="00C92681"/>
    <w:rsid w:val="00CB25D7"/>
    <w:rsid w:val="00CB6708"/>
    <w:rsid w:val="00CB7C2E"/>
    <w:rsid w:val="00CC39D9"/>
    <w:rsid w:val="00CD7501"/>
    <w:rsid w:val="00CE057F"/>
    <w:rsid w:val="00CE163A"/>
    <w:rsid w:val="00CE2721"/>
    <w:rsid w:val="00CE44A0"/>
    <w:rsid w:val="00CE5363"/>
    <w:rsid w:val="00CF4CCE"/>
    <w:rsid w:val="00D033F5"/>
    <w:rsid w:val="00D14480"/>
    <w:rsid w:val="00D429C2"/>
    <w:rsid w:val="00D467C8"/>
    <w:rsid w:val="00D50B3D"/>
    <w:rsid w:val="00D6548A"/>
    <w:rsid w:val="00D8379C"/>
    <w:rsid w:val="00DA5D68"/>
    <w:rsid w:val="00DB0BAC"/>
    <w:rsid w:val="00DB136E"/>
    <w:rsid w:val="00DD4568"/>
    <w:rsid w:val="00DE70D3"/>
    <w:rsid w:val="00DF26F4"/>
    <w:rsid w:val="00DF58FB"/>
    <w:rsid w:val="00E02E2D"/>
    <w:rsid w:val="00E23D98"/>
    <w:rsid w:val="00E528EB"/>
    <w:rsid w:val="00E54DF1"/>
    <w:rsid w:val="00E85315"/>
    <w:rsid w:val="00E93C97"/>
    <w:rsid w:val="00E96001"/>
    <w:rsid w:val="00EC4732"/>
    <w:rsid w:val="00ED138A"/>
    <w:rsid w:val="00ED15A5"/>
    <w:rsid w:val="00ED2B58"/>
    <w:rsid w:val="00ED5076"/>
    <w:rsid w:val="00F04655"/>
    <w:rsid w:val="00F15143"/>
    <w:rsid w:val="00F236A0"/>
    <w:rsid w:val="00F26429"/>
    <w:rsid w:val="00F32CC6"/>
    <w:rsid w:val="00F4494B"/>
    <w:rsid w:val="00F47D11"/>
    <w:rsid w:val="00F5296F"/>
    <w:rsid w:val="00F554D6"/>
    <w:rsid w:val="00F63B21"/>
    <w:rsid w:val="00F810E7"/>
    <w:rsid w:val="00F866EA"/>
    <w:rsid w:val="00FB252D"/>
    <w:rsid w:val="00FB2652"/>
    <w:rsid w:val="00FC18A9"/>
    <w:rsid w:val="00FC2C4F"/>
    <w:rsid w:val="00FC752A"/>
    <w:rsid w:val="00FD2F34"/>
    <w:rsid w:val="00FF1F26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GridTableLight">
    <w:name w:val="Grid Table Light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GridTableLight">
    <w:name w:val="Grid Table Light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athexgroup.gr/web/guest/statistics-publications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.Chorianopoulou@athexgroup.gr" TargetMode="External"/><Relationship Id="rId17" Type="http://schemas.openxmlformats.org/officeDocument/2006/relationships/hyperlink" Target="http://www.helex.gr/documents/10180/4306587/2016_07_29_Market_Profile_EN.pdf/9150b3f6-4906-4c69-8d1c-fea2e84aaa0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lex.gr/documents/10180/4295314/2016_09_01_Company_Profile_EN.pdf/d2a7fc03-1e92-4054-b6d8-f195dc660cf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www.athexgroup.gr/web/guest/home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StatProducts@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1012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lastModifiedBy>Chorianopoulou, Irini</cp:lastModifiedBy>
  <cp:revision>50</cp:revision>
  <cp:lastPrinted>2016-03-04T12:56:00Z</cp:lastPrinted>
  <dcterms:created xsi:type="dcterms:W3CDTF">2016-09-05T10:09:00Z</dcterms:created>
  <dcterms:modified xsi:type="dcterms:W3CDTF">2016-09-06T11:52:00Z</dcterms:modified>
</cp:coreProperties>
</file>