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BE7" w:rsidRPr="00037164" w:rsidRDefault="00C14BE7" w:rsidP="006A0F98">
      <w:pPr>
        <w:spacing w:line="240" w:lineRule="auto"/>
        <w:ind w:left="-567" w:right="-766"/>
        <w:jc w:val="center"/>
        <w:rPr>
          <w:rFonts w:ascii="Century Gothic" w:hAnsi="Century Gothic" w:cs="Tahoma"/>
          <w:b/>
          <w:sz w:val="2"/>
          <w:szCs w:val="20"/>
          <w:u w:val="single"/>
        </w:rPr>
      </w:pPr>
    </w:p>
    <w:p w:rsidR="00C14BE7" w:rsidRDefault="00C14BE7" w:rsidP="0055089A">
      <w:pPr>
        <w:jc w:val="center"/>
        <w:rPr>
          <w:b/>
          <w:sz w:val="32"/>
          <w:szCs w:val="32"/>
          <w:u w:val="single"/>
        </w:rPr>
      </w:pPr>
    </w:p>
    <w:p w:rsidR="00C14BE7" w:rsidRPr="0018469E" w:rsidRDefault="00C14BE7" w:rsidP="0055089A">
      <w:pPr>
        <w:jc w:val="center"/>
        <w:rPr>
          <w:b/>
          <w:sz w:val="32"/>
          <w:szCs w:val="32"/>
          <w:u w:val="single"/>
        </w:rPr>
      </w:pPr>
      <w:r w:rsidRPr="0018469E">
        <w:rPr>
          <w:b/>
          <w:sz w:val="32"/>
          <w:szCs w:val="32"/>
          <w:u w:val="single"/>
        </w:rPr>
        <w:t>ΔΕΛΤΙΟ ΤΥΠΟΥ – ΑΝΑΚΟΙΝΩΣΗ</w:t>
      </w:r>
    </w:p>
    <w:p w:rsidR="00C14BE7" w:rsidRDefault="00C14BE7" w:rsidP="0055089A">
      <w:pPr>
        <w:jc w:val="center"/>
        <w:rPr>
          <w:b/>
          <w:sz w:val="28"/>
          <w:szCs w:val="28"/>
          <w:u w:val="single"/>
        </w:rPr>
      </w:pPr>
      <w:r w:rsidRPr="0018469E">
        <w:rPr>
          <w:b/>
          <w:sz w:val="28"/>
          <w:szCs w:val="28"/>
          <w:u w:val="single"/>
        </w:rPr>
        <w:t>ΟΜΙΛΟΣ «ΙΑΣΩ»</w:t>
      </w:r>
      <w:r>
        <w:rPr>
          <w:b/>
          <w:sz w:val="28"/>
          <w:szCs w:val="28"/>
          <w:u w:val="single"/>
        </w:rPr>
        <w:t xml:space="preserve"> - ΑΠΟΤΕΛΕΣΜΑΤΑ 2011</w:t>
      </w:r>
    </w:p>
    <w:p w:rsidR="00C14BE7" w:rsidRPr="0018469E" w:rsidRDefault="00C14BE7" w:rsidP="0055089A">
      <w:pPr>
        <w:jc w:val="center"/>
        <w:rPr>
          <w:b/>
          <w:sz w:val="28"/>
          <w:szCs w:val="28"/>
          <w:u w:val="single"/>
        </w:rPr>
      </w:pPr>
    </w:p>
    <w:p w:rsidR="00C14BE7" w:rsidRPr="00310111" w:rsidRDefault="00C14BE7" w:rsidP="0055089A">
      <w:pPr>
        <w:jc w:val="both"/>
        <w:rPr>
          <w:sz w:val="28"/>
          <w:szCs w:val="28"/>
        </w:rPr>
      </w:pPr>
      <w:r>
        <w:rPr>
          <w:sz w:val="28"/>
          <w:szCs w:val="28"/>
        </w:rPr>
        <w:t xml:space="preserve"> Τις ενοποιημένες και τις ατομικές οικονομικές καταστάσεις του 2011 ανακοίνωσε η εταιρεία «ΙΑΣΩ» που συνέταξε σύμφωνα με τα Διεθνή Πρότυπα Χρηματοοικονομικής Αναφοράς. Επισυνάπτεται στη συνέχεια  πίνακας με όλα τα βασικά οικονομικά μεγέθη του ομίλου και της εταιρείας τα οποία συγκρίνονται με τα αντίστοιχα του προηγούμενου έτους. </w:t>
      </w:r>
      <w:r w:rsidRPr="00310111">
        <w:rPr>
          <w:sz w:val="28"/>
          <w:szCs w:val="28"/>
        </w:rPr>
        <w:t xml:space="preserve">Ο Πρόεδρος του ομίλου ΙΑΣΩ κ. Γιώργος Σταματίου σχολιάζοντας τα εν λόγω αποτελέσματα, δήλωσε ότι: </w:t>
      </w:r>
    </w:p>
    <w:p w:rsidR="00C14BE7" w:rsidRDefault="00C14BE7" w:rsidP="0055089A">
      <w:pPr>
        <w:jc w:val="both"/>
        <w:rPr>
          <w:sz w:val="28"/>
          <w:szCs w:val="28"/>
        </w:rPr>
      </w:pPr>
      <w:r>
        <w:rPr>
          <w:sz w:val="28"/>
          <w:szCs w:val="28"/>
        </w:rPr>
        <w:t xml:space="preserve">Τα ενοποιημένα οικονομικά αποτελέσματα καθώς και αυτά της μητρικής εταιρείας επηρεάστηκαν από την έντονη ύφεση στην οποία βρίσκεται η οικονομία της χώρας μας και όχι μόνο. Η μείωση της εγχώριας ζήτησης σε υπηρεσίες υγείας μπορεί να περιορίστηκε ελαφρώς από ξένους ασθενείς αλλά δεν αποτέλεσε για τις περισσότερες εταιρείες του κλάδου αξιόλογο οικονομικό μέγεθος. Στοιχείο ιδιαίτερης σημασίας αποτελεί για όλους τους φορείς παροχής υπηρεσιών υγείας η συνεργασία τους με τον ΕΟΠΥΥ που αλλάζει το τοπίο του κλάδου και επηρεάζει τα ποσοτικά και τα ποιοτικά χαρακτηριστικά του. Εξίσου σοβαρή επίδραση στα οικονομικά μεγέθη και ιδίως στα αποτελέσματα των εταιρειών αποτελεί η κρίση ρευστότητας της αγοράς και το αυξημένο χρηματοοικονομικό κόστος. Τα αποτελέσματα που δημοσίευσε το «ΙΑΣΩ» εμπεριέχουν και χαρακτηρίζονται από αυτές τις επιδράσεις, καταφανέστερη των οποίων είναι οι αυξημένοι χρεωστικοί τόκοι που στο 2011 είναι υπερδιπλάσιοι του 2010. Μάλιστα το ζήτημα των χρεωστικών τόκων και του δανεισμού γενικότερα προσπαθήσαμε να το περιορίσουμε μέσω της περσινής ενέργειας αύξησης του κεφαλαίου της μητρικής που δεν ολοκληρώθηκε λόγω ειδικών συνθηκών.  Για την επούλωση του προβλήματος αυτού ομόφωνα, τα μέλη του Δ.Σ. κρίναμε και βέβαια  αποφασίσαμε, ότι εκτός από τις συζητήσεις που θα πραγματοποιήσουμε μέχρι τις 31 Μαΐου με τους ομολογιούχους για σύναψη νέας συμφωνίας αναφορικά με τα δάνεια των εταιρειών του ομίλου, θα εισηγηθούμε στην ετήσια τακτική Γ.Σ. της εταιρείας, την κεφαλαιοποίηση του υποχρεωτικού από το νόμο μέρους των κερδών μετά από φόρους. </w:t>
      </w:r>
    </w:p>
    <w:p w:rsidR="00C14BE7" w:rsidRDefault="00C14BE7" w:rsidP="0055089A">
      <w:pPr>
        <w:jc w:val="both"/>
        <w:rPr>
          <w:sz w:val="28"/>
          <w:szCs w:val="28"/>
        </w:rPr>
      </w:pPr>
      <w:r>
        <w:rPr>
          <w:sz w:val="28"/>
          <w:szCs w:val="28"/>
        </w:rPr>
        <w:t xml:space="preserve">Ως Ιατρός, δεν επιθυμώ να αναφερθώ περισσότερο στα ποσοτικά μεγέθη </w:t>
      </w:r>
      <w:r w:rsidRPr="00D2308C">
        <w:rPr>
          <w:sz w:val="28"/>
          <w:szCs w:val="28"/>
        </w:rPr>
        <w:t xml:space="preserve">των οικονομικών καταστάσεων και αρκούμαι </w:t>
      </w:r>
      <w:r>
        <w:rPr>
          <w:sz w:val="28"/>
          <w:szCs w:val="28"/>
        </w:rPr>
        <w:t>σε</w:t>
      </w:r>
      <w:r w:rsidRPr="00D2308C">
        <w:rPr>
          <w:sz w:val="28"/>
          <w:szCs w:val="28"/>
        </w:rPr>
        <w:t xml:space="preserve"> δύο χαρακτηριστικά μεγέθη που χαρακτηρίζουν και την σχετική αισιοδοξία όλων μας</w:t>
      </w:r>
      <w:r>
        <w:rPr>
          <w:sz w:val="28"/>
          <w:szCs w:val="28"/>
        </w:rPr>
        <w:t>. Το πρώτο</w:t>
      </w:r>
      <w:r w:rsidRPr="00D2308C">
        <w:rPr>
          <w:sz w:val="28"/>
          <w:szCs w:val="28"/>
        </w:rPr>
        <w:t xml:space="preserve"> </w:t>
      </w:r>
      <w:r>
        <w:rPr>
          <w:sz w:val="28"/>
          <w:szCs w:val="28"/>
        </w:rPr>
        <w:t>είναι</w:t>
      </w:r>
      <w:r w:rsidRPr="00D2308C">
        <w:rPr>
          <w:sz w:val="28"/>
          <w:szCs w:val="28"/>
        </w:rPr>
        <w:t xml:space="preserve"> τα </w:t>
      </w:r>
      <w:r w:rsidRPr="0018469E">
        <w:rPr>
          <w:sz w:val="28"/>
          <w:szCs w:val="28"/>
          <w:u w:val="single"/>
        </w:rPr>
        <w:t>ενοποιημένα κέρδη προ φόρων, χρηματοδοτικών αποτελεσμάτων και αποσβέσεων, γνωστά ως EBITDA, παρουσίασαν μικρή αύξηση και έφτασαν το 2011 στα 20,13 εκατ. ευρώ</w:t>
      </w:r>
      <w:r w:rsidRPr="00D2308C">
        <w:rPr>
          <w:sz w:val="28"/>
          <w:szCs w:val="28"/>
        </w:rPr>
        <w:t>, έναντι των περσινών 19,29 εκατ. ευρώ</w:t>
      </w:r>
      <w:r>
        <w:rPr>
          <w:sz w:val="28"/>
          <w:szCs w:val="28"/>
        </w:rPr>
        <w:t xml:space="preserve"> και το δεύτερο αφορά στα</w:t>
      </w:r>
      <w:r w:rsidRPr="00D2308C">
        <w:rPr>
          <w:sz w:val="28"/>
          <w:szCs w:val="28"/>
        </w:rPr>
        <w:t xml:space="preserve"> </w:t>
      </w:r>
      <w:r w:rsidRPr="0018469E">
        <w:rPr>
          <w:sz w:val="28"/>
          <w:szCs w:val="28"/>
          <w:u w:val="single"/>
        </w:rPr>
        <w:t xml:space="preserve">κέρδη μετά από φόρους της μητρικής «ΙΑΣΩ» τα οποία διαμορφώθηκαν το 2011 στα ίδια επίπεδα με το 2010 αφού έφτασαν στα 8,40 εκατ. </w:t>
      </w:r>
      <w:r>
        <w:rPr>
          <w:sz w:val="28"/>
          <w:szCs w:val="28"/>
        </w:rPr>
        <w:t>,</w:t>
      </w:r>
      <w:r w:rsidRPr="00D2308C">
        <w:rPr>
          <w:sz w:val="28"/>
          <w:szCs w:val="28"/>
        </w:rPr>
        <w:t xml:space="preserve"> έναντι </w:t>
      </w:r>
      <w:r>
        <w:rPr>
          <w:sz w:val="28"/>
          <w:szCs w:val="28"/>
        </w:rPr>
        <w:t>8,57 εκατ., ευρώ που ήταν</w:t>
      </w:r>
      <w:r w:rsidRPr="00D2308C">
        <w:rPr>
          <w:sz w:val="28"/>
          <w:szCs w:val="28"/>
        </w:rPr>
        <w:t xml:space="preserve"> πέρυσι.</w:t>
      </w:r>
      <w:r>
        <w:rPr>
          <w:sz w:val="28"/>
          <w:szCs w:val="28"/>
        </w:rPr>
        <w:t xml:space="preserve"> </w:t>
      </w:r>
    </w:p>
    <w:p w:rsidR="00C14BE7" w:rsidRDefault="00C14BE7" w:rsidP="0055089A">
      <w:pPr>
        <w:jc w:val="both"/>
        <w:rPr>
          <w:sz w:val="28"/>
          <w:szCs w:val="28"/>
        </w:rPr>
      </w:pPr>
      <w:r>
        <w:rPr>
          <w:sz w:val="28"/>
          <w:szCs w:val="28"/>
        </w:rPr>
        <w:t>Εμείς όλοι οι άνθρωποι του «ΙΑΣΩ» είμαστε υποχρεωμένοι να βλέπουμε με αισιοδοξία το μέλλον και για τούτο δράττομαι της ευκαιρίας να καλέσω όλους τους ανθρώπους της οικογένειας «ΙΑΣΩ» να συνεχίσουμε με ίδια και μεγαλύτερη ένταση την προσπάθεια για διαρκώς καλύτερες υπηρεσίες. Η διεύρυνση της ποιότητας των υπηρεσιών μας, η μείωση του κόστους της λειτουργίας μας και η μείωση των προσφερόμενων τιμών σε όλους όσους κάνουν χρήση των υπηρεσιών μας, αποτέλεσαν πέρυσι και συνεχίζουν και φέτος να αποτελούν τους κατευθυντήριους άξονες της έργου μας, χωρίς αυτό να σημαίνει ότι παραβλέπουμε κάθε καινοτομία και εξέλιξη του χώρου της υγείας. Αγκαλιάζουμε και υιοθετούμε τις αλλαγές – εξελίξεις της Ιατρικής επιστήμης και θέλουμε παρά τις όποιες δυσκολίες να είμαστε στην πρωτοπορία και αυτού του κριτηρίου αξιολόγησης.</w:t>
      </w:r>
    </w:p>
    <w:p w:rsidR="00C14BE7" w:rsidRDefault="00C14BE7" w:rsidP="0055089A">
      <w:pPr>
        <w:jc w:val="both"/>
        <w:rPr>
          <w:sz w:val="28"/>
          <w:szCs w:val="28"/>
        </w:rPr>
      </w:pPr>
      <w:r>
        <w:rPr>
          <w:sz w:val="28"/>
          <w:szCs w:val="28"/>
        </w:rPr>
        <w:t xml:space="preserve"> </w:t>
      </w:r>
    </w:p>
    <w:p w:rsidR="00C14BE7" w:rsidRPr="006E5C1B" w:rsidRDefault="00C14BE7" w:rsidP="0055089A">
      <w:pPr>
        <w:jc w:val="both"/>
        <w:rPr>
          <w:sz w:val="28"/>
          <w:szCs w:val="28"/>
          <w:lang w:val="en-US"/>
        </w:rPr>
      </w:pPr>
    </w:p>
    <w:p w:rsidR="00C14BE7" w:rsidRPr="00D76A07" w:rsidRDefault="00C14BE7" w:rsidP="006A0F98">
      <w:pPr>
        <w:spacing w:line="240" w:lineRule="auto"/>
        <w:ind w:left="-567" w:right="-766"/>
        <w:rPr>
          <w:rFonts w:ascii="Century Gothic" w:hAnsi="Century Gothic" w:cs="Tahoma"/>
          <w:sz w:val="20"/>
          <w:szCs w:val="20"/>
        </w:rPr>
      </w:pPr>
    </w:p>
    <w:tbl>
      <w:tblPr>
        <w:tblpPr w:leftFromText="180" w:rightFromText="180" w:vertAnchor="text" w:horzAnchor="page" w:tblpXSpec="center" w:tblpY="49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560"/>
        <w:gridCol w:w="1559"/>
        <w:gridCol w:w="1559"/>
        <w:gridCol w:w="1559"/>
      </w:tblGrid>
      <w:tr w:rsidR="00C14BE7" w:rsidRPr="00BB6CB8" w:rsidTr="00D81D48">
        <w:trPr>
          <w:trHeight w:val="699"/>
        </w:trPr>
        <w:tc>
          <w:tcPr>
            <w:tcW w:w="9180" w:type="dxa"/>
            <w:gridSpan w:val="5"/>
            <w:shd w:val="clear" w:color="auto" w:fill="E3F9EF"/>
            <w:vAlign w:val="center"/>
          </w:tcPr>
          <w:p w:rsidR="00C14BE7" w:rsidRPr="00BB6CB8" w:rsidRDefault="00C14BE7" w:rsidP="005D0022">
            <w:pPr>
              <w:ind w:left="-567" w:right="-766"/>
              <w:jc w:val="center"/>
              <w:rPr>
                <w:b/>
                <w:sz w:val="28"/>
                <w:szCs w:val="28"/>
              </w:rPr>
            </w:pPr>
            <w:r w:rsidRPr="00BB6CB8">
              <w:rPr>
                <w:b/>
                <w:sz w:val="28"/>
                <w:szCs w:val="28"/>
              </w:rPr>
              <w:t xml:space="preserve">ΠΙΝΑΚΑΣ ΒΑΣΙΚΩΝ ΟΙΚΟΝΟΜΙΚΩΝ ΜΕΓΕΘΩΝ </w:t>
            </w:r>
          </w:p>
        </w:tc>
      </w:tr>
      <w:tr w:rsidR="00C14BE7" w:rsidRPr="00BB6CB8" w:rsidTr="0055089A">
        <w:trPr>
          <w:trHeight w:val="699"/>
        </w:trPr>
        <w:tc>
          <w:tcPr>
            <w:tcW w:w="2943" w:type="dxa"/>
            <w:shd w:val="clear" w:color="auto" w:fill="E3F9EF"/>
            <w:vAlign w:val="center"/>
          </w:tcPr>
          <w:p w:rsidR="00C14BE7" w:rsidRPr="00BB6CB8" w:rsidRDefault="00C14BE7" w:rsidP="006A0F98">
            <w:pPr>
              <w:ind w:left="-567" w:right="-766"/>
              <w:jc w:val="center"/>
              <w:rPr>
                <w:b/>
                <w:sz w:val="28"/>
                <w:szCs w:val="28"/>
              </w:rPr>
            </w:pPr>
          </w:p>
        </w:tc>
        <w:tc>
          <w:tcPr>
            <w:tcW w:w="3119" w:type="dxa"/>
            <w:gridSpan w:val="2"/>
            <w:shd w:val="clear" w:color="auto" w:fill="E3F9EF"/>
            <w:vAlign w:val="center"/>
          </w:tcPr>
          <w:p w:rsidR="00C14BE7" w:rsidRPr="00BB6CB8" w:rsidRDefault="00C14BE7" w:rsidP="006A0F98">
            <w:pPr>
              <w:ind w:left="-567" w:right="-766"/>
              <w:jc w:val="center"/>
              <w:rPr>
                <w:b/>
                <w:sz w:val="28"/>
                <w:szCs w:val="28"/>
              </w:rPr>
            </w:pPr>
            <w:r w:rsidRPr="00BB6CB8">
              <w:rPr>
                <w:b/>
                <w:sz w:val="28"/>
                <w:szCs w:val="28"/>
              </w:rPr>
              <w:t>Όμιλος  ΙΑΣΩ</w:t>
            </w:r>
          </w:p>
        </w:tc>
        <w:tc>
          <w:tcPr>
            <w:tcW w:w="3118" w:type="dxa"/>
            <w:gridSpan w:val="2"/>
            <w:shd w:val="clear" w:color="auto" w:fill="E3F9EF"/>
            <w:vAlign w:val="center"/>
          </w:tcPr>
          <w:p w:rsidR="00C14BE7" w:rsidRPr="00BB6CB8" w:rsidRDefault="00C14BE7" w:rsidP="005D0022">
            <w:pPr>
              <w:ind w:left="-567" w:right="-766"/>
              <w:jc w:val="center"/>
              <w:rPr>
                <w:b/>
                <w:sz w:val="28"/>
                <w:szCs w:val="28"/>
              </w:rPr>
            </w:pPr>
            <w:r w:rsidRPr="00BB6CB8">
              <w:rPr>
                <w:b/>
                <w:sz w:val="28"/>
                <w:szCs w:val="28"/>
              </w:rPr>
              <w:t xml:space="preserve">Εταιρεία ΙΑΣΩ </w:t>
            </w:r>
          </w:p>
        </w:tc>
      </w:tr>
      <w:tr w:rsidR="00C14BE7" w:rsidRPr="00BB6CB8" w:rsidTr="001301BD">
        <w:trPr>
          <w:trHeight w:val="412"/>
        </w:trPr>
        <w:tc>
          <w:tcPr>
            <w:tcW w:w="2943" w:type="dxa"/>
            <w:shd w:val="clear" w:color="auto" w:fill="E3F9EF"/>
            <w:vAlign w:val="center"/>
          </w:tcPr>
          <w:p w:rsidR="00C14BE7" w:rsidRPr="00BB6CB8" w:rsidRDefault="00C14BE7" w:rsidP="006A0F98">
            <w:pPr>
              <w:ind w:left="-567" w:right="-766"/>
              <w:jc w:val="center"/>
              <w:rPr>
                <w:b/>
                <w:sz w:val="28"/>
                <w:szCs w:val="28"/>
              </w:rPr>
            </w:pPr>
            <w:r w:rsidRPr="00BB6CB8">
              <w:rPr>
                <w:b/>
                <w:sz w:val="28"/>
                <w:szCs w:val="28"/>
              </w:rPr>
              <w:t>€ εκατ.</w:t>
            </w:r>
          </w:p>
        </w:tc>
        <w:tc>
          <w:tcPr>
            <w:tcW w:w="1560" w:type="dxa"/>
            <w:shd w:val="clear" w:color="auto" w:fill="E3F9EF"/>
            <w:vAlign w:val="center"/>
          </w:tcPr>
          <w:p w:rsidR="00C14BE7" w:rsidRPr="00BB6CB8" w:rsidRDefault="00C14BE7" w:rsidP="006A0F98">
            <w:pPr>
              <w:ind w:left="-567" w:right="-766"/>
              <w:jc w:val="center"/>
              <w:rPr>
                <w:b/>
                <w:sz w:val="28"/>
                <w:szCs w:val="28"/>
              </w:rPr>
            </w:pPr>
            <w:r w:rsidRPr="00BB6CB8">
              <w:rPr>
                <w:b/>
                <w:sz w:val="28"/>
                <w:szCs w:val="28"/>
              </w:rPr>
              <w:t>2011</w:t>
            </w:r>
          </w:p>
        </w:tc>
        <w:tc>
          <w:tcPr>
            <w:tcW w:w="1559" w:type="dxa"/>
            <w:shd w:val="clear" w:color="auto" w:fill="E3F9EF"/>
            <w:vAlign w:val="center"/>
          </w:tcPr>
          <w:p w:rsidR="00C14BE7" w:rsidRPr="00BB6CB8" w:rsidRDefault="00C14BE7" w:rsidP="006A0F98">
            <w:pPr>
              <w:ind w:left="-567" w:right="-766"/>
              <w:jc w:val="center"/>
              <w:rPr>
                <w:b/>
                <w:sz w:val="28"/>
                <w:szCs w:val="28"/>
              </w:rPr>
            </w:pPr>
            <w:r w:rsidRPr="00BB6CB8">
              <w:rPr>
                <w:b/>
                <w:sz w:val="28"/>
                <w:szCs w:val="28"/>
              </w:rPr>
              <w:t>2010</w:t>
            </w:r>
          </w:p>
        </w:tc>
        <w:tc>
          <w:tcPr>
            <w:tcW w:w="1559" w:type="dxa"/>
            <w:shd w:val="clear" w:color="auto" w:fill="E3F9EF"/>
            <w:vAlign w:val="center"/>
          </w:tcPr>
          <w:p w:rsidR="00C14BE7" w:rsidRPr="00BB6CB8" w:rsidRDefault="00C14BE7" w:rsidP="006A0F98">
            <w:pPr>
              <w:ind w:left="-567" w:right="-766"/>
              <w:jc w:val="center"/>
              <w:rPr>
                <w:b/>
                <w:sz w:val="28"/>
                <w:szCs w:val="28"/>
              </w:rPr>
            </w:pPr>
            <w:r w:rsidRPr="00BB6CB8">
              <w:rPr>
                <w:b/>
                <w:sz w:val="28"/>
                <w:szCs w:val="28"/>
              </w:rPr>
              <w:t>2011</w:t>
            </w:r>
          </w:p>
        </w:tc>
        <w:tc>
          <w:tcPr>
            <w:tcW w:w="1559" w:type="dxa"/>
            <w:shd w:val="clear" w:color="auto" w:fill="E3F9EF"/>
            <w:vAlign w:val="center"/>
          </w:tcPr>
          <w:p w:rsidR="00C14BE7" w:rsidRPr="00BB6CB8" w:rsidRDefault="00C14BE7" w:rsidP="006A0F98">
            <w:pPr>
              <w:ind w:left="-567" w:right="-766"/>
              <w:jc w:val="center"/>
              <w:rPr>
                <w:b/>
                <w:sz w:val="28"/>
                <w:szCs w:val="28"/>
              </w:rPr>
            </w:pPr>
            <w:r w:rsidRPr="00BB6CB8">
              <w:rPr>
                <w:b/>
                <w:sz w:val="28"/>
                <w:szCs w:val="28"/>
              </w:rPr>
              <w:t>2010</w:t>
            </w:r>
          </w:p>
        </w:tc>
      </w:tr>
      <w:tr w:rsidR="00C14BE7" w:rsidRPr="00BB6CB8" w:rsidTr="001301BD">
        <w:trPr>
          <w:trHeight w:hRule="exact" w:val="567"/>
        </w:trPr>
        <w:tc>
          <w:tcPr>
            <w:tcW w:w="2943" w:type="dxa"/>
            <w:shd w:val="clear" w:color="auto" w:fill="E3F9EF"/>
            <w:vAlign w:val="bottom"/>
          </w:tcPr>
          <w:p w:rsidR="00C14BE7" w:rsidRPr="00BB6CB8" w:rsidRDefault="00C14BE7" w:rsidP="001C6855">
            <w:pPr>
              <w:spacing w:line="480" w:lineRule="auto"/>
              <w:ind w:right="-108"/>
              <w:rPr>
                <w:sz w:val="28"/>
                <w:szCs w:val="28"/>
              </w:rPr>
            </w:pPr>
            <w:r w:rsidRPr="00BB6CB8">
              <w:rPr>
                <w:sz w:val="28"/>
                <w:szCs w:val="28"/>
              </w:rPr>
              <w:t xml:space="preserve">Κύκλος Εργασιών </w:t>
            </w:r>
          </w:p>
        </w:tc>
        <w:tc>
          <w:tcPr>
            <w:tcW w:w="1560" w:type="dxa"/>
            <w:vAlign w:val="bottom"/>
          </w:tcPr>
          <w:p w:rsidR="00C14BE7" w:rsidRPr="00BB6CB8" w:rsidRDefault="00C14BE7" w:rsidP="004152EE">
            <w:pPr>
              <w:jc w:val="right"/>
              <w:rPr>
                <w:sz w:val="28"/>
                <w:szCs w:val="28"/>
              </w:rPr>
            </w:pPr>
            <w:r w:rsidRPr="00BB6CB8">
              <w:rPr>
                <w:sz w:val="28"/>
                <w:szCs w:val="28"/>
              </w:rPr>
              <w:t>124,37</w:t>
            </w:r>
          </w:p>
        </w:tc>
        <w:tc>
          <w:tcPr>
            <w:tcW w:w="1559" w:type="dxa"/>
            <w:vAlign w:val="bottom"/>
          </w:tcPr>
          <w:p w:rsidR="00C14BE7" w:rsidRPr="00BB6CB8" w:rsidRDefault="00C14BE7" w:rsidP="004152EE">
            <w:pPr>
              <w:jc w:val="right"/>
              <w:rPr>
                <w:sz w:val="28"/>
                <w:szCs w:val="28"/>
              </w:rPr>
            </w:pPr>
            <w:r w:rsidRPr="00BB6CB8">
              <w:rPr>
                <w:sz w:val="28"/>
                <w:szCs w:val="28"/>
              </w:rPr>
              <w:t>149,07</w:t>
            </w:r>
          </w:p>
        </w:tc>
        <w:tc>
          <w:tcPr>
            <w:tcW w:w="1559" w:type="dxa"/>
            <w:vAlign w:val="bottom"/>
          </w:tcPr>
          <w:p w:rsidR="00C14BE7" w:rsidRPr="00BB6CB8" w:rsidRDefault="00C14BE7">
            <w:pPr>
              <w:jc w:val="right"/>
              <w:rPr>
                <w:sz w:val="28"/>
                <w:szCs w:val="28"/>
              </w:rPr>
            </w:pPr>
            <w:r w:rsidRPr="00BB6CB8">
              <w:rPr>
                <w:sz w:val="28"/>
                <w:szCs w:val="28"/>
              </w:rPr>
              <w:t>68,83</w:t>
            </w:r>
          </w:p>
        </w:tc>
        <w:tc>
          <w:tcPr>
            <w:tcW w:w="1559" w:type="dxa"/>
            <w:vAlign w:val="bottom"/>
          </w:tcPr>
          <w:p w:rsidR="00C14BE7" w:rsidRPr="00BB6CB8" w:rsidRDefault="00C14BE7">
            <w:pPr>
              <w:jc w:val="right"/>
              <w:rPr>
                <w:sz w:val="28"/>
                <w:szCs w:val="28"/>
              </w:rPr>
            </w:pPr>
            <w:r w:rsidRPr="00BB6CB8">
              <w:rPr>
                <w:sz w:val="28"/>
                <w:szCs w:val="28"/>
              </w:rPr>
              <w:t>87,10</w:t>
            </w:r>
          </w:p>
        </w:tc>
      </w:tr>
      <w:tr w:rsidR="00C14BE7" w:rsidRPr="00BB6CB8" w:rsidTr="001301BD">
        <w:trPr>
          <w:trHeight w:hRule="exact" w:val="567"/>
        </w:trPr>
        <w:tc>
          <w:tcPr>
            <w:tcW w:w="2943" w:type="dxa"/>
            <w:shd w:val="clear" w:color="auto" w:fill="E3F9EF"/>
            <w:vAlign w:val="bottom"/>
          </w:tcPr>
          <w:p w:rsidR="00C14BE7" w:rsidRPr="00BB6CB8" w:rsidRDefault="00C14BE7" w:rsidP="00536005">
            <w:pPr>
              <w:spacing w:line="480" w:lineRule="auto"/>
              <w:rPr>
                <w:sz w:val="28"/>
                <w:szCs w:val="28"/>
              </w:rPr>
            </w:pPr>
            <w:r w:rsidRPr="00BB6CB8">
              <w:rPr>
                <w:sz w:val="28"/>
                <w:szCs w:val="28"/>
              </w:rPr>
              <w:t xml:space="preserve">EBITDA </w:t>
            </w:r>
          </w:p>
        </w:tc>
        <w:tc>
          <w:tcPr>
            <w:tcW w:w="1560" w:type="dxa"/>
            <w:vAlign w:val="bottom"/>
          </w:tcPr>
          <w:p w:rsidR="00C14BE7" w:rsidRPr="00BB6CB8" w:rsidRDefault="00C14BE7" w:rsidP="004152EE">
            <w:pPr>
              <w:jc w:val="right"/>
              <w:rPr>
                <w:sz w:val="28"/>
                <w:szCs w:val="28"/>
              </w:rPr>
            </w:pPr>
            <w:r w:rsidRPr="00BB6CB8">
              <w:rPr>
                <w:sz w:val="28"/>
                <w:szCs w:val="28"/>
              </w:rPr>
              <w:t>20,13</w:t>
            </w:r>
          </w:p>
        </w:tc>
        <w:tc>
          <w:tcPr>
            <w:tcW w:w="1559" w:type="dxa"/>
            <w:vAlign w:val="bottom"/>
          </w:tcPr>
          <w:p w:rsidR="00C14BE7" w:rsidRPr="00BB6CB8" w:rsidRDefault="00C14BE7" w:rsidP="004152EE">
            <w:pPr>
              <w:jc w:val="right"/>
              <w:rPr>
                <w:sz w:val="28"/>
                <w:szCs w:val="28"/>
              </w:rPr>
            </w:pPr>
            <w:r w:rsidRPr="00BB6CB8">
              <w:rPr>
                <w:sz w:val="28"/>
                <w:szCs w:val="28"/>
              </w:rPr>
              <w:t>19,29</w:t>
            </w:r>
          </w:p>
        </w:tc>
        <w:tc>
          <w:tcPr>
            <w:tcW w:w="1559" w:type="dxa"/>
            <w:vAlign w:val="bottom"/>
          </w:tcPr>
          <w:p w:rsidR="00C14BE7" w:rsidRPr="00BB6CB8" w:rsidRDefault="00C14BE7">
            <w:pPr>
              <w:jc w:val="right"/>
              <w:rPr>
                <w:sz w:val="28"/>
                <w:szCs w:val="28"/>
              </w:rPr>
            </w:pPr>
            <w:r w:rsidRPr="00BB6CB8">
              <w:rPr>
                <w:sz w:val="28"/>
                <w:szCs w:val="28"/>
              </w:rPr>
              <w:t>18,67</w:t>
            </w:r>
          </w:p>
        </w:tc>
        <w:tc>
          <w:tcPr>
            <w:tcW w:w="1559" w:type="dxa"/>
            <w:vAlign w:val="bottom"/>
          </w:tcPr>
          <w:p w:rsidR="00C14BE7" w:rsidRPr="00BB6CB8" w:rsidRDefault="00C14BE7">
            <w:pPr>
              <w:jc w:val="right"/>
              <w:rPr>
                <w:sz w:val="28"/>
                <w:szCs w:val="28"/>
              </w:rPr>
            </w:pPr>
            <w:r w:rsidRPr="00BB6CB8">
              <w:rPr>
                <w:sz w:val="28"/>
                <w:szCs w:val="28"/>
              </w:rPr>
              <w:t>20,57</w:t>
            </w:r>
          </w:p>
        </w:tc>
      </w:tr>
      <w:tr w:rsidR="00C14BE7" w:rsidRPr="00BB6CB8" w:rsidTr="001301BD">
        <w:trPr>
          <w:trHeight w:hRule="exact" w:val="567"/>
        </w:trPr>
        <w:tc>
          <w:tcPr>
            <w:tcW w:w="2943" w:type="dxa"/>
            <w:shd w:val="clear" w:color="auto" w:fill="E3F9EF"/>
            <w:vAlign w:val="bottom"/>
          </w:tcPr>
          <w:p w:rsidR="00C14BE7" w:rsidRPr="00BB6CB8" w:rsidRDefault="00C14BE7" w:rsidP="00536005">
            <w:pPr>
              <w:spacing w:line="480" w:lineRule="auto"/>
              <w:rPr>
                <w:sz w:val="28"/>
                <w:szCs w:val="28"/>
              </w:rPr>
            </w:pPr>
            <w:r w:rsidRPr="00BB6CB8">
              <w:rPr>
                <w:sz w:val="28"/>
                <w:szCs w:val="28"/>
              </w:rPr>
              <w:t xml:space="preserve">Κέρδη Προ Φόρων </w:t>
            </w:r>
          </w:p>
        </w:tc>
        <w:tc>
          <w:tcPr>
            <w:tcW w:w="1560" w:type="dxa"/>
            <w:vAlign w:val="bottom"/>
          </w:tcPr>
          <w:p w:rsidR="00C14BE7" w:rsidRPr="00BB6CB8" w:rsidRDefault="00C14BE7" w:rsidP="004152EE">
            <w:pPr>
              <w:jc w:val="right"/>
              <w:rPr>
                <w:sz w:val="28"/>
                <w:szCs w:val="28"/>
              </w:rPr>
            </w:pPr>
            <w:r w:rsidRPr="00BB6CB8">
              <w:rPr>
                <w:sz w:val="28"/>
                <w:szCs w:val="28"/>
              </w:rPr>
              <w:t>1,23</w:t>
            </w:r>
          </w:p>
        </w:tc>
        <w:tc>
          <w:tcPr>
            <w:tcW w:w="1559" w:type="dxa"/>
            <w:vAlign w:val="bottom"/>
          </w:tcPr>
          <w:p w:rsidR="00C14BE7" w:rsidRPr="00BB6CB8" w:rsidRDefault="00C14BE7" w:rsidP="004152EE">
            <w:pPr>
              <w:jc w:val="right"/>
              <w:rPr>
                <w:sz w:val="28"/>
                <w:szCs w:val="28"/>
              </w:rPr>
            </w:pPr>
            <w:r w:rsidRPr="00BB6CB8">
              <w:rPr>
                <w:sz w:val="28"/>
                <w:szCs w:val="28"/>
              </w:rPr>
              <w:t>5,80</w:t>
            </w:r>
          </w:p>
        </w:tc>
        <w:tc>
          <w:tcPr>
            <w:tcW w:w="1559" w:type="dxa"/>
            <w:vAlign w:val="bottom"/>
          </w:tcPr>
          <w:p w:rsidR="00C14BE7" w:rsidRPr="00BB6CB8" w:rsidRDefault="00C14BE7">
            <w:pPr>
              <w:jc w:val="right"/>
              <w:rPr>
                <w:sz w:val="28"/>
                <w:szCs w:val="28"/>
              </w:rPr>
            </w:pPr>
            <w:r w:rsidRPr="00BB6CB8">
              <w:rPr>
                <w:sz w:val="28"/>
                <w:szCs w:val="28"/>
              </w:rPr>
              <w:t>10,75</w:t>
            </w:r>
          </w:p>
        </w:tc>
        <w:tc>
          <w:tcPr>
            <w:tcW w:w="1559" w:type="dxa"/>
            <w:vAlign w:val="bottom"/>
          </w:tcPr>
          <w:p w:rsidR="00C14BE7" w:rsidRPr="00BB6CB8" w:rsidRDefault="00C14BE7">
            <w:pPr>
              <w:jc w:val="right"/>
              <w:rPr>
                <w:sz w:val="28"/>
                <w:szCs w:val="28"/>
              </w:rPr>
            </w:pPr>
            <w:r w:rsidRPr="00BB6CB8">
              <w:rPr>
                <w:sz w:val="28"/>
                <w:szCs w:val="28"/>
              </w:rPr>
              <w:t>14,88</w:t>
            </w:r>
          </w:p>
        </w:tc>
      </w:tr>
      <w:tr w:rsidR="00C14BE7" w:rsidRPr="00BB6CB8" w:rsidTr="001301BD">
        <w:trPr>
          <w:trHeight w:hRule="exact" w:val="832"/>
        </w:trPr>
        <w:tc>
          <w:tcPr>
            <w:tcW w:w="2943" w:type="dxa"/>
            <w:shd w:val="clear" w:color="auto" w:fill="E3F9EF"/>
            <w:vAlign w:val="bottom"/>
          </w:tcPr>
          <w:p w:rsidR="00C14BE7" w:rsidRPr="00BB6CB8" w:rsidRDefault="00C14BE7" w:rsidP="003E5910">
            <w:pPr>
              <w:spacing w:line="240" w:lineRule="auto"/>
              <w:rPr>
                <w:sz w:val="28"/>
                <w:szCs w:val="28"/>
              </w:rPr>
            </w:pPr>
            <w:r w:rsidRPr="00BB6CB8">
              <w:rPr>
                <w:sz w:val="28"/>
                <w:szCs w:val="28"/>
              </w:rPr>
              <w:t xml:space="preserve">Καθαρά Κέρδη / ζημίες (μετά από φόρους) </w:t>
            </w:r>
          </w:p>
        </w:tc>
        <w:tc>
          <w:tcPr>
            <w:tcW w:w="1560" w:type="dxa"/>
            <w:vAlign w:val="bottom"/>
          </w:tcPr>
          <w:p w:rsidR="00C14BE7" w:rsidRPr="00BB6CB8" w:rsidRDefault="00C14BE7" w:rsidP="004152EE">
            <w:pPr>
              <w:jc w:val="right"/>
              <w:rPr>
                <w:sz w:val="28"/>
                <w:szCs w:val="28"/>
              </w:rPr>
            </w:pPr>
            <w:r w:rsidRPr="00BB6CB8">
              <w:rPr>
                <w:sz w:val="28"/>
                <w:szCs w:val="28"/>
              </w:rPr>
              <w:t>-2,54</w:t>
            </w:r>
          </w:p>
        </w:tc>
        <w:tc>
          <w:tcPr>
            <w:tcW w:w="1559" w:type="dxa"/>
            <w:vAlign w:val="bottom"/>
          </w:tcPr>
          <w:p w:rsidR="00C14BE7" w:rsidRPr="00BB6CB8" w:rsidRDefault="00C14BE7" w:rsidP="004152EE">
            <w:pPr>
              <w:jc w:val="right"/>
              <w:rPr>
                <w:sz w:val="28"/>
                <w:szCs w:val="28"/>
              </w:rPr>
            </w:pPr>
            <w:r w:rsidRPr="00BB6CB8">
              <w:rPr>
                <w:sz w:val="28"/>
                <w:szCs w:val="28"/>
              </w:rPr>
              <w:t>-1,87</w:t>
            </w:r>
          </w:p>
        </w:tc>
        <w:tc>
          <w:tcPr>
            <w:tcW w:w="1559" w:type="dxa"/>
            <w:vAlign w:val="bottom"/>
          </w:tcPr>
          <w:p w:rsidR="00C14BE7" w:rsidRPr="00BB6CB8" w:rsidRDefault="00C14BE7">
            <w:pPr>
              <w:jc w:val="right"/>
              <w:rPr>
                <w:sz w:val="28"/>
                <w:szCs w:val="28"/>
              </w:rPr>
            </w:pPr>
            <w:r w:rsidRPr="00BB6CB8">
              <w:rPr>
                <w:sz w:val="28"/>
                <w:szCs w:val="28"/>
              </w:rPr>
              <w:t>8,40</w:t>
            </w:r>
          </w:p>
        </w:tc>
        <w:tc>
          <w:tcPr>
            <w:tcW w:w="1559" w:type="dxa"/>
            <w:vAlign w:val="bottom"/>
          </w:tcPr>
          <w:p w:rsidR="00C14BE7" w:rsidRPr="00BB6CB8" w:rsidRDefault="00C14BE7">
            <w:pPr>
              <w:jc w:val="right"/>
              <w:rPr>
                <w:sz w:val="28"/>
                <w:szCs w:val="28"/>
              </w:rPr>
            </w:pPr>
            <w:r w:rsidRPr="00BB6CB8">
              <w:rPr>
                <w:sz w:val="28"/>
                <w:szCs w:val="28"/>
              </w:rPr>
              <w:t>8,57</w:t>
            </w:r>
          </w:p>
        </w:tc>
      </w:tr>
    </w:tbl>
    <w:p w:rsidR="00C14BE7" w:rsidRDefault="00C14BE7" w:rsidP="006A0F98">
      <w:pPr>
        <w:spacing w:line="240" w:lineRule="auto"/>
        <w:ind w:left="-567" w:right="-766"/>
        <w:rPr>
          <w:rFonts w:ascii="Century Gothic" w:hAnsi="Century Gothic" w:cs="Tahoma"/>
          <w:b/>
          <w:sz w:val="20"/>
          <w:szCs w:val="20"/>
        </w:rPr>
      </w:pPr>
    </w:p>
    <w:p w:rsidR="00C14BE7" w:rsidRDefault="00C14BE7" w:rsidP="006A0F98">
      <w:pPr>
        <w:spacing w:line="240" w:lineRule="auto"/>
        <w:ind w:left="-567" w:right="-766"/>
        <w:rPr>
          <w:rFonts w:ascii="Century Gothic" w:hAnsi="Century Gothic" w:cs="Tahoma"/>
          <w:b/>
          <w:sz w:val="20"/>
          <w:szCs w:val="20"/>
        </w:rPr>
      </w:pPr>
    </w:p>
    <w:p w:rsidR="00C14BE7" w:rsidRDefault="00C14BE7" w:rsidP="006A0F98">
      <w:pPr>
        <w:spacing w:line="240" w:lineRule="auto"/>
        <w:ind w:left="-567" w:right="-766"/>
        <w:rPr>
          <w:rFonts w:ascii="Century Gothic" w:hAnsi="Century Gothic" w:cs="Tahoma"/>
          <w:b/>
          <w:sz w:val="20"/>
          <w:szCs w:val="20"/>
        </w:rPr>
      </w:pPr>
    </w:p>
    <w:p w:rsidR="00C14BE7" w:rsidRDefault="00C14BE7" w:rsidP="006A0F98">
      <w:pPr>
        <w:spacing w:line="240" w:lineRule="auto"/>
        <w:ind w:left="-567" w:right="-766"/>
        <w:rPr>
          <w:rFonts w:ascii="Century Gothic" w:hAnsi="Century Gothic" w:cs="Tahoma"/>
          <w:b/>
          <w:sz w:val="20"/>
          <w:szCs w:val="20"/>
        </w:rPr>
      </w:pPr>
    </w:p>
    <w:p w:rsidR="00C14BE7" w:rsidRPr="0042435B" w:rsidRDefault="00C14BE7" w:rsidP="00335625">
      <w:pPr>
        <w:spacing w:after="0"/>
        <w:jc w:val="both"/>
        <w:rPr>
          <w:rFonts w:ascii="Century Gothic" w:hAnsi="Century Gothic" w:cs="Tahoma"/>
          <w:sz w:val="20"/>
          <w:szCs w:val="20"/>
        </w:rPr>
      </w:pPr>
      <w:r w:rsidRPr="0042435B">
        <w:rPr>
          <w:rFonts w:ascii="Century Gothic" w:hAnsi="Century Gothic" w:cs="Tahoma"/>
          <w:sz w:val="20"/>
          <w:szCs w:val="20"/>
        </w:rPr>
        <w:t>Οι Ετήσιες οικονομικές καταστάσεις της χρήσης 2011 θα αναρτηθούν στην ιστοσελίδα του Χρηματιστηρίου Αθηνών (</w:t>
      </w:r>
      <w:hyperlink r:id="rId7" w:history="1">
        <w:r w:rsidRPr="0042435B">
          <w:rPr>
            <w:rFonts w:ascii="Century Gothic" w:hAnsi="Century Gothic" w:cs="Tahoma"/>
            <w:sz w:val="20"/>
            <w:szCs w:val="20"/>
          </w:rPr>
          <w:t>www.ase.gr</w:t>
        </w:r>
      </w:hyperlink>
      <w:r w:rsidRPr="0042435B">
        <w:rPr>
          <w:rFonts w:ascii="Century Gothic" w:hAnsi="Century Gothic" w:cs="Tahoma"/>
          <w:sz w:val="20"/>
          <w:szCs w:val="20"/>
        </w:rPr>
        <w:t>) και της εταιρείας (</w:t>
      </w:r>
      <w:hyperlink r:id="rId8" w:history="1">
        <w:r w:rsidRPr="0042435B">
          <w:rPr>
            <w:rFonts w:ascii="Century Gothic" w:hAnsi="Century Gothic" w:cs="Tahoma"/>
            <w:sz w:val="20"/>
            <w:szCs w:val="20"/>
          </w:rPr>
          <w:t>www.iaso.gr</w:t>
        </w:r>
      </w:hyperlink>
      <w:r w:rsidRPr="0042435B">
        <w:rPr>
          <w:rFonts w:ascii="Century Gothic" w:hAnsi="Century Gothic" w:cs="Tahoma"/>
          <w:sz w:val="20"/>
          <w:szCs w:val="20"/>
        </w:rPr>
        <w:t xml:space="preserve">)  </w:t>
      </w:r>
    </w:p>
    <w:p w:rsidR="00C14BE7" w:rsidRPr="00D76A07" w:rsidRDefault="00C14BE7" w:rsidP="006A0F98">
      <w:pPr>
        <w:spacing w:line="240" w:lineRule="auto"/>
        <w:ind w:left="-567" w:right="-766"/>
        <w:rPr>
          <w:rFonts w:ascii="Century Gothic" w:hAnsi="Century Gothic" w:cs="Tahoma"/>
          <w:b/>
          <w:sz w:val="20"/>
          <w:szCs w:val="20"/>
        </w:rPr>
      </w:pPr>
    </w:p>
    <w:sectPr w:rsidR="00C14BE7" w:rsidRPr="00D76A07" w:rsidSect="002C1978">
      <w:headerReference w:type="default" r:id="rId9"/>
      <w:footerReference w:type="default" r:id="rId10"/>
      <w:pgSz w:w="11906" w:h="16838"/>
      <w:pgMar w:top="572" w:right="1800" w:bottom="568" w:left="1800" w:header="142" w:footer="5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BE7" w:rsidRDefault="00C14BE7" w:rsidP="006A0F98">
      <w:pPr>
        <w:spacing w:after="0" w:line="240" w:lineRule="auto"/>
      </w:pPr>
      <w:r>
        <w:separator/>
      </w:r>
    </w:p>
  </w:endnote>
  <w:endnote w:type="continuationSeparator" w:id="1">
    <w:p w:rsidR="00C14BE7" w:rsidRDefault="00C14BE7" w:rsidP="006A0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E7" w:rsidRDefault="00C14BE7" w:rsidP="006A0F98">
    <w:pPr>
      <w:pStyle w:val="Footer"/>
      <w:tabs>
        <w:tab w:val="clear" w:pos="8306"/>
        <w:tab w:val="right" w:pos="9639"/>
      </w:tabs>
      <w:ind w:left="-1701"/>
    </w:pPr>
    <w:r w:rsidRPr="00546FD2">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alt="φάσα ΙΑΣΩ.jpg" style="width:569.25pt;height:122.25pt;visibility:visible">
          <v:imagedata r:id="rId1" o:title="" croptop="10249f" cropbottom="1856f" cropright="265f"/>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BE7" w:rsidRDefault="00C14BE7" w:rsidP="006A0F98">
      <w:pPr>
        <w:spacing w:after="0" w:line="240" w:lineRule="auto"/>
      </w:pPr>
      <w:r>
        <w:separator/>
      </w:r>
    </w:p>
  </w:footnote>
  <w:footnote w:type="continuationSeparator" w:id="1">
    <w:p w:rsidR="00C14BE7" w:rsidRDefault="00C14BE7" w:rsidP="006A0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E7" w:rsidRDefault="00C14BE7" w:rsidP="006A0F98">
    <w:pPr>
      <w:pStyle w:val="Header"/>
      <w:jc w:val="center"/>
    </w:pPr>
    <w:r w:rsidRPr="00546FD2">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logo Ιασώ.jpg" style="width:114.75pt;height:40.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27E3E"/>
    <w:multiLevelType w:val="hybridMultilevel"/>
    <w:tmpl w:val="8A683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F6F70CD"/>
    <w:multiLevelType w:val="hybridMultilevel"/>
    <w:tmpl w:val="5684A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F736ADD"/>
    <w:multiLevelType w:val="hybridMultilevel"/>
    <w:tmpl w:val="BA5CE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F957991"/>
    <w:multiLevelType w:val="hybridMultilevel"/>
    <w:tmpl w:val="050CED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76F"/>
    <w:rsid w:val="00037164"/>
    <w:rsid w:val="000B1646"/>
    <w:rsid w:val="001301BD"/>
    <w:rsid w:val="0018469E"/>
    <w:rsid w:val="001C6855"/>
    <w:rsid w:val="002205BC"/>
    <w:rsid w:val="002528D1"/>
    <w:rsid w:val="0029768D"/>
    <w:rsid w:val="002C1978"/>
    <w:rsid w:val="00310111"/>
    <w:rsid w:val="00335625"/>
    <w:rsid w:val="003A4C61"/>
    <w:rsid w:val="003D5F18"/>
    <w:rsid w:val="003E5910"/>
    <w:rsid w:val="003F4B6D"/>
    <w:rsid w:val="004152EE"/>
    <w:rsid w:val="0042435B"/>
    <w:rsid w:val="00450E8A"/>
    <w:rsid w:val="004530FE"/>
    <w:rsid w:val="00471581"/>
    <w:rsid w:val="004C2F3C"/>
    <w:rsid w:val="004D278A"/>
    <w:rsid w:val="00536005"/>
    <w:rsid w:val="00546FD2"/>
    <w:rsid w:val="00547AA9"/>
    <w:rsid w:val="0055089A"/>
    <w:rsid w:val="00596AA9"/>
    <w:rsid w:val="005C7E4B"/>
    <w:rsid w:val="005D0022"/>
    <w:rsid w:val="0065276F"/>
    <w:rsid w:val="006A0F98"/>
    <w:rsid w:val="006E5C1B"/>
    <w:rsid w:val="00711F70"/>
    <w:rsid w:val="00743AFE"/>
    <w:rsid w:val="007954D1"/>
    <w:rsid w:val="007D268B"/>
    <w:rsid w:val="007D3410"/>
    <w:rsid w:val="007F5B38"/>
    <w:rsid w:val="00823AB4"/>
    <w:rsid w:val="00953169"/>
    <w:rsid w:val="00953FF3"/>
    <w:rsid w:val="009A014B"/>
    <w:rsid w:val="009C5E79"/>
    <w:rsid w:val="00A02DBF"/>
    <w:rsid w:val="00A42054"/>
    <w:rsid w:val="00A8659D"/>
    <w:rsid w:val="00B07A5E"/>
    <w:rsid w:val="00B16DBC"/>
    <w:rsid w:val="00B548F3"/>
    <w:rsid w:val="00B55F30"/>
    <w:rsid w:val="00B65C26"/>
    <w:rsid w:val="00B844EA"/>
    <w:rsid w:val="00B9486E"/>
    <w:rsid w:val="00BB42E5"/>
    <w:rsid w:val="00BB6CB8"/>
    <w:rsid w:val="00BE7164"/>
    <w:rsid w:val="00C14BE7"/>
    <w:rsid w:val="00C45A14"/>
    <w:rsid w:val="00C9055E"/>
    <w:rsid w:val="00C9179F"/>
    <w:rsid w:val="00D2308C"/>
    <w:rsid w:val="00D67260"/>
    <w:rsid w:val="00D76A07"/>
    <w:rsid w:val="00D81D48"/>
    <w:rsid w:val="00DD56EF"/>
    <w:rsid w:val="00E13C2E"/>
    <w:rsid w:val="00E322A6"/>
    <w:rsid w:val="00E42B0C"/>
    <w:rsid w:val="00E506E2"/>
    <w:rsid w:val="00E81286"/>
    <w:rsid w:val="00EC279C"/>
    <w:rsid w:val="00F64312"/>
    <w:rsid w:val="00F95A0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D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Τίτλος Μελέτης"/>
    <w:basedOn w:val="Normal"/>
    <w:link w:val="BodyTextChar1"/>
    <w:uiPriority w:val="99"/>
    <w:rsid w:val="00823AB4"/>
    <w:pPr>
      <w:spacing w:after="0" w:line="360" w:lineRule="auto"/>
      <w:jc w:val="both"/>
    </w:pPr>
    <w:rPr>
      <w:rFonts w:ascii="Times New Roman" w:eastAsia="Times New Roman" w:hAnsi="Times New Roman" w:cs="Arial"/>
      <w:bCs/>
      <w:sz w:val="24"/>
      <w:szCs w:val="20"/>
    </w:rPr>
  </w:style>
  <w:style w:type="character" w:customStyle="1" w:styleId="BodyTextChar">
    <w:name w:val="Body Text Char"/>
    <w:aliases w:val="Τίτλος Μελέτης Char"/>
    <w:basedOn w:val="DefaultParagraphFont"/>
    <w:link w:val="BodyText"/>
    <w:uiPriority w:val="99"/>
    <w:semiHidden/>
    <w:locked/>
    <w:rsid w:val="00823AB4"/>
    <w:rPr>
      <w:rFonts w:cs="Times New Roman"/>
    </w:rPr>
  </w:style>
  <w:style w:type="character" w:customStyle="1" w:styleId="BodyTextChar1">
    <w:name w:val="Body Text Char1"/>
    <w:aliases w:val="Τίτλος Μελέτης Char1"/>
    <w:basedOn w:val="DefaultParagraphFont"/>
    <w:link w:val="BodyText"/>
    <w:uiPriority w:val="99"/>
    <w:locked/>
    <w:rsid w:val="00823AB4"/>
    <w:rPr>
      <w:rFonts w:ascii="Times New Roman" w:hAnsi="Times New Roman" w:cs="Arial"/>
      <w:bCs/>
      <w:sz w:val="20"/>
      <w:szCs w:val="20"/>
    </w:rPr>
  </w:style>
  <w:style w:type="paragraph" w:customStyle="1" w:styleId="TEXT">
    <w:name w:val="TEXT"/>
    <w:basedOn w:val="Normal"/>
    <w:uiPriority w:val="99"/>
    <w:rsid w:val="00471581"/>
    <w:pPr>
      <w:spacing w:after="0" w:line="260" w:lineRule="exact"/>
      <w:jc w:val="both"/>
    </w:pPr>
    <w:rPr>
      <w:rFonts w:ascii="New York" w:eastAsia="Times New Roman" w:hAnsi="New York"/>
      <w:sz w:val="20"/>
      <w:szCs w:val="20"/>
      <w:lang w:val="en-US"/>
    </w:rPr>
  </w:style>
  <w:style w:type="paragraph" w:styleId="ListParagraph">
    <w:name w:val="List Paragraph"/>
    <w:basedOn w:val="Normal"/>
    <w:uiPriority w:val="99"/>
    <w:qFormat/>
    <w:rsid w:val="00E506E2"/>
    <w:pPr>
      <w:ind w:left="720"/>
      <w:contextualSpacing/>
    </w:pPr>
  </w:style>
  <w:style w:type="paragraph" w:styleId="BalloonText">
    <w:name w:val="Balloon Text"/>
    <w:basedOn w:val="Normal"/>
    <w:link w:val="BalloonTextChar"/>
    <w:uiPriority w:val="99"/>
    <w:semiHidden/>
    <w:rsid w:val="007D2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268B"/>
    <w:rPr>
      <w:rFonts w:ascii="Tahoma" w:hAnsi="Tahoma" w:cs="Tahoma"/>
      <w:sz w:val="16"/>
      <w:szCs w:val="16"/>
    </w:rPr>
  </w:style>
  <w:style w:type="paragraph" w:styleId="Header">
    <w:name w:val="header"/>
    <w:basedOn w:val="Normal"/>
    <w:link w:val="HeaderChar"/>
    <w:uiPriority w:val="99"/>
    <w:semiHidden/>
    <w:rsid w:val="006A0F9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6A0F98"/>
    <w:rPr>
      <w:rFonts w:cs="Times New Roman"/>
    </w:rPr>
  </w:style>
  <w:style w:type="paragraph" w:styleId="Footer">
    <w:name w:val="footer"/>
    <w:basedOn w:val="Normal"/>
    <w:link w:val="FooterChar"/>
    <w:uiPriority w:val="99"/>
    <w:semiHidden/>
    <w:rsid w:val="006A0F9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6A0F98"/>
    <w:rPr>
      <w:rFonts w:cs="Times New Roman"/>
    </w:rPr>
  </w:style>
  <w:style w:type="character" w:styleId="Hyperlink">
    <w:name w:val="Hyperlink"/>
    <w:basedOn w:val="DefaultParagraphFont"/>
    <w:uiPriority w:val="99"/>
    <w:rsid w:val="0042435B"/>
    <w:rPr>
      <w:rFonts w:cs="Times New Roman"/>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so.gr" TargetMode="External"/><Relationship Id="rId3" Type="http://schemas.openxmlformats.org/officeDocument/2006/relationships/settings" Target="settings.xml"/><Relationship Id="rId7" Type="http://schemas.openxmlformats.org/officeDocument/2006/relationships/hyperlink" Target="http://www.ase.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3</Pages>
  <Words>621</Words>
  <Characters>3355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parkot</dc:creator>
  <cp:keywords/>
  <dc:description/>
  <cp:lastModifiedBy>chrska</cp:lastModifiedBy>
  <cp:revision>13</cp:revision>
  <cp:lastPrinted>2012-03-29T19:43:00Z</cp:lastPrinted>
  <dcterms:created xsi:type="dcterms:W3CDTF">2012-03-29T19:10:00Z</dcterms:created>
  <dcterms:modified xsi:type="dcterms:W3CDTF">2012-03-29T19:49:00Z</dcterms:modified>
</cp:coreProperties>
</file>