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E62" w:rsidRDefault="00511E62" w:rsidP="007165D6">
      <w:pPr>
        <w:jc w:val="center"/>
        <w:outlineLvl w:val="0"/>
        <w:rPr>
          <w:b/>
          <w:sz w:val="32"/>
          <w:szCs w:val="32"/>
          <w:u w:val="single"/>
        </w:rPr>
      </w:pPr>
      <w:r>
        <w:rPr>
          <w:b/>
          <w:sz w:val="32"/>
          <w:szCs w:val="32"/>
          <w:u w:val="single"/>
        </w:rPr>
        <w:t>ΔΕΛΤΙΟ ΤΥΠΟΥ</w:t>
      </w:r>
    </w:p>
    <w:p w:rsidR="00511E62" w:rsidRDefault="00511E62" w:rsidP="002802A5">
      <w:pPr>
        <w:jc w:val="center"/>
        <w:rPr>
          <w:b/>
          <w:sz w:val="32"/>
          <w:szCs w:val="32"/>
          <w:u w:val="single"/>
        </w:rPr>
      </w:pPr>
      <w:r>
        <w:rPr>
          <w:b/>
          <w:sz w:val="32"/>
          <w:szCs w:val="32"/>
          <w:u w:val="single"/>
        </w:rPr>
        <w:t>ΙΑΣΩ</w:t>
      </w:r>
      <w:r w:rsidRPr="0095274B">
        <w:rPr>
          <w:b/>
          <w:sz w:val="32"/>
          <w:szCs w:val="32"/>
          <w:u w:val="single"/>
        </w:rPr>
        <w:t xml:space="preserve">: </w:t>
      </w:r>
      <w:r>
        <w:rPr>
          <w:b/>
          <w:sz w:val="32"/>
          <w:szCs w:val="32"/>
          <w:u w:val="single"/>
        </w:rPr>
        <w:t xml:space="preserve">ΒΕΛΤΙΩΣΗ ΤΩΝ ΑΠΟΤΕΛΕΣΜΑΤΩΝ ΤΟΥ Γ ΤΡΙΜΗΝΟΥ </w:t>
      </w:r>
    </w:p>
    <w:p w:rsidR="00511E62" w:rsidRDefault="00511E62" w:rsidP="002013E4">
      <w:pPr>
        <w:jc w:val="both"/>
        <w:rPr>
          <w:sz w:val="24"/>
          <w:szCs w:val="24"/>
        </w:rPr>
      </w:pPr>
    </w:p>
    <w:p w:rsidR="00511E62" w:rsidRDefault="00511E62" w:rsidP="002013E4">
      <w:pPr>
        <w:jc w:val="both"/>
        <w:rPr>
          <w:sz w:val="24"/>
          <w:szCs w:val="24"/>
        </w:rPr>
      </w:pPr>
    </w:p>
    <w:p w:rsidR="00511E62" w:rsidRPr="004044E4" w:rsidRDefault="00511E62" w:rsidP="002013E4">
      <w:pPr>
        <w:jc w:val="both"/>
        <w:rPr>
          <w:sz w:val="24"/>
          <w:szCs w:val="24"/>
        </w:rPr>
      </w:pPr>
      <w:r w:rsidRPr="004044E4">
        <w:rPr>
          <w:sz w:val="24"/>
          <w:szCs w:val="24"/>
        </w:rPr>
        <w:t>Δημοσιεύτηκαν τα αποτελέσματα του εννεαμήνου 2011 της μητρικής εταιρείας  και του ομίλου «ΙΑΣΩ». Τα σημαντικότερα οικονομικά μεγέθη απεικονίζονται στους επόμενους πίνακες. Ο Πρόεδρος του Δ.Σ. του ΙΑΣΩ κ Γεώργιος Σταματίου σχολιάζοντας τα αποτελέσματα υπογράμμισε ότι «τα αποτελέσματα του Γ’ τριμήνου επιβεβαιώνουν την αισιοδοξία με την οποία αντιμετωπίζεται το μέλλον του ΙΑΣΩ και ζήτησε για μια ακόμη φορά να συνεχιστούν οι συντονισμένες προσπάθειες όλων των μελών της οικογένειας του ΙΑΣΩ και στο επόμενο διάστημα</w:t>
      </w:r>
      <w:r>
        <w:rPr>
          <w:sz w:val="24"/>
          <w:szCs w:val="24"/>
        </w:rPr>
        <w:t xml:space="preserve"> με την ίδια διάθεση και ένταση</w:t>
      </w:r>
      <w:r w:rsidRPr="004044E4">
        <w:rPr>
          <w:sz w:val="24"/>
          <w:szCs w:val="24"/>
        </w:rPr>
        <w:t xml:space="preserve">» </w:t>
      </w:r>
    </w:p>
    <w:p w:rsidR="00511E62" w:rsidRPr="004044E4" w:rsidRDefault="00511E62" w:rsidP="00286120">
      <w:pPr>
        <w:jc w:val="both"/>
        <w:rPr>
          <w:sz w:val="24"/>
          <w:szCs w:val="24"/>
        </w:rPr>
      </w:pPr>
      <w:r w:rsidRPr="004044E4">
        <w:rPr>
          <w:sz w:val="24"/>
          <w:szCs w:val="24"/>
        </w:rPr>
        <w:t xml:space="preserve">Ο κύκλος εργασιών παρότι δεν είναι απόλυτα συγκρίσιμο μέγεθος λόγω της  εφαρμογής Φ.Π.Α. από 1/7/2010 και της αλλαγής στο νομικό καθεστώς τιμολόγησης των φαρμάκων διαμορφώθηκε στα 94,24 εκατ.€ για τον Όμιλο και στα 52,31 εκατ. € για την εταιρεία. Αντίστοιχα το περιθώριο </w:t>
      </w:r>
      <w:r w:rsidRPr="004044E4">
        <w:rPr>
          <w:sz w:val="24"/>
          <w:szCs w:val="24"/>
          <w:lang w:val="en-US"/>
        </w:rPr>
        <w:t>EBITDA</w:t>
      </w:r>
      <w:r w:rsidRPr="004044E4">
        <w:rPr>
          <w:sz w:val="24"/>
          <w:szCs w:val="24"/>
        </w:rPr>
        <w:t xml:space="preserve"> διαμορφώθηκε στα 14,31 εκατ.€ </w:t>
      </w:r>
      <w:r>
        <w:rPr>
          <w:sz w:val="24"/>
          <w:szCs w:val="24"/>
        </w:rPr>
        <w:t>για τον Όμιλο και στα</w:t>
      </w:r>
      <w:r w:rsidRPr="004044E4">
        <w:rPr>
          <w:sz w:val="24"/>
          <w:szCs w:val="24"/>
        </w:rPr>
        <w:t xml:space="preserve"> 13,87 εκατ.€ </w:t>
      </w:r>
      <w:r>
        <w:rPr>
          <w:sz w:val="24"/>
          <w:szCs w:val="24"/>
        </w:rPr>
        <w:t>για την Εταιρεία.</w:t>
      </w:r>
    </w:p>
    <w:p w:rsidR="00511E62" w:rsidRPr="004044E4" w:rsidRDefault="00511E62" w:rsidP="00286120">
      <w:pPr>
        <w:jc w:val="both"/>
        <w:rPr>
          <w:sz w:val="24"/>
          <w:szCs w:val="24"/>
        </w:rPr>
      </w:pPr>
      <w:r w:rsidRPr="004044E4">
        <w:rPr>
          <w:sz w:val="24"/>
          <w:szCs w:val="24"/>
        </w:rPr>
        <w:t xml:space="preserve">Ειδικότερα στο Γ’ Τρίμηνο του 2011 ο κύκλος εργασιών του Ομίλου προσέγγισε τα 29,02 εκατ. € από 31,57 εκατ. € ενώ το περιθώριο </w:t>
      </w:r>
      <w:r w:rsidRPr="004044E4">
        <w:rPr>
          <w:sz w:val="24"/>
          <w:szCs w:val="24"/>
          <w:lang w:val="en-US"/>
        </w:rPr>
        <w:t>EBITDA</w:t>
      </w:r>
      <w:r w:rsidRPr="004044E4">
        <w:rPr>
          <w:sz w:val="24"/>
          <w:szCs w:val="24"/>
        </w:rPr>
        <w:t xml:space="preserve"> του Ομίλου αυξήθηκε κατά 2,93 εκατ.€ και έφτασε τα 4,15 εκατ.€ από 1,22 εκατ.€ που ήταν το αντίστοιχο Τρίμηνο του 2010, Σε επίπεδο μητρικής ο κύκλος εργασιών προσέγγισε τα 16,44 εκατ. € από 19,44 εκατ. € ενώ το περιθώριο </w:t>
      </w:r>
      <w:r w:rsidRPr="004044E4">
        <w:rPr>
          <w:sz w:val="24"/>
          <w:szCs w:val="24"/>
          <w:lang w:val="en-US"/>
        </w:rPr>
        <w:t>EBITDA</w:t>
      </w:r>
      <w:r w:rsidRPr="004044E4">
        <w:rPr>
          <w:sz w:val="24"/>
          <w:szCs w:val="24"/>
        </w:rPr>
        <w:t xml:space="preserve"> αυξήθηκε κατά 1,13 εκατ.€ και έφτασε τα 4,34 εκατ.€ έναντι 3,21 εκατ.€ του αντίστοιχου Τριμήνου του 2010.</w:t>
      </w:r>
    </w:p>
    <w:p w:rsidR="00511E62" w:rsidRPr="004044E4" w:rsidRDefault="00511E62" w:rsidP="00570E61">
      <w:pPr>
        <w:jc w:val="both"/>
        <w:rPr>
          <w:sz w:val="24"/>
          <w:szCs w:val="24"/>
        </w:rPr>
      </w:pPr>
      <w:r w:rsidRPr="004044E4">
        <w:rPr>
          <w:sz w:val="24"/>
          <w:szCs w:val="24"/>
        </w:rPr>
        <w:t xml:space="preserve">Όπως προκύπτει και από τις δημοσιευμένες οικονομικές καταστάσεις του Ομίλου ΙΑΣΩ υπήρξε σημαντική μείωση σε όλα τα επίπεδα των δαπανών λειτουργίας, των αποθεμάτων, των βραχυπροθέσμων απαιτήσεων και υποχρεώσεων, γεγονός που συνέβαλλε στο περιορισμό των συνεπειών της κρίσης όλων των εταιρειών του Ομίλου. </w:t>
      </w:r>
    </w:p>
    <w:p w:rsidR="00511E62" w:rsidRDefault="00511E62" w:rsidP="00286120">
      <w:pPr>
        <w:jc w:val="both"/>
        <w:rPr>
          <w:sz w:val="24"/>
          <w:szCs w:val="24"/>
        </w:rPr>
      </w:pPr>
      <w:r w:rsidRPr="004044E4">
        <w:rPr>
          <w:sz w:val="24"/>
          <w:szCs w:val="24"/>
        </w:rPr>
        <w:t>Σημαντική επίδραση στα αποτελέσματα προκάλεσε η αύξηση των περιθωρίων των επιτοκίων (</w:t>
      </w:r>
      <w:r w:rsidRPr="004044E4">
        <w:rPr>
          <w:sz w:val="24"/>
          <w:szCs w:val="24"/>
          <w:lang w:val="en-US"/>
        </w:rPr>
        <w:t>spreads</w:t>
      </w:r>
      <w:r w:rsidRPr="004044E4">
        <w:rPr>
          <w:sz w:val="24"/>
          <w:szCs w:val="24"/>
        </w:rPr>
        <w:t xml:space="preserve">) των δανειοδοτήσεων η οποία περιόρισε τα κέρδη μετά από φόρους του εννεαμήνου του 2011 της μητρικής εταιρείας κατά 8,6% φτάνοντας τα 6,17 εκατ.€ από 5,68 εκατ.€ του προηγούμενου εννεαμήνου του 2010 ενώ σε επίπεδο Ομίλου οι ζημίες περιορίστηκαν στα 0,87 εκατ. € έναντι ζημιών 1,15 εκατ.€ του προηγούμενου εννεαμήνου του 2010.   </w:t>
      </w:r>
    </w:p>
    <w:p w:rsidR="00511E62" w:rsidRPr="004044E4" w:rsidRDefault="00511E62" w:rsidP="00286120">
      <w:pPr>
        <w:jc w:val="both"/>
        <w:rPr>
          <w:sz w:val="24"/>
          <w:szCs w:val="24"/>
        </w:rPr>
      </w:pPr>
      <w:r>
        <w:rPr>
          <w:sz w:val="24"/>
          <w:szCs w:val="24"/>
        </w:rPr>
        <w:t xml:space="preserve">Τα αποτελέσματα αυτά επιτεύχθηκαν σε μια δύσκολη περίοδο η οποία χαρακτηρίζεται από πρωτόγνωρη οικονομική ύφεση. Είναι απόρροια σημαντικής μείωσης των τιμολογίων αλλά και του περιορισμού των λειτουργικών δαπανών. </w:t>
      </w:r>
    </w:p>
    <w:tbl>
      <w:tblPr>
        <w:tblpPr w:leftFromText="180" w:rightFromText="180" w:vertAnchor="text" w:horzAnchor="margin" w:tblpXSpec="center" w:tblpY="197"/>
        <w:tblW w:w="10881" w:type="dxa"/>
        <w:tblBorders>
          <w:top w:val="single" w:sz="18" w:space="0" w:color="auto"/>
          <w:bottom w:val="single" w:sz="18" w:space="0" w:color="auto"/>
        </w:tblBorders>
        <w:tblLayout w:type="fixed"/>
        <w:tblLook w:val="00A0"/>
      </w:tblPr>
      <w:tblGrid>
        <w:gridCol w:w="2376"/>
        <w:gridCol w:w="1134"/>
        <w:gridCol w:w="1276"/>
        <w:gridCol w:w="1701"/>
        <w:gridCol w:w="1418"/>
        <w:gridCol w:w="1417"/>
        <w:gridCol w:w="1559"/>
      </w:tblGrid>
      <w:tr w:rsidR="00511E62" w:rsidRPr="008D1AA3" w:rsidTr="008C3922">
        <w:trPr>
          <w:trHeight w:val="1238"/>
        </w:trPr>
        <w:tc>
          <w:tcPr>
            <w:tcW w:w="2376" w:type="dxa"/>
            <w:tcBorders>
              <w:top w:val="single" w:sz="18" w:space="0" w:color="auto"/>
            </w:tcBorders>
            <w:shd w:val="clear" w:color="auto" w:fill="76923C"/>
          </w:tcPr>
          <w:p w:rsidR="00511E62" w:rsidRPr="008D1AA3" w:rsidRDefault="00511E62" w:rsidP="002013E4">
            <w:pPr>
              <w:rPr>
                <w:color w:val="FFFF00"/>
              </w:rPr>
            </w:pPr>
            <w:r w:rsidRPr="008D1AA3">
              <w:rPr>
                <w:color w:val="FFFF00"/>
              </w:rPr>
              <w:t>Όμιλος  ΙΑΣΩ</w:t>
            </w:r>
          </w:p>
          <w:p w:rsidR="00511E62" w:rsidRPr="008D1AA3" w:rsidRDefault="00511E62" w:rsidP="002013E4">
            <w:pPr>
              <w:rPr>
                <w:color w:val="FFFF00"/>
              </w:rPr>
            </w:pPr>
            <w:r w:rsidRPr="008D1AA3">
              <w:rPr>
                <w:color w:val="FFFF00"/>
              </w:rPr>
              <w:t xml:space="preserve">€ εκατ. </w:t>
            </w:r>
          </w:p>
        </w:tc>
        <w:tc>
          <w:tcPr>
            <w:tcW w:w="1134" w:type="dxa"/>
            <w:tcBorders>
              <w:top w:val="single" w:sz="18" w:space="0" w:color="auto"/>
            </w:tcBorders>
            <w:shd w:val="clear" w:color="auto" w:fill="76923C"/>
          </w:tcPr>
          <w:p w:rsidR="00511E62" w:rsidRPr="008D1AA3" w:rsidRDefault="00511E62" w:rsidP="002013E4">
            <w:pPr>
              <w:jc w:val="center"/>
              <w:rPr>
                <w:color w:val="FFFF00"/>
              </w:rPr>
            </w:pPr>
            <w:r w:rsidRPr="008D1AA3">
              <w:rPr>
                <w:color w:val="FFFF00"/>
              </w:rPr>
              <w:t>9/μηνο 201</w:t>
            </w:r>
            <w:r w:rsidRPr="008D1AA3">
              <w:rPr>
                <w:color w:val="FFFF00"/>
                <w:lang w:val="en-US"/>
              </w:rPr>
              <w:t>1</w:t>
            </w:r>
          </w:p>
        </w:tc>
        <w:tc>
          <w:tcPr>
            <w:tcW w:w="1276" w:type="dxa"/>
            <w:tcBorders>
              <w:top w:val="single" w:sz="18" w:space="0" w:color="auto"/>
            </w:tcBorders>
            <w:shd w:val="clear" w:color="auto" w:fill="76923C"/>
          </w:tcPr>
          <w:p w:rsidR="00511E62" w:rsidRPr="008D1AA3" w:rsidRDefault="00511E62" w:rsidP="002013E4">
            <w:pPr>
              <w:jc w:val="center"/>
              <w:rPr>
                <w:color w:val="FFFF00"/>
              </w:rPr>
            </w:pPr>
            <w:r w:rsidRPr="008D1AA3">
              <w:rPr>
                <w:color w:val="FFFF00"/>
              </w:rPr>
              <w:t>9/μηνο 20</w:t>
            </w:r>
            <w:r w:rsidRPr="008D1AA3">
              <w:rPr>
                <w:color w:val="FFFF00"/>
                <w:lang w:val="en-US"/>
              </w:rPr>
              <w:t>1</w:t>
            </w:r>
            <w:r w:rsidRPr="008D1AA3">
              <w:rPr>
                <w:color w:val="FFFF00"/>
              </w:rPr>
              <w:t>0</w:t>
            </w:r>
          </w:p>
        </w:tc>
        <w:tc>
          <w:tcPr>
            <w:tcW w:w="1701" w:type="dxa"/>
            <w:tcBorders>
              <w:top w:val="single" w:sz="18" w:space="0" w:color="auto"/>
            </w:tcBorders>
            <w:shd w:val="clear" w:color="auto" w:fill="76923C"/>
          </w:tcPr>
          <w:p w:rsidR="00511E62" w:rsidRPr="008D1AA3" w:rsidRDefault="00511E62" w:rsidP="002013E4">
            <w:pPr>
              <w:jc w:val="center"/>
              <w:rPr>
                <w:color w:val="FFFF00"/>
              </w:rPr>
            </w:pPr>
            <w:r w:rsidRPr="008D1AA3">
              <w:rPr>
                <w:color w:val="FFFF00"/>
              </w:rPr>
              <w:t>Μεταβολή 9/μηνου</w:t>
            </w:r>
          </w:p>
        </w:tc>
        <w:tc>
          <w:tcPr>
            <w:tcW w:w="1418" w:type="dxa"/>
            <w:tcBorders>
              <w:top w:val="single" w:sz="18" w:space="0" w:color="auto"/>
            </w:tcBorders>
            <w:shd w:val="clear" w:color="auto" w:fill="76923C"/>
          </w:tcPr>
          <w:p w:rsidR="00511E62" w:rsidRPr="008D1AA3" w:rsidRDefault="00511E62" w:rsidP="002013E4">
            <w:pPr>
              <w:jc w:val="center"/>
              <w:rPr>
                <w:color w:val="FFFF00"/>
              </w:rPr>
            </w:pPr>
            <w:r w:rsidRPr="008D1AA3">
              <w:rPr>
                <w:color w:val="FFFF00"/>
              </w:rPr>
              <w:t>Γ Τρίμηνο 2011</w:t>
            </w:r>
          </w:p>
        </w:tc>
        <w:tc>
          <w:tcPr>
            <w:tcW w:w="1417" w:type="dxa"/>
            <w:tcBorders>
              <w:top w:val="single" w:sz="18" w:space="0" w:color="auto"/>
            </w:tcBorders>
            <w:shd w:val="clear" w:color="auto" w:fill="76923C"/>
          </w:tcPr>
          <w:p w:rsidR="00511E62" w:rsidRPr="008D1AA3" w:rsidRDefault="00511E62" w:rsidP="002013E4">
            <w:pPr>
              <w:jc w:val="center"/>
              <w:rPr>
                <w:color w:val="FFFF00"/>
              </w:rPr>
            </w:pPr>
            <w:r w:rsidRPr="008D1AA3">
              <w:rPr>
                <w:color w:val="FFFF00"/>
              </w:rPr>
              <w:t>Γ Τρίμηνο 2010</w:t>
            </w:r>
          </w:p>
        </w:tc>
        <w:tc>
          <w:tcPr>
            <w:tcW w:w="1559" w:type="dxa"/>
            <w:tcBorders>
              <w:top w:val="single" w:sz="18" w:space="0" w:color="auto"/>
            </w:tcBorders>
            <w:shd w:val="clear" w:color="auto" w:fill="76923C"/>
          </w:tcPr>
          <w:p w:rsidR="00511E62" w:rsidRPr="008D1AA3" w:rsidRDefault="00511E62" w:rsidP="002013E4">
            <w:pPr>
              <w:jc w:val="center"/>
              <w:rPr>
                <w:color w:val="FFFF00"/>
              </w:rPr>
            </w:pPr>
            <w:r w:rsidRPr="008D1AA3">
              <w:rPr>
                <w:color w:val="FFFF00"/>
              </w:rPr>
              <w:t>Μεταβολή Γ’ Τριμήνου</w:t>
            </w:r>
          </w:p>
        </w:tc>
      </w:tr>
      <w:tr w:rsidR="00511E62" w:rsidRPr="008D1AA3" w:rsidTr="008C3922">
        <w:trPr>
          <w:trHeight w:val="510"/>
        </w:trPr>
        <w:tc>
          <w:tcPr>
            <w:tcW w:w="2376" w:type="dxa"/>
            <w:shd w:val="clear" w:color="auto" w:fill="76923C"/>
            <w:vAlign w:val="center"/>
          </w:tcPr>
          <w:p w:rsidR="00511E62" w:rsidRPr="008D1AA3" w:rsidRDefault="00511E62" w:rsidP="002013E4">
            <w:pPr>
              <w:spacing w:line="480" w:lineRule="auto"/>
              <w:rPr>
                <w:color w:val="0F243E"/>
              </w:rPr>
            </w:pPr>
            <w:r w:rsidRPr="008D1AA3">
              <w:rPr>
                <w:color w:val="0F243E"/>
              </w:rPr>
              <w:t>Κύκλος Εργασιών *</w:t>
            </w:r>
          </w:p>
        </w:tc>
        <w:tc>
          <w:tcPr>
            <w:tcW w:w="1134" w:type="dxa"/>
            <w:vAlign w:val="center"/>
          </w:tcPr>
          <w:p w:rsidR="00511E62" w:rsidRPr="008D1AA3" w:rsidRDefault="00511E62" w:rsidP="002013E4">
            <w:pPr>
              <w:spacing w:line="480" w:lineRule="auto"/>
              <w:jc w:val="center"/>
              <w:rPr>
                <w:b/>
                <w:color w:val="0F243E"/>
              </w:rPr>
            </w:pPr>
            <w:r w:rsidRPr="008D1AA3">
              <w:rPr>
                <w:b/>
                <w:color w:val="0F243E"/>
              </w:rPr>
              <w:t>94,24</w:t>
            </w:r>
          </w:p>
        </w:tc>
        <w:tc>
          <w:tcPr>
            <w:tcW w:w="1276" w:type="dxa"/>
            <w:vAlign w:val="center"/>
          </w:tcPr>
          <w:p w:rsidR="00511E62" w:rsidRPr="008D1AA3" w:rsidRDefault="00511E62" w:rsidP="002013E4">
            <w:pPr>
              <w:spacing w:line="480" w:lineRule="auto"/>
              <w:jc w:val="center"/>
              <w:rPr>
                <w:b/>
                <w:color w:val="0F243E"/>
              </w:rPr>
            </w:pPr>
            <w:r w:rsidRPr="008D1AA3">
              <w:rPr>
                <w:b/>
                <w:color w:val="0F243E"/>
              </w:rPr>
              <w:t>114,51</w:t>
            </w:r>
          </w:p>
        </w:tc>
        <w:tc>
          <w:tcPr>
            <w:tcW w:w="1701" w:type="dxa"/>
            <w:vAlign w:val="bottom"/>
          </w:tcPr>
          <w:p w:rsidR="00511E62" w:rsidRPr="008D1AA3" w:rsidRDefault="00511E62" w:rsidP="002013E4">
            <w:pPr>
              <w:spacing w:line="480" w:lineRule="auto"/>
              <w:jc w:val="center"/>
              <w:rPr>
                <w:b/>
                <w:color w:val="0F243E"/>
              </w:rPr>
            </w:pPr>
            <w:r w:rsidRPr="008D1AA3">
              <w:rPr>
                <w:b/>
                <w:color w:val="0F243E"/>
              </w:rPr>
              <w:t>-17,7%</w:t>
            </w:r>
          </w:p>
        </w:tc>
        <w:tc>
          <w:tcPr>
            <w:tcW w:w="1418" w:type="dxa"/>
          </w:tcPr>
          <w:p w:rsidR="00511E62" w:rsidRPr="008D1AA3" w:rsidRDefault="00511E62" w:rsidP="002013E4">
            <w:pPr>
              <w:jc w:val="right"/>
              <w:rPr>
                <w:b/>
                <w:bCs/>
                <w:color w:val="0F243E"/>
              </w:rPr>
            </w:pPr>
            <w:r w:rsidRPr="008D1AA3">
              <w:rPr>
                <w:b/>
                <w:bCs/>
                <w:color w:val="0F243E"/>
              </w:rPr>
              <w:t>29,02</w:t>
            </w:r>
          </w:p>
        </w:tc>
        <w:tc>
          <w:tcPr>
            <w:tcW w:w="1417" w:type="dxa"/>
          </w:tcPr>
          <w:p w:rsidR="00511E62" w:rsidRPr="008D1AA3" w:rsidRDefault="00511E62" w:rsidP="002013E4">
            <w:pPr>
              <w:jc w:val="right"/>
              <w:rPr>
                <w:b/>
                <w:bCs/>
                <w:color w:val="0F243E"/>
              </w:rPr>
            </w:pPr>
            <w:r w:rsidRPr="008D1AA3">
              <w:rPr>
                <w:b/>
                <w:bCs/>
                <w:color w:val="0F243E"/>
              </w:rPr>
              <w:t>31,57</w:t>
            </w:r>
          </w:p>
        </w:tc>
        <w:tc>
          <w:tcPr>
            <w:tcW w:w="1559" w:type="dxa"/>
          </w:tcPr>
          <w:p w:rsidR="00511E62" w:rsidRPr="008D1AA3" w:rsidRDefault="00511E62" w:rsidP="002013E4">
            <w:pPr>
              <w:jc w:val="right"/>
              <w:rPr>
                <w:b/>
                <w:bCs/>
                <w:color w:val="0F243E"/>
              </w:rPr>
            </w:pPr>
            <w:r w:rsidRPr="008D1AA3">
              <w:rPr>
                <w:b/>
                <w:bCs/>
                <w:color w:val="0F243E"/>
              </w:rPr>
              <w:t>-8,07%</w:t>
            </w:r>
          </w:p>
        </w:tc>
      </w:tr>
      <w:tr w:rsidR="00511E62" w:rsidRPr="008D1AA3" w:rsidTr="008C3922">
        <w:tc>
          <w:tcPr>
            <w:tcW w:w="2376" w:type="dxa"/>
            <w:shd w:val="clear" w:color="auto" w:fill="76923C"/>
            <w:vAlign w:val="center"/>
          </w:tcPr>
          <w:p w:rsidR="00511E62" w:rsidRPr="008D1AA3" w:rsidRDefault="00511E62" w:rsidP="002013E4">
            <w:pPr>
              <w:spacing w:line="480" w:lineRule="auto"/>
              <w:rPr>
                <w:color w:val="0F243E"/>
              </w:rPr>
            </w:pPr>
            <w:r w:rsidRPr="008D1AA3">
              <w:rPr>
                <w:color w:val="0F243E"/>
                <w:lang w:val="en-US"/>
              </w:rPr>
              <w:t xml:space="preserve">EBITDA </w:t>
            </w:r>
          </w:p>
        </w:tc>
        <w:tc>
          <w:tcPr>
            <w:tcW w:w="1134" w:type="dxa"/>
            <w:vAlign w:val="center"/>
          </w:tcPr>
          <w:p w:rsidR="00511E62" w:rsidRPr="008D1AA3" w:rsidRDefault="00511E62" w:rsidP="002013E4">
            <w:pPr>
              <w:spacing w:line="480" w:lineRule="auto"/>
              <w:jc w:val="center"/>
              <w:rPr>
                <w:b/>
                <w:color w:val="0F243E"/>
              </w:rPr>
            </w:pPr>
            <w:r w:rsidRPr="008D1AA3">
              <w:rPr>
                <w:b/>
                <w:color w:val="0F243E"/>
              </w:rPr>
              <w:t>14,31</w:t>
            </w:r>
          </w:p>
        </w:tc>
        <w:tc>
          <w:tcPr>
            <w:tcW w:w="1276" w:type="dxa"/>
            <w:vAlign w:val="center"/>
          </w:tcPr>
          <w:p w:rsidR="00511E62" w:rsidRPr="008D1AA3" w:rsidRDefault="00511E62" w:rsidP="002013E4">
            <w:pPr>
              <w:spacing w:line="480" w:lineRule="auto"/>
              <w:jc w:val="center"/>
              <w:rPr>
                <w:b/>
                <w:color w:val="0F243E"/>
              </w:rPr>
            </w:pPr>
            <w:r w:rsidRPr="008D1AA3">
              <w:rPr>
                <w:b/>
                <w:color w:val="0F243E"/>
              </w:rPr>
              <w:t>13,88</w:t>
            </w:r>
          </w:p>
        </w:tc>
        <w:tc>
          <w:tcPr>
            <w:tcW w:w="1701" w:type="dxa"/>
            <w:vAlign w:val="bottom"/>
          </w:tcPr>
          <w:p w:rsidR="00511E62" w:rsidRPr="008D1AA3" w:rsidRDefault="00511E62" w:rsidP="002013E4">
            <w:pPr>
              <w:spacing w:line="480" w:lineRule="auto"/>
              <w:jc w:val="center"/>
              <w:rPr>
                <w:b/>
                <w:color w:val="0F243E"/>
              </w:rPr>
            </w:pPr>
            <w:r w:rsidRPr="008D1AA3">
              <w:rPr>
                <w:b/>
                <w:color w:val="0F243E"/>
              </w:rPr>
              <w:t>3,1%</w:t>
            </w:r>
          </w:p>
        </w:tc>
        <w:tc>
          <w:tcPr>
            <w:tcW w:w="1418" w:type="dxa"/>
          </w:tcPr>
          <w:p w:rsidR="00511E62" w:rsidRPr="008D1AA3" w:rsidRDefault="00511E62" w:rsidP="002013E4">
            <w:pPr>
              <w:jc w:val="right"/>
              <w:rPr>
                <w:b/>
                <w:bCs/>
                <w:color w:val="0F243E"/>
              </w:rPr>
            </w:pPr>
            <w:r w:rsidRPr="008D1AA3">
              <w:rPr>
                <w:b/>
                <w:bCs/>
                <w:color w:val="0F243E"/>
              </w:rPr>
              <w:t>4,15</w:t>
            </w:r>
          </w:p>
        </w:tc>
        <w:tc>
          <w:tcPr>
            <w:tcW w:w="1417" w:type="dxa"/>
          </w:tcPr>
          <w:p w:rsidR="00511E62" w:rsidRPr="008D1AA3" w:rsidRDefault="00511E62" w:rsidP="002013E4">
            <w:pPr>
              <w:jc w:val="right"/>
              <w:rPr>
                <w:b/>
                <w:bCs/>
                <w:color w:val="0F243E"/>
              </w:rPr>
            </w:pPr>
            <w:r w:rsidRPr="008D1AA3">
              <w:rPr>
                <w:b/>
                <w:bCs/>
                <w:color w:val="0F243E"/>
              </w:rPr>
              <w:t>1,22</w:t>
            </w:r>
          </w:p>
        </w:tc>
        <w:tc>
          <w:tcPr>
            <w:tcW w:w="1559" w:type="dxa"/>
          </w:tcPr>
          <w:p w:rsidR="00511E62" w:rsidRPr="008D1AA3" w:rsidRDefault="00511E62" w:rsidP="002013E4">
            <w:pPr>
              <w:jc w:val="right"/>
              <w:rPr>
                <w:b/>
                <w:bCs/>
                <w:color w:val="0F243E"/>
              </w:rPr>
            </w:pPr>
            <w:r w:rsidRPr="008D1AA3">
              <w:rPr>
                <w:b/>
                <w:bCs/>
                <w:color w:val="0F243E"/>
              </w:rPr>
              <w:t>241,22%</w:t>
            </w:r>
          </w:p>
        </w:tc>
      </w:tr>
      <w:tr w:rsidR="00511E62" w:rsidRPr="008D1AA3" w:rsidTr="008C3922">
        <w:tc>
          <w:tcPr>
            <w:tcW w:w="2376" w:type="dxa"/>
            <w:shd w:val="clear" w:color="auto" w:fill="76923C"/>
            <w:vAlign w:val="center"/>
          </w:tcPr>
          <w:p w:rsidR="00511E62" w:rsidRPr="008D1AA3" w:rsidRDefault="00511E62" w:rsidP="002013E4">
            <w:pPr>
              <w:spacing w:line="480" w:lineRule="auto"/>
              <w:rPr>
                <w:color w:val="0F243E"/>
              </w:rPr>
            </w:pPr>
            <w:r w:rsidRPr="008D1AA3">
              <w:rPr>
                <w:color w:val="0F243E"/>
              </w:rPr>
              <w:t xml:space="preserve">Κέρδη Προ Φόρων </w:t>
            </w:r>
          </w:p>
        </w:tc>
        <w:tc>
          <w:tcPr>
            <w:tcW w:w="1134" w:type="dxa"/>
            <w:vAlign w:val="center"/>
          </w:tcPr>
          <w:p w:rsidR="00511E62" w:rsidRPr="008D1AA3" w:rsidRDefault="00511E62" w:rsidP="002013E4">
            <w:pPr>
              <w:spacing w:line="480" w:lineRule="auto"/>
              <w:jc w:val="center"/>
              <w:rPr>
                <w:b/>
                <w:color w:val="0F243E"/>
              </w:rPr>
            </w:pPr>
            <w:r w:rsidRPr="008D1AA3">
              <w:rPr>
                <w:b/>
                <w:color w:val="0F243E"/>
              </w:rPr>
              <w:t>0,29</w:t>
            </w:r>
          </w:p>
        </w:tc>
        <w:tc>
          <w:tcPr>
            <w:tcW w:w="1276" w:type="dxa"/>
            <w:vAlign w:val="center"/>
          </w:tcPr>
          <w:p w:rsidR="00511E62" w:rsidRPr="008D1AA3" w:rsidRDefault="00511E62" w:rsidP="002013E4">
            <w:pPr>
              <w:spacing w:line="480" w:lineRule="auto"/>
              <w:jc w:val="center"/>
              <w:rPr>
                <w:b/>
                <w:color w:val="0F243E"/>
              </w:rPr>
            </w:pPr>
            <w:r w:rsidRPr="008D1AA3">
              <w:rPr>
                <w:b/>
                <w:color w:val="0F243E"/>
              </w:rPr>
              <w:t>4,11</w:t>
            </w:r>
          </w:p>
        </w:tc>
        <w:tc>
          <w:tcPr>
            <w:tcW w:w="1701" w:type="dxa"/>
            <w:vAlign w:val="bottom"/>
          </w:tcPr>
          <w:p w:rsidR="00511E62" w:rsidRPr="008D1AA3" w:rsidRDefault="00511E62" w:rsidP="002013E4">
            <w:pPr>
              <w:spacing w:line="480" w:lineRule="auto"/>
              <w:jc w:val="center"/>
              <w:rPr>
                <w:b/>
                <w:color w:val="0F243E"/>
              </w:rPr>
            </w:pPr>
            <w:r w:rsidRPr="008D1AA3">
              <w:rPr>
                <w:b/>
                <w:color w:val="0F243E"/>
              </w:rPr>
              <w:t>-93,0%</w:t>
            </w:r>
          </w:p>
        </w:tc>
        <w:tc>
          <w:tcPr>
            <w:tcW w:w="1418" w:type="dxa"/>
          </w:tcPr>
          <w:p w:rsidR="00511E62" w:rsidRPr="008D1AA3" w:rsidRDefault="00511E62" w:rsidP="002013E4">
            <w:pPr>
              <w:jc w:val="right"/>
              <w:rPr>
                <w:b/>
                <w:bCs/>
                <w:color w:val="0F243E"/>
              </w:rPr>
            </w:pPr>
            <w:r w:rsidRPr="008D1AA3">
              <w:rPr>
                <w:b/>
                <w:bCs/>
                <w:color w:val="0F243E"/>
              </w:rPr>
              <w:t>-1,21</w:t>
            </w:r>
          </w:p>
        </w:tc>
        <w:tc>
          <w:tcPr>
            <w:tcW w:w="1417" w:type="dxa"/>
          </w:tcPr>
          <w:p w:rsidR="00511E62" w:rsidRPr="008D1AA3" w:rsidRDefault="00511E62" w:rsidP="002013E4">
            <w:pPr>
              <w:jc w:val="right"/>
              <w:rPr>
                <w:b/>
                <w:bCs/>
                <w:color w:val="0F243E"/>
              </w:rPr>
            </w:pPr>
            <w:r w:rsidRPr="008D1AA3">
              <w:rPr>
                <w:b/>
                <w:bCs/>
                <w:color w:val="0F243E"/>
              </w:rPr>
              <w:t>-2,16</w:t>
            </w:r>
          </w:p>
        </w:tc>
        <w:tc>
          <w:tcPr>
            <w:tcW w:w="1559" w:type="dxa"/>
          </w:tcPr>
          <w:p w:rsidR="00511E62" w:rsidRPr="008D1AA3" w:rsidRDefault="00511E62" w:rsidP="002013E4">
            <w:pPr>
              <w:jc w:val="right"/>
              <w:rPr>
                <w:b/>
                <w:bCs/>
                <w:color w:val="0F243E"/>
              </w:rPr>
            </w:pPr>
            <w:r w:rsidRPr="008D1AA3">
              <w:rPr>
                <w:b/>
                <w:bCs/>
                <w:color w:val="0F243E"/>
              </w:rPr>
              <w:t>44,12%</w:t>
            </w:r>
          </w:p>
        </w:tc>
      </w:tr>
      <w:tr w:rsidR="00511E62" w:rsidRPr="008D1AA3" w:rsidTr="008C3922">
        <w:tc>
          <w:tcPr>
            <w:tcW w:w="2376" w:type="dxa"/>
            <w:tcBorders>
              <w:bottom w:val="single" w:sz="18" w:space="0" w:color="auto"/>
            </w:tcBorders>
            <w:shd w:val="clear" w:color="auto" w:fill="76923C"/>
            <w:vAlign w:val="center"/>
          </w:tcPr>
          <w:p w:rsidR="00511E62" w:rsidRPr="008D1AA3" w:rsidRDefault="00511E62" w:rsidP="002013E4">
            <w:pPr>
              <w:spacing w:line="480" w:lineRule="auto"/>
              <w:rPr>
                <w:color w:val="0F243E"/>
                <w:lang w:val="en-US"/>
              </w:rPr>
            </w:pPr>
            <w:r w:rsidRPr="008D1AA3">
              <w:rPr>
                <w:color w:val="0F243E"/>
              </w:rPr>
              <w:t>Καθαρά Κέρδη (ζημίες)</w:t>
            </w:r>
          </w:p>
        </w:tc>
        <w:tc>
          <w:tcPr>
            <w:tcW w:w="1134" w:type="dxa"/>
            <w:tcBorders>
              <w:bottom w:val="single" w:sz="18" w:space="0" w:color="auto"/>
            </w:tcBorders>
            <w:vAlign w:val="center"/>
          </w:tcPr>
          <w:p w:rsidR="00511E62" w:rsidRPr="008D1AA3" w:rsidRDefault="00511E62" w:rsidP="002013E4">
            <w:pPr>
              <w:spacing w:line="480" w:lineRule="auto"/>
              <w:jc w:val="center"/>
              <w:rPr>
                <w:b/>
                <w:color w:val="0F243E"/>
              </w:rPr>
            </w:pPr>
            <w:r w:rsidRPr="008D1AA3">
              <w:rPr>
                <w:b/>
                <w:color w:val="0F243E"/>
              </w:rPr>
              <w:t>-0,87</w:t>
            </w:r>
          </w:p>
        </w:tc>
        <w:tc>
          <w:tcPr>
            <w:tcW w:w="1276" w:type="dxa"/>
            <w:tcBorders>
              <w:bottom w:val="single" w:sz="18" w:space="0" w:color="auto"/>
            </w:tcBorders>
            <w:vAlign w:val="center"/>
          </w:tcPr>
          <w:p w:rsidR="00511E62" w:rsidRPr="008D1AA3" w:rsidRDefault="00511E62" w:rsidP="002013E4">
            <w:pPr>
              <w:spacing w:line="480" w:lineRule="auto"/>
              <w:jc w:val="center"/>
              <w:rPr>
                <w:b/>
                <w:color w:val="0F243E"/>
              </w:rPr>
            </w:pPr>
            <w:r w:rsidRPr="008D1AA3">
              <w:rPr>
                <w:b/>
                <w:color w:val="0F243E"/>
              </w:rPr>
              <w:t>-1,15</w:t>
            </w:r>
          </w:p>
        </w:tc>
        <w:tc>
          <w:tcPr>
            <w:tcW w:w="1701" w:type="dxa"/>
            <w:tcBorders>
              <w:bottom w:val="single" w:sz="18" w:space="0" w:color="auto"/>
            </w:tcBorders>
            <w:vAlign w:val="bottom"/>
          </w:tcPr>
          <w:p w:rsidR="00511E62" w:rsidRPr="008D1AA3" w:rsidRDefault="00511E62" w:rsidP="002013E4">
            <w:pPr>
              <w:spacing w:line="480" w:lineRule="auto"/>
              <w:jc w:val="center"/>
              <w:rPr>
                <w:b/>
                <w:color w:val="0F243E"/>
              </w:rPr>
            </w:pPr>
            <w:r w:rsidRPr="008D1AA3">
              <w:rPr>
                <w:b/>
                <w:color w:val="0F243E"/>
              </w:rPr>
              <w:t>24,7%</w:t>
            </w:r>
          </w:p>
        </w:tc>
        <w:tc>
          <w:tcPr>
            <w:tcW w:w="1418" w:type="dxa"/>
            <w:tcBorders>
              <w:bottom w:val="single" w:sz="18" w:space="0" w:color="auto"/>
            </w:tcBorders>
          </w:tcPr>
          <w:p w:rsidR="00511E62" w:rsidRPr="008D1AA3" w:rsidRDefault="00511E62" w:rsidP="002013E4">
            <w:pPr>
              <w:jc w:val="right"/>
              <w:rPr>
                <w:b/>
                <w:bCs/>
                <w:color w:val="0F243E"/>
              </w:rPr>
            </w:pPr>
            <w:r w:rsidRPr="008D1AA3">
              <w:rPr>
                <w:b/>
                <w:bCs/>
                <w:color w:val="0F243E"/>
              </w:rPr>
              <w:t>-1,45</w:t>
            </w:r>
          </w:p>
        </w:tc>
        <w:tc>
          <w:tcPr>
            <w:tcW w:w="1417" w:type="dxa"/>
            <w:tcBorders>
              <w:bottom w:val="single" w:sz="18" w:space="0" w:color="auto"/>
            </w:tcBorders>
          </w:tcPr>
          <w:p w:rsidR="00511E62" w:rsidRPr="008D1AA3" w:rsidRDefault="00511E62" w:rsidP="002013E4">
            <w:pPr>
              <w:jc w:val="right"/>
              <w:rPr>
                <w:b/>
                <w:bCs/>
                <w:color w:val="0F243E"/>
              </w:rPr>
            </w:pPr>
            <w:r w:rsidRPr="008D1AA3">
              <w:rPr>
                <w:b/>
                <w:bCs/>
                <w:color w:val="0F243E"/>
              </w:rPr>
              <w:t>-2,37</w:t>
            </w:r>
          </w:p>
        </w:tc>
        <w:tc>
          <w:tcPr>
            <w:tcW w:w="1559" w:type="dxa"/>
            <w:tcBorders>
              <w:bottom w:val="single" w:sz="18" w:space="0" w:color="auto"/>
            </w:tcBorders>
          </w:tcPr>
          <w:p w:rsidR="00511E62" w:rsidRPr="008D1AA3" w:rsidRDefault="00511E62" w:rsidP="002013E4">
            <w:pPr>
              <w:jc w:val="right"/>
              <w:rPr>
                <w:b/>
                <w:bCs/>
                <w:color w:val="0F243E"/>
              </w:rPr>
            </w:pPr>
            <w:r w:rsidRPr="008D1AA3">
              <w:rPr>
                <w:b/>
                <w:bCs/>
                <w:color w:val="0F243E"/>
              </w:rPr>
              <w:t>38,96%</w:t>
            </w:r>
          </w:p>
        </w:tc>
      </w:tr>
    </w:tbl>
    <w:p w:rsidR="00511E62" w:rsidRPr="004044E4" w:rsidRDefault="00511E62" w:rsidP="002013E4">
      <w:pPr>
        <w:ind w:firstLine="720"/>
        <w:jc w:val="both"/>
      </w:pPr>
    </w:p>
    <w:tbl>
      <w:tblPr>
        <w:tblpPr w:leftFromText="180" w:rightFromText="180" w:vertAnchor="text" w:horzAnchor="margin" w:tblpXSpec="center" w:tblpY="33"/>
        <w:tblW w:w="10881" w:type="dxa"/>
        <w:tblBorders>
          <w:top w:val="single" w:sz="18" w:space="0" w:color="auto"/>
          <w:bottom w:val="single" w:sz="18" w:space="0" w:color="auto"/>
        </w:tblBorders>
        <w:tblLayout w:type="fixed"/>
        <w:tblLook w:val="00A0"/>
      </w:tblPr>
      <w:tblGrid>
        <w:gridCol w:w="2376"/>
        <w:gridCol w:w="1276"/>
        <w:gridCol w:w="1276"/>
        <w:gridCol w:w="1559"/>
        <w:gridCol w:w="1418"/>
        <w:gridCol w:w="1417"/>
        <w:gridCol w:w="1559"/>
      </w:tblGrid>
      <w:tr w:rsidR="00511E62" w:rsidRPr="008D1AA3" w:rsidTr="006B223C">
        <w:trPr>
          <w:trHeight w:val="1174"/>
        </w:trPr>
        <w:tc>
          <w:tcPr>
            <w:tcW w:w="2376" w:type="dxa"/>
            <w:tcBorders>
              <w:top w:val="single" w:sz="18" w:space="0" w:color="auto"/>
            </w:tcBorders>
            <w:shd w:val="clear" w:color="auto" w:fill="76923C"/>
          </w:tcPr>
          <w:p w:rsidR="00511E62" w:rsidRPr="008D1AA3" w:rsidRDefault="00511E62" w:rsidP="006B223C">
            <w:pPr>
              <w:rPr>
                <w:color w:val="FFFF00"/>
              </w:rPr>
            </w:pPr>
            <w:r w:rsidRPr="008D1AA3">
              <w:rPr>
                <w:color w:val="FFFF00"/>
              </w:rPr>
              <w:t>ΙΑΣΩ Α.Ε.</w:t>
            </w:r>
          </w:p>
          <w:p w:rsidR="00511E62" w:rsidRPr="008D1AA3" w:rsidRDefault="00511E62" w:rsidP="006B223C">
            <w:pPr>
              <w:rPr>
                <w:color w:val="FFFF00"/>
              </w:rPr>
            </w:pPr>
            <w:r w:rsidRPr="008D1AA3">
              <w:rPr>
                <w:color w:val="FFFF00"/>
              </w:rPr>
              <w:t xml:space="preserve">€ εκατ. </w:t>
            </w:r>
          </w:p>
        </w:tc>
        <w:tc>
          <w:tcPr>
            <w:tcW w:w="1276" w:type="dxa"/>
            <w:tcBorders>
              <w:top w:val="single" w:sz="18" w:space="0" w:color="auto"/>
            </w:tcBorders>
            <w:shd w:val="clear" w:color="auto" w:fill="76923C"/>
          </w:tcPr>
          <w:p w:rsidR="00511E62" w:rsidRPr="008D1AA3" w:rsidRDefault="00511E62" w:rsidP="006B223C">
            <w:pPr>
              <w:jc w:val="center"/>
              <w:rPr>
                <w:color w:val="FFFF00"/>
              </w:rPr>
            </w:pPr>
            <w:r w:rsidRPr="008D1AA3">
              <w:rPr>
                <w:color w:val="FFFF00"/>
              </w:rPr>
              <w:t>9/μηνο 201</w:t>
            </w:r>
            <w:r w:rsidRPr="008D1AA3">
              <w:rPr>
                <w:color w:val="FFFF00"/>
                <w:lang w:val="en-US"/>
              </w:rPr>
              <w:t>1</w:t>
            </w:r>
          </w:p>
        </w:tc>
        <w:tc>
          <w:tcPr>
            <w:tcW w:w="1276" w:type="dxa"/>
            <w:tcBorders>
              <w:top w:val="single" w:sz="18" w:space="0" w:color="auto"/>
            </w:tcBorders>
            <w:shd w:val="clear" w:color="auto" w:fill="76923C"/>
          </w:tcPr>
          <w:p w:rsidR="00511E62" w:rsidRPr="008D1AA3" w:rsidRDefault="00511E62" w:rsidP="006B223C">
            <w:pPr>
              <w:jc w:val="center"/>
              <w:rPr>
                <w:color w:val="FFFF00"/>
              </w:rPr>
            </w:pPr>
            <w:r w:rsidRPr="008D1AA3">
              <w:rPr>
                <w:color w:val="FFFF00"/>
              </w:rPr>
              <w:t>9/μηνο 20</w:t>
            </w:r>
            <w:r w:rsidRPr="008D1AA3">
              <w:rPr>
                <w:color w:val="FFFF00"/>
                <w:lang w:val="en-US"/>
              </w:rPr>
              <w:t>1</w:t>
            </w:r>
            <w:r w:rsidRPr="008D1AA3">
              <w:rPr>
                <w:color w:val="FFFF00"/>
              </w:rPr>
              <w:t>0</w:t>
            </w:r>
          </w:p>
        </w:tc>
        <w:tc>
          <w:tcPr>
            <w:tcW w:w="1559" w:type="dxa"/>
            <w:tcBorders>
              <w:top w:val="single" w:sz="18" w:space="0" w:color="auto"/>
            </w:tcBorders>
            <w:shd w:val="clear" w:color="auto" w:fill="76923C"/>
          </w:tcPr>
          <w:p w:rsidR="00511E62" w:rsidRPr="008D1AA3" w:rsidRDefault="00511E62" w:rsidP="006B223C">
            <w:pPr>
              <w:jc w:val="center"/>
              <w:rPr>
                <w:color w:val="FFFF00"/>
              </w:rPr>
            </w:pPr>
            <w:r w:rsidRPr="008D1AA3">
              <w:rPr>
                <w:color w:val="FFFF00"/>
              </w:rPr>
              <w:t>Μεταβολή 9/μηνου</w:t>
            </w:r>
          </w:p>
        </w:tc>
        <w:tc>
          <w:tcPr>
            <w:tcW w:w="1418" w:type="dxa"/>
            <w:tcBorders>
              <w:top w:val="single" w:sz="18" w:space="0" w:color="auto"/>
            </w:tcBorders>
            <w:shd w:val="clear" w:color="auto" w:fill="76923C"/>
          </w:tcPr>
          <w:p w:rsidR="00511E62" w:rsidRPr="008D1AA3" w:rsidRDefault="00511E62" w:rsidP="006B223C">
            <w:pPr>
              <w:jc w:val="center"/>
              <w:rPr>
                <w:color w:val="FFFF00"/>
              </w:rPr>
            </w:pPr>
            <w:r w:rsidRPr="008D1AA3">
              <w:rPr>
                <w:color w:val="FFFF00"/>
              </w:rPr>
              <w:t>Γ Τρίμηνο 2011</w:t>
            </w:r>
          </w:p>
        </w:tc>
        <w:tc>
          <w:tcPr>
            <w:tcW w:w="1417" w:type="dxa"/>
            <w:tcBorders>
              <w:top w:val="single" w:sz="18" w:space="0" w:color="auto"/>
            </w:tcBorders>
            <w:shd w:val="clear" w:color="auto" w:fill="76923C"/>
          </w:tcPr>
          <w:p w:rsidR="00511E62" w:rsidRPr="008D1AA3" w:rsidRDefault="00511E62" w:rsidP="006B223C">
            <w:pPr>
              <w:jc w:val="center"/>
              <w:rPr>
                <w:color w:val="FFFF00"/>
              </w:rPr>
            </w:pPr>
            <w:r w:rsidRPr="008D1AA3">
              <w:rPr>
                <w:color w:val="FFFF00"/>
              </w:rPr>
              <w:t>Γ Τρίμηνο 2010</w:t>
            </w:r>
          </w:p>
        </w:tc>
        <w:tc>
          <w:tcPr>
            <w:tcW w:w="1559" w:type="dxa"/>
            <w:tcBorders>
              <w:top w:val="single" w:sz="18" w:space="0" w:color="auto"/>
            </w:tcBorders>
            <w:shd w:val="clear" w:color="auto" w:fill="76923C"/>
          </w:tcPr>
          <w:p w:rsidR="00511E62" w:rsidRPr="008D1AA3" w:rsidRDefault="00511E62" w:rsidP="006B223C">
            <w:pPr>
              <w:jc w:val="center"/>
              <w:rPr>
                <w:color w:val="FFFF00"/>
              </w:rPr>
            </w:pPr>
            <w:r w:rsidRPr="008D1AA3">
              <w:rPr>
                <w:color w:val="FFFF00"/>
              </w:rPr>
              <w:t>Μεταβολή Γ’ Τριμήνου</w:t>
            </w:r>
          </w:p>
        </w:tc>
      </w:tr>
      <w:tr w:rsidR="00511E62" w:rsidRPr="008D1AA3" w:rsidTr="006B223C">
        <w:tc>
          <w:tcPr>
            <w:tcW w:w="2376" w:type="dxa"/>
            <w:shd w:val="clear" w:color="auto" w:fill="76923C"/>
          </w:tcPr>
          <w:p w:rsidR="00511E62" w:rsidRPr="008D1AA3" w:rsidRDefault="00511E62" w:rsidP="006B223C">
            <w:pPr>
              <w:spacing w:line="480" w:lineRule="auto"/>
              <w:rPr>
                <w:b/>
                <w:color w:val="0F243E"/>
              </w:rPr>
            </w:pPr>
            <w:r w:rsidRPr="008D1AA3">
              <w:rPr>
                <w:b/>
                <w:color w:val="0F243E"/>
              </w:rPr>
              <w:t>Κύκλος Εργασιών *</w:t>
            </w:r>
          </w:p>
        </w:tc>
        <w:tc>
          <w:tcPr>
            <w:tcW w:w="1276" w:type="dxa"/>
            <w:vAlign w:val="center"/>
          </w:tcPr>
          <w:p w:rsidR="00511E62" w:rsidRPr="008D1AA3" w:rsidRDefault="00511E62" w:rsidP="006B223C">
            <w:pPr>
              <w:spacing w:line="480" w:lineRule="auto"/>
              <w:jc w:val="center"/>
              <w:rPr>
                <w:b/>
                <w:color w:val="0F243E"/>
              </w:rPr>
            </w:pPr>
            <w:r w:rsidRPr="008D1AA3">
              <w:rPr>
                <w:b/>
                <w:color w:val="0F243E"/>
              </w:rPr>
              <w:t>52,31</w:t>
            </w:r>
          </w:p>
        </w:tc>
        <w:tc>
          <w:tcPr>
            <w:tcW w:w="1276" w:type="dxa"/>
            <w:vAlign w:val="center"/>
          </w:tcPr>
          <w:p w:rsidR="00511E62" w:rsidRPr="008D1AA3" w:rsidRDefault="00511E62" w:rsidP="006B223C">
            <w:pPr>
              <w:spacing w:line="480" w:lineRule="auto"/>
              <w:jc w:val="center"/>
              <w:rPr>
                <w:b/>
                <w:color w:val="0F243E"/>
              </w:rPr>
            </w:pPr>
            <w:r w:rsidRPr="008D1AA3">
              <w:rPr>
                <w:b/>
                <w:color w:val="0F243E"/>
              </w:rPr>
              <w:t>67,03</w:t>
            </w:r>
          </w:p>
        </w:tc>
        <w:tc>
          <w:tcPr>
            <w:tcW w:w="1559" w:type="dxa"/>
            <w:vAlign w:val="center"/>
          </w:tcPr>
          <w:p w:rsidR="00511E62" w:rsidRPr="008D1AA3" w:rsidRDefault="00511E62" w:rsidP="006B223C">
            <w:pPr>
              <w:spacing w:line="480" w:lineRule="auto"/>
              <w:jc w:val="center"/>
              <w:rPr>
                <w:b/>
                <w:color w:val="0F243E"/>
              </w:rPr>
            </w:pPr>
            <w:r w:rsidRPr="008D1AA3">
              <w:rPr>
                <w:b/>
                <w:color w:val="0F243E"/>
              </w:rPr>
              <w:t>-22,0%</w:t>
            </w:r>
          </w:p>
        </w:tc>
        <w:tc>
          <w:tcPr>
            <w:tcW w:w="1418" w:type="dxa"/>
          </w:tcPr>
          <w:p w:rsidR="00511E62" w:rsidRPr="008D1AA3" w:rsidRDefault="00511E62" w:rsidP="006B223C">
            <w:pPr>
              <w:jc w:val="right"/>
              <w:rPr>
                <w:b/>
                <w:bCs/>
                <w:color w:val="0F243E"/>
              </w:rPr>
            </w:pPr>
            <w:r w:rsidRPr="008D1AA3">
              <w:rPr>
                <w:b/>
                <w:bCs/>
                <w:color w:val="0F243E"/>
              </w:rPr>
              <w:t>16,44</w:t>
            </w:r>
          </w:p>
        </w:tc>
        <w:tc>
          <w:tcPr>
            <w:tcW w:w="1417" w:type="dxa"/>
          </w:tcPr>
          <w:p w:rsidR="00511E62" w:rsidRPr="008D1AA3" w:rsidRDefault="00511E62" w:rsidP="006B223C">
            <w:pPr>
              <w:jc w:val="right"/>
              <w:rPr>
                <w:b/>
                <w:bCs/>
                <w:color w:val="0F243E"/>
              </w:rPr>
            </w:pPr>
            <w:r w:rsidRPr="008D1AA3">
              <w:rPr>
                <w:b/>
                <w:bCs/>
                <w:color w:val="0F243E"/>
              </w:rPr>
              <w:t>19,44</w:t>
            </w:r>
          </w:p>
        </w:tc>
        <w:tc>
          <w:tcPr>
            <w:tcW w:w="1559" w:type="dxa"/>
          </w:tcPr>
          <w:p w:rsidR="00511E62" w:rsidRPr="008D1AA3" w:rsidRDefault="00511E62" w:rsidP="006B223C">
            <w:pPr>
              <w:jc w:val="right"/>
              <w:rPr>
                <w:b/>
                <w:bCs/>
                <w:color w:val="0F243E"/>
              </w:rPr>
            </w:pPr>
            <w:r w:rsidRPr="008D1AA3">
              <w:rPr>
                <w:b/>
                <w:bCs/>
                <w:color w:val="0F243E"/>
              </w:rPr>
              <w:t>-15,41%</w:t>
            </w:r>
          </w:p>
        </w:tc>
      </w:tr>
      <w:tr w:rsidR="00511E62" w:rsidRPr="008D1AA3" w:rsidTr="006B223C">
        <w:tc>
          <w:tcPr>
            <w:tcW w:w="2376" w:type="dxa"/>
            <w:shd w:val="clear" w:color="auto" w:fill="76923C"/>
          </w:tcPr>
          <w:p w:rsidR="00511E62" w:rsidRPr="008D1AA3" w:rsidRDefault="00511E62" w:rsidP="006B223C">
            <w:pPr>
              <w:spacing w:line="480" w:lineRule="auto"/>
              <w:rPr>
                <w:b/>
                <w:color w:val="0F243E"/>
              </w:rPr>
            </w:pPr>
            <w:r w:rsidRPr="008D1AA3">
              <w:rPr>
                <w:b/>
                <w:color w:val="0F243E"/>
              </w:rPr>
              <w:t xml:space="preserve">EBITDA </w:t>
            </w:r>
          </w:p>
        </w:tc>
        <w:tc>
          <w:tcPr>
            <w:tcW w:w="1276" w:type="dxa"/>
            <w:vAlign w:val="center"/>
          </w:tcPr>
          <w:p w:rsidR="00511E62" w:rsidRPr="008D1AA3" w:rsidRDefault="00511E62" w:rsidP="006B223C">
            <w:pPr>
              <w:spacing w:line="480" w:lineRule="auto"/>
              <w:jc w:val="center"/>
              <w:rPr>
                <w:b/>
                <w:color w:val="0F243E"/>
              </w:rPr>
            </w:pPr>
            <w:r w:rsidRPr="008D1AA3">
              <w:rPr>
                <w:b/>
                <w:color w:val="0F243E"/>
              </w:rPr>
              <w:t>13,87</w:t>
            </w:r>
          </w:p>
        </w:tc>
        <w:tc>
          <w:tcPr>
            <w:tcW w:w="1276" w:type="dxa"/>
            <w:vAlign w:val="center"/>
          </w:tcPr>
          <w:p w:rsidR="00511E62" w:rsidRPr="008D1AA3" w:rsidRDefault="00511E62" w:rsidP="006B223C">
            <w:pPr>
              <w:spacing w:line="480" w:lineRule="auto"/>
              <w:jc w:val="center"/>
              <w:rPr>
                <w:b/>
                <w:color w:val="0F243E"/>
              </w:rPr>
            </w:pPr>
            <w:r w:rsidRPr="008D1AA3">
              <w:rPr>
                <w:b/>
                <w:color w:val="0F243E"/>
              </w:rPr>
              <w:t>15,51</w:t>
            </w:r>
          </w:p>
        </w:tc>
        <w:tc>
          <w:tcPr>
            <w:tcW w:w="1559" w:type="dxa"/>
            <w:vAlign w:val="center"/>
          </w:tcPr>
          <w:p w:rsidR="00511E62" w:rsidRPr="008D1AA3" w:rsidRDefault="00511E62" w:rsidP="006B223C">
            <w:pPr>
              <w:spacing w:line="480" w:lineRule="auto"/>
              <w:jc w:val="center"/>
              <w:rPr>
                <w:b/>
                <w:color w:val="0F243E"/>
              </w:rPr>
            </w:pPr>
            <w:r w:rsidRPr="008D1AA3">
              <w:rPr>
                <w:b/>
                <w:color w:val="0F243E"/>
              </w:rPr>
              <w:t>-10,5%</w:t>
            </w:r>
          </w:p>
        </w:tc>
        <w:tc>
          <w:tcPr>
            <w:tcW w:w="1418" w:type="dxa"/>
          </w:tcPr>
          <w:p w:rsidR="00511E62" w:rsidRPr="008D1AA3" w:rsidRDefault="00511E62" w:rsidP="006B223C">
            <w:pPr>
              <w:jc w:val="right"/>
              <w:rPr>
                <w:b/>
                <w:bCs/>
                <w:color w:val="0F243E"/>
              </w:rPr>
            </w:pPr>
            <w:r w:rsidRPr="008D1AA3">
              <w:rPr>
                <w:b/>
                <w:bCs/>
                <w:color w:val="0F243E"/>
              </w:rPr>
              <w:t>4,34</w:t>
            </w:r>
          </w:p>
        </w:tc>
        <w:tc>
          <w:tcPr>
            <w:tcW w:w="1417" w:type="dxa"/>
          </w:tcPr>
          <w:p w:rsidR="00511E62" w:rsidRPr="008D1AA3" w:rsidRDefault="00511E62" w:rsidP="006B223C">
            <w:pPr>
              <w:jc w:val="right"/>
              <w:rPr>
                <w:b/>
                <w:bCs/>
                <w:color w:val="0F243E"/>
              </w:rPr>
            </w:pPr>
            <w:r w:rsidRPr="008D1AA3">
              <w:rPr>
                <w:b/>
                <w:bCs/>
                <w:color w:val="0F243E"/>
              </w:rPr>
              <w:t>3,21</w:t>
            </w:r>
          </w:p>
        </w:tc>
        <w:tc>
          <w:tcPr>
            <w:tcW w:w="1559" w:type="dxa"/>
          </w:tcPr>
          <w:p w:rsidR="00511E62" w:rsidRPr="008D1AA3" w:rsidRDefault="00511E62" w:rsidP="006B223C">
            <w:pPr>
              <w:jc w:val="right"/>
              <w:rPr>
                <w:b/>
                <w:bCs/>
                <w:color w:val="0F243E"/>
              </w:rPr>
            </w:pPr>
            <w:r w:rsidRPr="008D1AA3">
              <w:rPr>
                <w:b/>
                <w:bCs/>
                <w:color w:val="0F243E"/>
              </w:rPr>
              <w:t>35,12%</w:t>
            </w:r>
          </w:p>
        </w:tc>
      </w:tr>
      <w:tr w:rsidR="00511E62" w:rsidRPr="008D1AA3" w:rsidTr="006B223C">
        <w:tc>
          <w:tcPr>
            <w:tcW w:w="2376" w:type="dxa"/>
            <w:shd w:val="clear" w:color="auto" w:fill="76923C"/>
          </w:tcPr>
          <w:p w:rsidR="00511E62" w:rsidRPr="008D1AA3" w:rsidRDefault="00511E62" w:rsidP="006B223C">
            <w:pPr>
              <w:spacing w:line="480" w:lineRule="auto"/>
              <w:rPr>
                <w:b/>
                <w:color w:val="0F243E"/>
              </w:rPr>
            </w:pPr>
            <w:r w:rsidRPr="008D1AA3">
              <w:rPr>
                <w:b/>
                <w:color w:val="0F243E"/>
              </w:rPr>
              <w:t xml:space="preserve">Κέρδη Προ Φόρων </w:t>
            </w:r>
          </w:p>
        </w:tc>
        <w:tc>
          <w:tcPr>
            <w:tcW w:w="1276" w:type="dxa"/>
            <w:vAlign w:val="center"/>
          </w:tcPr>
          <w:p w:rsidR="00511E62" w:rsidRPr="008D1AA3" w:rsidRDefault="00511E62" w:rsidP="006B223C">
            <w:pPr>
              <w:spacing w:line="480" w:lineRule="auto"/>
              <w:jc w:val="center"/>
              <w:rPr>
                <w:b/>
                <w:color w:val="0F243E"/>
              </w:rPr>
            </w:pPr>
            <w:r w:rsidRPr="008D1AA3">
              <w:rPr>
                <w:b/>
                <w:color w:val="0F243E"/>
              </w:rPr>
              <w:t>8,07</w:t>
            </w:r>
          </w:p>
        </w:tc>
        <w:tc>
          <w:tcPr>
            <w:tcW w:w="1276" w:type="dxa"/>
            <w:vAlign w:val="center"/>
          </w:tcPr>
          <w:p w:rsidR="00511E62" w:rsidRPr="008D1AA3" w:rsidRDefault="00511E62" w:rsidP="006B223C">
            <w:pPr>
              <w:spacing w:line="480" w:lineRule="auto"/>
              <w:jc w:val="center"/>
              <w:rPr>
                <w:b/>
                <w:color w:val="0F243E"/>
              </w:rPr>
            </w:pPr>
            <w:r w:rsidRPr="008D1AA3">
              <w:rPr>
                <w:b/>
                <w:color w:val="0F243E"/>
              </w:rPr>
              <w:t>11,49</w:t>
            </w:r>
          </w:p>
        </w:tc>
        <w:tc>
          <w:tcPr>
            <w:tcW w:w="1559" w:type="dxa"/>
            <w:vAlign w:val="center"/>
          </w:tcPr>
          <w:p w:rsidR="00511E62" w:rsidRPr="008D1AA3" w:rsidRDefault="00511E62" w:rsidP="006B223C">
            <w:pPr>
              <w:spacing w:line="480" w:lineRule="auto"/>
              <w:jc w:val="center"/>
              <w:rPr>
                <w:b/>
                <w:color w:val="0F243E"/>
              </w:rPr>
            </w:pPr>
            <w:r w:rsidRPr="008D1AA3">
              <w:rPr>
                <w:b/>
                <w:color w:val="0F243E"/>
              </w:rPr>
              <w:t>-29,8%</w:t>
            </w:r>
          </w:p>
        </w:tc>
        <w:tc>
          <w:tcPr>
            <w:tcW w:w="1418" w:type="dxa"/>
          </w:tcPr>
          <w:p w:rsidR="00511E62" w:rsidRPr="008D1AA3" w:rsidRDefault="00511E62" w:rsidP="006B223C">
            <w:pPr>
              <w:jc w:val="right"/>
              <w:rPr>
                <w:b/>
                <w:bCs/>
                <w:color w:val="0F243E"/>
              </w:rPr>
            </w:pPr>
            <w:r w:rsidRPr="008D1AA3">
              <w:rPr>
                <w:b/>
                <w:bCs/>
                <w:color w:val="0F243E"/>
              </w:rPr>
              <w:t>2,18</w:t>
            </w:r>
          </w:p>
        </w:tc>
        <w:tc>
          <w:tcPr>
            <w:tcW w:w="1417" w:type="dxa"/>
          </w:tcPr>
          <w:p w:rsidR="00511E62" w:rsidRPr="008D1AA3" w:rsidRDefault="00511E62" w:rsidP="006B223C">
            <w:pPr>
              <w:jc w:val="right"/>
              <w:rPr>
                <w:b/>
                <w:bCs/>
                <w:color w:val="0F243E"/>
              </w:rPr>
            </w:pPr>
            <w:r w:rsidRPr="008D1AA3">
              <w:rPr>
                <w:b/>
                <w:bCs/>
                <w:color w:val="0F243E"/>
              </w:rPr>
              <w:t>1,57</w:t>
            </w:r>
          </w:p>
        </w:tc>
        <w:tc>
          <w:tcPr>
            <w:tcW w:w="1559" w:type="dxa"/>
          </w:tcPr>
          <w:p w:rsidR="00511E62" w:rsidRPr="008D1AA3" w:rsidRDefault="00511E62" w:rsidP="006B223C">
            <w:pPr>
              <w:jc w:val="right"/>
              <w:rPr>
                <w:b/>
                <w:bCs/>
                <w:color w:val="0F243E"/>
              </w:rPr>
            </w:pPr>
            <w:r w:rsidRPr="008D1AA3">
              <w:rPr>
                <w:b/>
                <w:bCs/>
                <w:color w:val="0F243E"/>
              </w:rPr>
              <w:t>39,12%</w:t>
            </w:r>
          </w:p>
        </w:tc>
      </w:tr>
      <w:tr w:rsidR="00511E62" w:rsidRPr="008D1AA3" w:rsidTr="006B223C">
        <w:tc>
          <w:tcPr>
            <w:tcW w:w="2376" w:type="dxa"/>
            <w:tcBorders>
              <w:bottom w:val="single" w:sz="18" w:space="0" w:color="auto"/>
            </w:tcBorders>
            <w:shd w:val="clear" w:color="auto" w:fill="76923C"/>
          </w:tcPr>
          <w:p w:rsidR="00511E62" w:rsidRPr="008D1AA3" w:rsidRDefault="00511E62" w:rsidP="006B223C">
            <w:pPr>
              <w:spacing w:line="480" w:lineRule="auto"/>
              <w:rPr>
                <w:b/>
                <w:color w:val="0F243E"/>
              </w:rPr>
            </w:pPr>
            <w:r w:rsidRPr="008D1AA3">
              <w:rPr>
                <w:b/>
                <w:color w:val="0F243E"/>
              </w:rPr>
              <w:t>Καθαρά Κέρδη</w:t>
            </w:r>
          </w:p>
        </w:tc>
        <w:tc>
          <w:tcPr>
            <w:tcW w:w="1276" w:type="dxa"/>
            <w:tcBorders>
              <w:bottom w:val="single" w:sz="18" w:space="0" w:color="auto"/>
            </w:tcBorders>
            <w:vAlign w:val="center"/>
          </w:tcPr>
          <w:p w:rsidR="00511E62" w:rsidRPr="008D1AA3" w:rsidRDefault="00511E62" w:rsidP="006B223C">
            <w:pPr>
              <w:spacing w:line="480" w:lineRule="auto"/>
              <w:jc w:val="center"/>
              <w:rPr>
                <w:b/>
                <w:color w:val="0F243E"/>
              </w:rPr>
            </w:pPr>
            <w:r w:rsidRPr="008D1AA3">
              <w:rPr>
                <w:b/>
                <w:color w:val="0F243E"/>
              </w:rPr>
              <w:t>6,17</w:t>
            </w:r>
          </w:p>
        </w:tc>
        <w:tc>
          <w:tcPr>
            <w:tcW w:w="1276" w:type="dxa"/>
            <w:tcBorders>
              <w:bottom w:val="single" w:sz="18" w:space="0" w:color="auto"/>
            </w:tcBorders>
            <w:vAlign w:val="center"/>
          </w:tcPr>
          <w:p w:rsidR="00511E62" w:rsidRPr="008D1AA3" w:rsidRDefault="00511E62" w:rsidP="006B223C">
            <w:pPr>
              <w:spacing w:line="480" w:lineRule="auto"/>
              <w:jc w:val="center"/>
              <w:rPr>
                <w:b/>
                <w:color w:val="0F243E"/>
              </w:rPr>
            </w:pPr>
            <w:r w:rsidRPr="008D1AA3">
              <w:rPr>
                <w:b/>
                <w:color w:val="0F243E"/>
              </w:rPr>
              <w:t>5,68</w:t>
            </w:r>
          </w:p>
        </w:tc>
        <w:tc>
          <w:tcPr>
            <w:tcW w:w="1559" w:type="dxa"/>
            <w:tcBorders>
              <w:bottom w:val="single" w:sz="18" w:space="0" w:color="auto"/>
            </w:tcBorders>
            <w:vAlign w:val="center"/>
          </w:tcPr>
          <w:p w:rsidR="00511E62" w:rsidRPr="008D1AA3" w:rsidRDefault="00511E62" w:rsidP="006B223C">
            <w:pPr>
              <w:spacing w:line="480" w:lineRule="auto"/>
              <w:jc w:val="center"/>
              <w:rPr>
                <w:b/>
                <w:color w:val="0F243E"/>
              </w:rPr>
            </w:pPr>
            <w:r w:rsidRPr="008D1AA3">
              <w:rPr>
                <w:b/>
                <w:color w:val="0F243E"/>
              </w:rPr>
              <w:t>8,6%</w:t>
            </w:r>
          </w:p>
        </w:tc>
        <w:tc>
          <w:tcPr>
            <w:tcW w:w="1418" w:type="dxa"/>
            <w:tcBorders>
              <w:bottom w:val="single" w:sz="18" w:space="0" w:color="auto"/>
            </w:tcBorders>
          </w:tcPr>
          <w:p w:rsidR="00511E62" w:rsidRPr="008D1AA3" w:rsidRDefault="00511E62" w:rsidP="006B223C">
            <w:pPr>
              <w:jc w:val="right"/>
              <w:rPr>
                <w:b/>
                <w:bCs/>
                <w:color w:val="0F243E"/>
              </w:rPr>
            </w:pPr>
            <w:r w:rsidRPr="008D1AA3">
              <w:rPr>
                <w:b/>
                <w:bCs/>
                <w:color w:val="0F243E"/>
              </w:rPr>
              <w:t>1,66</w:t>
            </w:r>
          </w:p>
        </w:tc>
        <w:tc>
          <w:tcPr>
            <w:tcW w:w="1417" w:type="dxa"/>
            <w:tcBorders>
              <w:bottom w:val="single" w:sz="18" w:space="0" w:color="auto"/>
            </w:tcBorders>
          </w:tcPr>
          <w:p w:rsidR="00511E62" w:rsidRPr="008D1AA3" w:rsidRDefault="00511E62" w:rsidP="006B223C">
            <w:pPr>
              <w:jc w:val="right"/>
              <w:rPr>
                <w:b/>
                <w:bCs/>
                <w:color w:val="0F243E"/>
              </w:rPr>
            </w:pPr>
            <w:r w:rsidRPr="008D1AA3">
              <w:rPr>
                <w:b/>
                <w:bCs/>
                <w:color w:val="0F243E"/>
              </w:rPr>
              <w:t>0,83</w:t>
            </w:r>
          </w:p>
        </w:tc>
        <w:tc>
          <w:tcPr>
            <w:tcW w:w="1559" w:type="dxa"/>
            <w:tcBorders>
              <w:bottom w:val="single" w:sz="18" w:space="0" w:color="auto"/>
            </w:tcBorders>
          </w:tcPr>
          <w:p w:rsidR="00511E62" w:rsidRPr="008D1AA3" w:rsidRDefault="00511E62" w:rsidP="006B223C">
            <w:pPr>
              <w:jc w:val="right"/>
              <w:rPr>
                <w:b/>
                <w:bCs/>
                <w:color w:val="0F243E"/>
              </w:rPr>
            </w:pPr>
            <w:r w:rsidRPr="008D1AA3">
              <w:rPr>
                <w:b/>
                <w:bCs/>
                <w:color w:val="0F243E"/>
              </w:rPr>
              <w:t>98,85%</w:t>
            </w:r>
          </w:p>
        </w:tc>
      </w:tr>
    </w:tbl>
    <w:p w:rsidR="00511E62" w:rsidRDefault="00511E62" w:rsidP="006B223C">
      <w:pPr>
        <w:jc w:val="both"/>
        <w:rPr>
          <w:sz w:val="24"/>
          <w:szCs w:val="24"/>
        </w:rPr>
      </w:pPr>
    </w:p>
    <w:p w:rsidR="00511E62" w:rsidRPr="004044E4" w:rsidRDefault="00511E62" w:rsidP="006B223C">
      <w:pPr>
        <w:jc w:val="both"/>
        <w:rPr>
          <w:sz w:val="24"/>
          <w:szCs w:val="24"/>
        </w:rPr>
      </w:pPr>
      <w:r w:rsidRPr="004044E4">
        <w:rPr>
          <w:sz w:val="24"/>
          <w:szCs w:val="24"/>
        </w:rPr>
        <w:t>Οι οικονομικές καταστάσεις του τριμήνου έχουν ήδη αναρτηθεί στην ιστοσελίδα του Χρηματιστηρίου Αθηνών (</w:t>
      </w:r>
      <w:hyperlink r:id="rId7" w:history="1">
        <w:r w:rsidRPr="004044E4">
          <w:rPr>
            <w:rStyle w:val="Hyperlink"/>
            <w:sz w:val="24"/>
            <w:szCs w:val="24"/>
          </w:rPr>
          <w:t>www.ase.gr</w:t>
        </w:r>
      </w:hyperlink>
      <w:r w:rsidRPr="004044E4">
        <w:rPr>
          <w:sz w:val="24"/>
          <w:szCs w:val="24"/>
        </w:rPr>
        <w:t>) και της εταιρείας</w:t>
      </w:r>
      <w:r>
        <w:rPr>
          <w:sz w:val="24"/>
          <w:szCs w:val="24"/>
        </w:rPr>
        <w:t xml:space="preserve"> </w:t>
      </w:r>
      <w:r w:rsidRPr="004044E4">
        <w:rPr>
          <w:sz w:val="24"/>
          <w:szCs w:val="24"/>
        </w:rPr>
        <w:t>(</w:t>
      </w:r>
      <w:hyperlink r:id="rId8" w:history="1">
        <w:r w:rsidRPr="00FD0F3A">
          <w:rPr>
            <w:rStyle w:val="Hyperlink"/>
            <w:sz w:val="24"/>
            <w:szCs w:val="24"/>
          </w:rPr>
          <w:t>www.</w:t>
        </w:r>
        <w:r w:rsidRPr="00FD0F3A">
          <w:rPr>
            <w:rStyle w:val="Hyperlink"/>
            <w:sz w:val="24"/>
            <w:szCs w:val="24"/>
            <w:lang w:val="en-US"/>
          </w:rPr>
          <w:t>iaso</w:t>
        </w:r>
        <w:r w:rsidRPr="00FD0F3A">
          <w:rPr>
            <w:rStyle w:val="Hyperlink"/>
            <w:sz w:val="24"/>
            <w:szCs w:val="24"/>
          </w:rPr>
          <w:t>.gr</w:t>
        </w:r>
      </w:hyperlink>
      <w:r w:rsidRPr="00C355CD">
        <w:rPr>
          <w:sz w:val="24"/>
          <w:szCs w:val="24"/>
        </w:rPr>
        <w:t xml:space="preserve">) </w:t>
      </w:r>
      <w:r w:rsidRPr="004044E4">
        <w:rPr>
          <w:sz w:val="24"/>
          <w:szCs w:val="24"/>
        </w:rPr>
        <w:t xml:space="preserve"> </w:t>
      </w:r>
    </w:p>
    <w:p w:rsidR="00511E62" w:rsidRDefault="00511E62" w:rsidP="002013E4">
      <w:pPr>
        <w:ind w:firstLine="720"/>
        <w:jc w:val="both"/>
        <w:rPr>
          <w:sz w:val="32"/>
          <w:szCs w:val="32"/>
        </w:rPr>
      </w:pPr>
    </w:p>
    <w:p w:rsidR="00511E62" w:rsidRDefault="00511E62" w:rsidP="002013E4">
      <w:pPr>
        <w:ind w:firstLine="720"/>
        <w:jc w:val="both"/>
        <w:rPr>
          <w:sz w:val="32"/>
          <w:szCs w:val="32"/>
        </w:rPr>
      </w:pPr>
    </w:p>
    <w:sectPr w:rsidR="00511E62" w:rsidSect="007165D6">
      <w:footerReference w:type="default" r:id="rId9"/>
      <w:pgSz w:w="12240" w:h="15840"/>
      <w:pgMar w:top="5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E62" w:rsidRDefault="00511E62" w:rsidP="00026390">
      <w:pPr>
        <w:spacing w:after="0" w:line="240" w:lineRule="auto"/>
      </w:pPr>
      <w:r>
        <w:separator/>
      </w:r>
    </w:p>
  </w:endnote>
  <w:endnote w:type="continuationSeparator" w:id="1">
    <w:p w:rsidR="00511E62" w:rsidRDefault="00511E62" w:rsidP="000263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E62" w:rsidRPr="00845DC4" w:rsidRDefault="00511E62" w:rsidP="00566ECA">
    <w:pPr>
      <w:jc w:val="both"/>
      <w:rPr>
        <w:sz w:val="32"/>
        <w:szCs w:val="32"/>
        <w:u w:val="singl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E62" w:rsidRDefault="00511E62" w:rsidP="00026390">
      <w:pPr>
        <w:spacing w:after="0" w:line="240" w:lineRule="auto"/>
      </w:pPr>
      <w:r>
        <w:separator/>
      </w:r>
    </w:p>
  </w:footnote>
  <w:footnote w:type="continuationSeparator" w:id="1">
    <w:p w:rsidR="00511E62" w:rsidRDefault="00511E62" w:rsidP="000263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6417"/>
    <w:multiLevelType w:val="hybridMultilevel"/>
    <w:tmpl w:val="4F3061BE"/>
    <w:lvl w:ilvl="0" w:tplc="7FF2EBB6">
      <w:numFmt w:val="bullet"/>
      <w:lvlText w:val="-"/>
      <w:lvlJc w:val="left"/>
      <w:pPr>
        <w:ind w:left="1074" w:hanging="360"/>
      </w:pPr>
      <w:rPr>
        <w:rFonts w:ascii="Calibri" w:eastAsia="Times New Roman" w:hAnsi="Calibri" w:hint="default"/>
      </w:rPr>
    </w:lvl>
    <w:lvl w:ilvl="1" w:tplc="04080003" w:tentative="1">
      <w:start w:val="1"/>
      <w:numFmt w:val="bullet"/>
      <w:lvlText w:val="o"/>
      <w:lvlJc w:val="left"/>
      <w:pPr>
        <w:ind w:left="1794" w:hanging="360"/>
      </w:pPr>
      <w:rPr>
        <w:rFonts w:ascii="Courier New" w:hAnsi="Courier New" w:hint="default"/>
      </w:rPr>
    </w:lvl>
    <w:lvl w:ilvl="2" w:tplc="04080005" w:tentative="1">
      <w:start w:val="1"/>
      <w:numFmt w:val="bullet"/>
      <w:lvlText w:val=""/>
      <w:lvlJc w:val="left"/>
      <w:pPr>
        <w:ind w:left="2514" w:hanging="360"/>
      </w:pPr>
      <w:rPr>
        <w:rFonts w:ascii="Wingdings" w:hAnsi="Wingdings" w:hint="default"/>
      </w:rPr>
    </w:lvl>
    <w:lvl w:ilvl="3" w:tplc="04080001" w:tentative="1">
      <w:start w:val="1"/>
      <w:numFmt w:val="bullet"/>
      <w:lvlText w:val=""/>
      <w:lvlJc w:val="left"/>
      <w:pPr>
        <w:ind w:left="3234" w:hanging="360"/>
      </w:pPr>
      <w:rPr>
        <w:rFonts w:ascii="Symbol" w:hAnsi="Symbol" w:hint="default"/>
      </w:rPr>
    </w:lvl>
    <w:lvl w:ilvl="4" w:tplc="04080003" w:tentative="1">
      <w:start w:val="1"/>
      <w:numFmt w:val="bullet"/>
      <w:lvlText w:val="o"/>
      <w:lvlJc w:val="left"/>
      <w:pPr>
        <w:ind w:left="3954" w:hanging="360"/>
      </w:pPr>
      <w:rPr>
        <w:rFonts w:ascii="Courier New" w:hAnsi="Courier New" w:hint="default"/>
      </w:rPr>
    </w:lvl>
    <w:lvl w:ilvl="5" w:tplc="04080005" w:tentative="1">
      <w:start w:val="1"/>
      <w:numFmt w:val="bullet"/>
      <w:lvlText w:val=""/>
      <w:lvlJc w:val="left"/>
      <w:pPr>
        <w:ind w:left="4674" w:hanging="360"/>
      </w:pPr>
      <w:rPr>
        <w:rFonts w:ascii="Wingdings" w:hAnsi="Wingdings" w:hint="default"/>
      </w:rPr>
    </w:lvl>
    <w:lvl w:ilvl="6" w:tplc="04080001" w:tentative="1">
      <w:start w:val="1"/>
      <w:numFmt w:val="bullet"/>
      <w:lvlText w:val=""/>
      <w:lvlJc w:val="left"/>
      <w:pPr>
        <w:ind w:left="5394" w:hanging="360"/>
      </w:pPr>
      <w:rPr>
        <w:rFonts w:ascii="Symbol" w:hAnsi="Symbol" w:hint="default"/>
      </w:rPr>
    </w:lvl>
    <w:lvl w:ilvl="7" w:tplc="04080003" w:tentative="1">
      <w:start w:val="1"/>
      <w:numFmt w:val="bullet"/>
      <w:lvlText w:val="o"/>
      <w:lvlJc w:val="left"/>
      <w:pPr>
        <w:ind w:left="6114" w:hanging="360"/>
      </w:pPr>
      <w:rPr>
        <w:rFonts w:ascii="Courier New" w:hAnsi="Courier New" w:hint="default"/>
      </w:rPr>
    </w:lvl>
    <w:lvl w:ilvl="8" w:tplc="04080005" w:tentative="1">
      <w:start w:val="1"/>
      <w:numFmt w:val="bullet"/>
      <w:lvlText w:val=""/>
      <w:lvlJc w:val="left"/>
      <w:pPr>
        <w:ind w:left="6834" w:hanging="360"/>
      </w:pPr>
      <w:rPr>
        <w:rFonts w:ascii="Wingdings" w:hAnsi="Wingdings" w:hint="default"/>
      </w:rPr>
    </w:lvl>
  </w:abstractNum>
  <w:abstractNum w:abstractNumId="1">
    <w:nsid w:val="02906EA1"/>
    <w:multiLevelType w:val="hybridMultilevel"/>
    <w:tmpl w:val="6B08838A"/>
    <w:lvl w:ilvl="0" w:tplc="BE068A48">
      <w:start w:val="1"/>
      <w:numFmt w:val="decimal"/>
      <w:lvlText w:val="%1."/>
      <w:lvlJc w:val="left"/>
      <w:pPr>
        <w:ind w:left="435" w:hanging="360"/>
      </w:pPr>
      <w:rPr>
        <w:rFonts w:cs="Times New Roman" w:hint="default"/>
      </w:rPr>
    </w:lvl>
    <w:lvl w:ilvl="1" w:tplc="04090019" w:tentative="1">
      <w:start w:val="1"/>
      <w:numFmt w:val="lowerLetter"/>
      <w:lvlText w:val="%2."/>
      <w:lvlJc w:val="left"/>
      <w:pPr>
        <w:ind w:left="1155" w:hanging="360"/>
      </w:pPr>
      <w:rPr>
        <w:rFonts w:cs="Times New Roman"/>
      </w:rPr>
    </w:lvl>
    <w:lvl w:ilvl="2" w:tplc="0409001B" w:tentative="1">
      <w:start w:val="1"/>
      <w:numFmt w:val="lowerRoman"/>
      <w:lvlText w:val="%3."/>
      <w:lvlJc w:val="right"/>
      <w:pPr>
        <w:ind w:left="1875" w:hanging="180"/>
      </w:pPr>
      <w:rPr>
        <w:rFonts w:cs="Times New Roman"/>
      </w:rPr>
    </w:lvl>
    <w:lvl w:ilvl="3" w:tplc="0409000F" w:tentative="1">
      <w:start w:val="1"/>
      <w:numFmt w:val="decimal"/>
      <w:lvlText w:val="%4."/>
      <w:lvlJc w:val="left"/>
      <w:pPr>
        <w:ind w:left="2595" w:hanging="360"/>
      </w:pPr>
      <w:rPr>
        <w:rFonts w:cs="Times New Roman"/>
      </w:rPr>
    </w:lvl>
    <w:lvl w:ilvl="4" w:tplc="04090019" w:tentative="1">
      <w:start w:val="1"/>
      <w:numFmt w:val="lowerLetter"/>
      <w:lvlText w:val="%5."/>
      <w:lvlJc w:val="left"/>
      <w:pPr>
        <w:ind w:left="3315" w:hanging="360"/>
      </w:pPr>
      <w:rPr>
        <w:rFonts w:cs="Times New Roman"/>
      </w:rPr>
    </w:lvl>
    <w:lvl w:ilvl="5" w:tplc="0409001B" w:tentative="1">
      <w:start w:val="1"/>
      <w:numFmt w:val="lowerRoman"/>
      <w:lvlText w:val="%6."/>
      <w:lvlJc w:val="right"/>
      <w:pPr>
        <w:ind w:left="4035" w:hanging="180"/>
      </w:pPr>
      <w:rPr>
        <w:rFonts w:cs="Times New Roman"/>
      </w:rPr>
    </w:lvl>
    <w:lvl w:ilvl="6" w:tplc="0409000F" w:tentative="1">
      <w:start w:val="1"/>
      <w:numFmt w:val="decimal"/>
      <w:lvlText w:val="%7."/>
      <w:lvlJc w:val="left"/>
      <w:pPr>
        <w:ind w:left="4755" w:hanging="360"/>
      </w:pPr>
      <w:rPr>
        <w:rFonts w:cs="Times New Roman"/>
      </w:rPr>
    </w:lvl>
    <w:lvl w:ilvl="7" w:tplc="04090019" w:tentative="1">
      <w:start w:val="1"/>
      <w:numFmt w:val="lowerLetter"/>
      <w:lvlText w:val="%8."/>
      <w:lvlJc w:val="left"/>
      <w:pPr>
        <w:ind w:left="5475" w:hanging="360"/>
      </w:pPr>
      <w:rPr>
        <w:rFonts w:cs="Times New Roman"/>
      </w:rPr>
    </w:lvl>
    <w:lvl w:ilvl="8" w:tplc="0409001B" w:tentative="1">
      <w:start w:val="1"/>
      <w:numFmt w:val="lowerRoman"/>
      <w:lvlText w:val="%9."/>
      <w:lvlJc w:val="right"/>
      <w:pPr>
        <w:ind w:left="6195" w:hanging="180"/>
      </w:pPr>
      <w:rPr>
        <w:rFonts w:cs="Times New Roman"/>
      </w:rPr>
    </w:lvl>
  </w:abstractNum>
  <w:abstractNum w:abstractNumId="2">
    <w:nsid w:val="0956491B"/>
    <w:multiLevelType w:val="hybridMultilevel"/>
    <w:tmpl w:val="83D03C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9983541"/>
    <w:multiLevelType w:val="hybridMultilevel"/>
    <w:tmpl w:val="720827B4"/>
    <w:lvl w:ilvl="0" w:tplc="325079BA">
      <w:start w:val="1"/>
      <w:numFmt w:val="bullet"/>
      <w:lvlText w:val=""/>
      <w:lvlJc w:val="left"/>
      <w:pPr>
        <w:tabs>
          <w:tab w:val="num" w:pos="720"/>
        </w:tabs>
        <w:ind w:left="720" w:hanging="360"/>
      </w:pPr>
      <w:rPr>
        <w:rFonts w:ascii="Symbol" w:hAnsi="Symbol" w:hint="default"/>
        <w:color w:val="auto"/>
      </w:rPr>
    </w:lvl>
    <w:lvl w:ilvl="1" w:tplc="04080005">
      <w:start w:val="1"/>
      <w:numFmt w:val="bullet"/>
      <w:lvlText w:val=""/>
      <w:lvlJc w:val="left"/>
      <w:pPr>
        <w:tabs>
          <w:tab w:val="num" w:pos="1440"/>
        </w:tabs>
        <w:ind w:left="1440" w:hanging="360"/>
      </w:pPr>
      <w:rPr>
        <w:rFonts w:ascii="Wingdings" w:hAnsi="Wingding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E713B44"/>
    <w:multiLevelType w:val="hybridMultilevel"/>
    <w:tmpl w:val="C174F2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FB11B15"/>
    <w:multiLevelType w:val="hybridMultilevel"/>
    <w:tmpl w:val="27CE6A92"/>
    <w:lvl w:ilvl="0" w:tplc="B67674B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60920"/>
    <w:multiLevelType w:val="hybridMultilevel"/>
    <w:tmpl w:val="1B4EDC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A3D4A73"/>
    <w:multiLevelType w:val="hybridMultilevel"/>
    <w:tmpl w:val="C45448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271084E"/>
    <w:multiLevelType w:val="hybridMultilevel"/>
    <w:tmpl w:val="E8827F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4F925AD"/>
    <w:multiLevelType w:val="hybridMultilevel"/>
    <w:tmpl w:val="6B08838A"/>
    <w:lvl w:ilvl="0" w:tplc="BE068A48">
      <w:start w:val="1"/>
      <w:numFmt w:val="decimal"/>
      <w:lvlText w:val="%1."/>
      <w:lvlJc w:val="left"/>
      <w:pPr>
        <w:ind w:left="435" w:hanging="360"/>
      </w:pPr>
      <w:rPr>
        <w:rFonts w:cs="Times New Roman" w:hint="default"/>
      </w:rPr>
    </w:lvl>
    <w:lvl w:ilvl="1" w:tplc="04090019" w:tentative="1">
      <w:start w:val="1"/>
      <w:numFmt w:val="lowerLetter"/>
      <w:lvlText w:val="%2."/>
      <w:lvlJc w:val="left"/>
      <w:pPr>
        <w:ind w:left="1155" w:hanging="360"/>
      </w:pPr>
      <w:rPr>
        <w:rFonts w:cs="Times New Roman"/>
      </w:rPr>
    </w:lvl>
    <w:lvl w:ilvl="2" w:tplc="0409001B" w:tentative="1">
      <w:start w:val="1"/>
      <w:numFmt w:val="lowerRoman"/>
      <w:lvlText w:val="%3."/>
      <w:lvlJc w:val="right"/>
      <w:pPr>
        <w:ind w:left="1875" w:hanging="180"/>
      </w:pPr>
      <w:rPr>
        <w:rFonts w:cs="Times New Roman"/>
      </w:rPr>
    </w:lvl>
    <w:lvl w:ilvl="3" w:tplc="0409000F" w:tentative="1">
      <w:start w:val="1"/>
      <w:numFmt w:val="decimal"/>
      <w:lvlText w:val="%4."/>
      <w:lvlJc w:val="left"/>
      <w:pPr>
        <w:ind w:left="2595" w:hanging="360"/>
      </w:pPr>
      <w:rPr>
        <w:rFonts w:cs="Times New Roman"/>
      </w:rPr>
    </w:lvl>
    <w:lvl w:ilvl="4" w:tplc="04090019" w:tentative="1">
      <w:start w:val="1"/>
      <w:numFmt w:val="lowerLetter"/>
      <w:lvlText w:val="%5."/>
      <w:lvlJc w:val="left"/>
      <w:pPr>
        <w:ind w:left="3315" w:hanging="360"/>
      </w:pPr>
      <w:rPr>
        <w:rFonts w:cs="Times New Roman"/>
      </w:rPr>
    </w:lvl>
    <w:lvl w:ilvl="5" w:tplc="0409001B" w:tentative="1">
      <w:start w:val="1"/>
      <w:numFmt w:val="lowerRoman"/>
      <w:lvlText w:val="%6."/>
      <w:lvlJc w:val="right"/>
      <w:pPr>
        <w:ind w:left="4035" w:hanging="180"/>
      </w:pPr>
      <w:rPr>
        <w:rFonts w:cs="Times New Roman"/>
      </w:rPr>
    </w:lvl>
    <w:lvl w:ilvl="6" w:tplc="0409000F" w:tentative="1">
      <w:start w:val="1"/>
      <w:numFmt w:val="decimal"/>
      <w:lvlText w:val="%7."/>
      <w:lvlJc w:val="left"/>
      <w:pPr>
        <w:ind w:left="4755" w:hanging="360"/>
      </w:pPr>
      <w:rPr>
        <w:rFonts w:cs="Times New Roman"/>
      </w:rPr>
    </w:lvl>
    <w:lvl w:ilvl="7" w:tplc="04090019" w:tentative="1">
      <w:start w:val="1"/>
      <w:numFmt w:val="lowerLetter"/>
      <w:lvlText w:val="%8."/>
      <w:lvlJc w:val="left"/>
      <w:pPr>
        <w:ind w:left="5475" w:hanging="360"/>
      </w:pPr>
      <w:rPr>
        <w:rFonts w:cs="Times New Roman"/>
      </w:rPr>
    </w:lvl>
    <w:lvl w:ilvl="8" w:tplc="0409001B" w:tentative="1">
      <w:start w:val="1"/>
      <w:numFmt w:val="lowerRoman"/>
      <w:lvlText w:val="%9."/>
      <w:lvlJc w:val="right"/>
      <w:pPr>
        <w:ind w:left="6195" w:hanging="180"/>
      </w:pPr>
      <w:rPr>
        <w:rFonts w:cs="Times New Roman"/>
      </w:rPr>
    </w:lvl>
  </w:abstractNum>
  <w:abstractNum w:abstractNumId="10">
    <w:nsid w:val="25B71B5F"/>
    <w:multiLevelType w:val="hybridMultilevel"/>
    <w:tmpl w:val="76669928"/>
    <w:lvl w:ilvl="0" w:tplc="325079BA">
      <w:start w:val="1"/>
      <w:numFmt w:val="bullet"/>
      <w:lvlText w:val=""/>
      <w:lvlJc w:val="left"/>
      <w:pPr>
        <w:ind w:left="780" w:hanging="360"/>
      </w:pPr>
      <w:rPr>
        <w:rFonts w:ascii="Symbol" w:hAnsi="Symbol" w:hint="default"/>
        <w:color w:val="auto"/>
      </w:rPr>
    </w:lvl>
    <w:lvl w:ilvl="1" w:tplc="04080003" w:tentative="1">
      <w:start w:val="1"/>
      <w:numFmt w:val="bullet"/>
      <w:lvlText w:val="o"/>
      <w:lvlJc w:val="left"/>
      <w:pPr>
        <w:ind w:left="1500" w:hanging="360"/>
      </w:pPr>
      <w:rPr>
        <w:rFonts w:ascii="Courier New" w:hAnsi="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1">
    <w:nsid w:val="29A261BD"/>
    <w:multiLevelType w:val="hybridMultilevel"/>
    <w:tmpl w:val="DE2497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B116F83"/>
    <w:multiLevelType w:val="multilevel"/>
    <w:tmpl w:val="898E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892CA4"/>
    <w:multiLevelType w:val="hybridMultilevel"/>
    <w:tmpl w:val="FE6C238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D456DAC"/>
    <w:multiLevelType w:val="hybridMultilevel"/>
    <w:tmpl w:val="3CC4B41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CEF64B0"/>
    <w:multiLevelType w:val="hybridMultilevel"/>
    <w:tmpl w:val="F33AC050"/>
    <w:lvl w:ilvl="0" w:tplc="881AC18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39534F"/>
    <w:multiLevelType w:val="hybridMultilevel"/>
    <w:tmpl w:val="AA5037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F4D242F"/>
    <w:multiLevelType w:val="hybridMultilevel"/>
    <w:tmpl w:val="BE126B72"/>
    <w:lvl w:ilvl="0" w:tplc="325079BA">
      <w:start w:val="1"/>
      <w:numFmt w:val="bullet"/>
      <w:lvlText w:val=""/>
      <w:lvlJc w:val="left"/>
      <w:pPr>
        <w:tabs>
          <w:tab w:val="num" w:pos="723"/>
        </w:tabs>
        <w:ind w:left="723" w:hanging="360"/>
      </w:pPr>
      <w:rPr>
        <w:rFonts w:ascii="Symbol" w:hAnsi="Symbol" w:hint="default"/>
        <w:color w:val="auto"/>
      </w:rPr>
    </w:lvl>
    <w:lvl w:ilvl="1" w:tplc="08090003">
      <w:start w:val="1"/>
      <w:numFmt w:val="bullet"/>
      <w:lvlText w:val="o"/>
      <w:lvlJc w:val="left"/>
      <w:pPr>
        <w:tabs>
          <w:tab w:val="num" w:pos="1443"/>
        </w:tabs>
        <w:ind w:left="1443" w:hanging="360"/>
      </w:pPr>
      <w:rPr>
        <w:rFonts w:ascii="Courier New" w:hAnsi="Courier New" w:hint="default"/>
      </w:rPr>
    </w:lvl>
    <w:lvl w:ilvl="2" w:tplc="08090005" w:tentative="1">
      <w:start w:val="1"/>
      <w:numFmt w:val="bullet"/>
      <w:lvlText w:val=""/>
      <w:lvlJc w:val="left"/>
      <w:pPr>
        <w:tabs>
          <w:tab w:val="num" w:pos="2163"/>
        </w:tabs>
        <w:ind w:left="2163" w:hanging="360"/>
      </w:pPr>
      <w:rPr>
        <w:rFonts w:ascii="Wingdings" w:hAnsi="Wingdings" w:hint="default"/>
      </w:rPr>
    </w:lvl>
    <w:lvl w:ilvl="3" w:tplc="08090001" w:tentative="1">
      <w:start w:val="1"/>
      <w:numFmt w:val="bullet"/>
      <w:lvlText w:val=""/>
      <w:lvlJc w:val="left"/>
      <w:pPr>
        <w:tabs>
          <w:tab w:val="num" w:pos="2883"/>
        </w:tabs>
        <w:ind w:left="2883" w:hanging="360"/>
      </w:pPr>
      <w:rPr>
        <w:rFonts w:ascii="Symbol" w:hAnsi="Symbol" w:hint="default"/>
      </w:rPr>
    </w:lvl>
    <w:lvl w:ilvl="4" w:tplc="08090003" w:tentative="1">
      <w:start w:val="1"/>
      <w:numFmt w:val="bullet"/>
      <w:lvlText w:val="o"/>
      <w:lvlJc w:val="left"/>
      <w:pPr>
        <w:tabs>
          <w:tab w:val="num" w:pos="3603"/>
        </w:tabs>
        <w:ind w:left="3603" w:hanging="360"/>
      </w:pPr>
      <w:rPr>
        <w:rFonts w:ascii="Courier New" w:hAnsi="Courier New" w:hint="default"/>
      </w:rPr>
    </w:lvl>
    <w:lvl w:ilvl="5" w:tplc="08090005" w:tentative="1">
      <w:start w:val="1"/>
      <w:numFmt w:val="bullet"/>
      <w:lvlText w:val=""/>
      <w:lvlJc w:val="left"/>
      <w:pPr>
        <w:tabs>
          <w:tab w:val="num" w:pos="4323"/>
        </w:tabs>
        <w:ind w:left="4323" w:hanging="360"/>
      </w:pPr>
      <w:rPr>
        <w:rFonts w:ascii="Wingdings" w:hAnsi="Wingdings" w:hint="default"/>
      </w:rPr>
    </w:lvl>
    <w:lvl w:ilvl="6" w:tplc="08090001" w:tentative="1">
      <w:start w:val="1"/>
      <w:numFmt w:val="bullet"/>
      <w:lvlText w:val=""/>
      <w:lvlJc w:val="left"/>
      <w:pPr>
        <w:tabs>
          <w:tab w:val="num" w:pos="5043"/>
        </w:tabs>
        <w:ind w:left="5043" w:hanging="360"/>
      </w:pPr>
      <w:rPr>
        <w:rFonts w:ascii="Symbol" w:hAnsi="Symbol" w:hint="default"/>
      </w:rPr>
    </w:lvl>
    <w:lvl w:ilvl="7" w:tplc="08090003" w:tentative="1">
      <w:start w:val="1"/>
      <w:numFmt w:val="bullet"/>
      <w:lvlText w:val="o"/>
      <w:lvlJc w:val="left"/>
      <w:pPr>
        <w:tabs>
          <w:tab w:val="num" w:pos="5763"/>
        </w:tabs>
        <w:ind w:left="5763" w:hanging="360"/>
      </w:pPr>
      <w:rPr>
        <w:rFonts w:ascii="Courier New" w:hAnsi="Courier New" w:hint="default"/>
      </w:rPr>
    </w:lvl>
    <w:lvl w:ilvl="8" w:tplc="08090005" w:tentative="1">
      <w:start w:val="1"/>
      <w:numFmt w:val="bullet"/>
      <w:lvlText w:val=""/>
      <w:lvlJc w:val="left"/>
      <w:pPr>
        <w:tabs>
          <w:tab w:val="num" w:pos="6483"/>
        </w:tabs>
        <w:ind w:left="6483" w:hanging="360"/>
      </w:pPr>
      <w:rPr>
        <w:rFonts w:ascii="Wingdings" w:hAnsi="Wingdings" w:hint="default"/>
      </w:rPr>
    </w:lvl>
  </w:abstractNum>
  <w:abstractNum w:abstractNumId="18">
    <w:nsid w:val="3F7072A7"/>
    <w:multiLevelType w:val="hybridMultilevel"/>
    <w:tmpl w:val="69A67B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02760E6"/>
    <w:multiLevelType w:val="hybridMultilevel"/>
    <w:tmpl w:val="0F661A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38E5042"/>
    <w:multiLevelType w:val="hybridMultilevel"/>
    <w:tmpl w:val="A34E51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47928DA"/>
    <w:multiLevelType w:val="hybridMultilevel"/>
    <w:tmpl w:val="EBF0EC04"/>
    <w:lvl w:ilvl="0" w:tplc="1F987AA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4E9151CE"/>
    <w:multiLevelType w:val="hybridMultilevel"/>
    <w:tmpl w:val="5E9855D0"/>
    <w:lvl w:ilvl="0" w:tplc="2358339C">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56B650BA"/>
    <w:multiLevelType w:val="hybridMultilevel"/>
    <w:tmpl w:val="863E9D18"/>
    <w:lvl w:ilvl="0" w:tplc="4ABEDA4A">
      <w:start w:val="1"/>
      <w:numFmt w:val="decimal"/>
      <w:lvlText w:val="%1."/>
      <w:lvlJc w:val="left"/>
      <w:pPr>
        <w:ind w:left="720" w:hanging="360"/>
      </w:pPr>
      <w:rPr>
        <w:rFonts w:ascii="Calibri" w:eastAsia="Times New Roman" w:hAnsi="Calibri"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363340"/>
    <w:multiLevelType w:val="hybridMultilevel"/>
    <w:tmpl w:val="FDC29B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F2313A6"/>
    <w:multiLevelType w:val="hybridMultilevel"/>
    <w:tmpl w:val="EC007C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1245E05"/>
    <w:multiLevelType w:val="hybridMultilevel"/>
    <w:tmpl w:val="B0206D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6C30667"/>
    <w:multiLevelType w:val="hybridMultilevel"/>
    <w:tmpl w:val="D1960456"/>
    <w:lvl w:ilvl="0" w:tplc="325079BA">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731101A"/>
    <w:multiLevelType w:val="hybridMultilevel"/>
    <w:tmpl w:val="04F0A7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BCF3896"/>
    <w:multiLevelType w:val="hybridMultilevel"/>
    <w:tmpl w:val="613A7874"/>
    <w:lvl w:ilvl="0" w:tplc="326EEDCC">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7C5A61"/>
    <w:multiLevelType w:val="hybridMultilevel"/>
    <w:tmpl w:val="56709FC6"/>
    <w:lvl w:ilvl="0" w:tplc="F3FA495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76D46639"/>
    <w:multiLevelType w:val="hybridMultilevel"/>
    <w:tmpl w:val="447E0C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A1538CE"/>
    <w:multiLevelType w:val="hybridMultilevel"/>
    <w:tmpl w:val="ACFE08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AB132FB"/>
    <w:multiLevelType w:val="hybridMultilevel"/>
    <w:tmpl w:val="676873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AC47CA8"/>
    <w:multiLevelType w:val="hybridMultilevel"/>
    <w:tmpl w:val="3FFE45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C7C74E7"/>
    <w:multiLevelType w:val="hybridMultilevel"/>
    <w:tmpl w:val="ACDCF934"/>
    <w:lvl w:ilvl="0" w:tplc="885243E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914BC8"/>
    <w:multiLevelType w:val="hybridMultilevel"/>
    <w:tmpl w:val="1172847E"/>
    <w:lvl w:ilvl="0" w:tplc="229E5CD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EE5617"/>
    <w:multiLevelType w:val="hybridMultilevel"/>
    <w:tmpl w:val="FA04EC90"/>
    <w:lvl w:ilvl="0" w:tplc="92AAE97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nsid w:val="7FC62A15"/>
    <w:multiLevelType w:val="hybridMultilevel"/>
    <w:tmpl w:val="F2589D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8"/>
  </w:num>
  <w:num w:numId="2">
    <w:abstractNumId w:val="6"/>
  </w:num>
  <w:num w:numId="3">
    <w:abstractNumId w:val="19"/>
  </w:num>
  <w:num w:numId="4">
    <w:abstractNumId w:val="36"/>
  </w:num>
  <w:num w:numId="5">
    <w:abstractNumId w:val="15"/>
  </w:num>
  <w:num w:numId="6">
    <w:abstractNumId w:val="3"/>
  </w:num>
  <w:num w:numId="7">
    <w:abstractNumId w:val="27"/>
  </w:num>
  <w:num w:numId="8">
    <w:abstractNumId w:val="17"/>
  </w:num>
  <w:num w:numId="9">
    <w:abstractNumId w:val="10"/>
  </w:num>
  <w:num w:numId="10">
    <w:abstractNumId w:val="0"/>
  </w:num>
  <w:num w:numId="11">
    <w:abstractNumId w:val="18"/>
  </w:num>
  <w:num w:numId="12">
    <w:abstractNumId w:val="22"/>
  </w:num>
  <w:num w:numId="13">
    <w:abstractNumId w:val="33"/>
  </w:num>
  <w:num w:numId="14">
    <w:abstractNumId w:val="34"/>
  </w:num>
  <w:num w:numId="15">
    <w:abstractNumId w:val="11"/>
  </w:num>
  <w:num w:numId="16">
    <w:abstractNumId w:val="8"/>
  </w:num>
  <w:num w:numId="17">
    <w:abstractNumId w:val="21"/>
  </w:num>
  <w:num w:numId="18">
    <w:abstractNumId w:val="30"/>
  </w:num>
  <w:num w:numId="19">
    <w:abstractNumId w:val="13"/>
  </w:num>
  <w:num w:numId="20">
    <w:abstractNumId w:val="25"/>
  </w:num>
  <w:num w:numId="21">
    <w:abstractNumId w:val="26"/>
  </w:num>
  <w:num w:numId="22">
    <w:abstractNumId w:val="4"/>
  </w:num>
  <w:num w:numId="23">
    <w:abstractNumId w:val="37"/>
  </w:num>
  <w:num w:numId="24">
    <w:abstractNumId w:val="31"/>
  </w:num>
  <w:num w:numId="25">
    <w:abstractNumId w:val="1"/>
  </w:num>
  <w:num w:numId="26">
    <w:abstractNumId w:val="20"/>
  </w:num>
  <w:num w:numId="27">
    <w:abstractNumId w:val="9"/>
  </w:num>
  <w:num w:numId="28">
    <w:abstractNumId w:val="32"/>
  </w:num>
  <w:num w:numId="29">
    <w:abstractNumId w:val="24"/>
  </w:num>
  <w:num w:numId="30">
    <w:abstractNumId w:val="16"/>
  </w:num>
  <w:num w:numId="31">
    <w:abstractNumId w:val="5"/>
  </w:num>
  <w:num w:numId="32">
    <w:abstractNumId w:val="23"/>
  </w:num>
  <w:num w:numId="33">
    <w:abstractNumId w:val="29"/>
  </w:num>
  <w:num w:numId="34">
    <w:abstractNumId w:val="7"/>
  </w:num>
  <w:num w:numId="35">
    <w:abstractNumId w:val="28"/>
  </w:num>
  <w:num w:numId="36">
    <w:abstractNumId w:val="14"/>
  </w:num>
  <w:num w:numId="37">
    <w:abstractNumId w:val="35"/>
  </w:num>
  <w:num w:numId="38">
    <w:abstractNumId w:val="12"/>
  </w:num>
  <w:num w:numId="3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0DC7"/>
    <w:rsid w:val="0002300E"/>
    <w:rsid w:val="00026390"/>
    <w:rsid w:val="00034315"/>
    <w:rsid w:val="000345DB"/>
    <w:rsid w:val="000348A2"/>
    <w:rsid w:val="000364C9"/>
    <w:rsid w:val="00064766"/>
    <w:rsid w:val="000770F1"/>
    <w:rsid w:val="00077106"/>
    <w:rsid w:val="00091912"/>
    <w:rsid w:val="00091A93"/>
    <w:rsid w:val="000A3707"/>
    <w:rsid w:val="000B1F86"/>
    <w:rsid w:val="000B3924"/>
    <w:rsid w:val="000B45E8"/>
    <w:rsid w:val="000B6046"/>
    <w:rsid w:val="000C5185"/>
    <w:rsid w:val="000D4B7E"/>
    <w:rsid w:val="000D601D"/>
    <w:rsid w:val="000E4F4D"/>
    <w:rsid w:val="000E66B4"/>
    <w:rsid w:val="000E6EF3"/>
    <w:rsid w:val="000E7B30"/>
    <w:rsid w:val="000F16D8"/>
    <w:rsid w:val="001001DD"/>
    <w:rsid w:val="00101D40"/>
    <w:rsid w:val="00104416"/>
    <w:rsid w:val="001051A4"/>
    <w:rsid w:val="00106BC5"/>
    <w:rsid w:val="0011517A"/>
    <w:rsid w:val="00117E5E"/>
    <w:rsid w:val="00132ABA"/>
    <w:rsid w:val="001371EE"/>
    <w:rsid w:val="00152DE8"/>
    <w:rsid w:val="001560E9"/>
    <w:rsid w:val="00172FEA"/>
    <w:rsid w:val="0017650E"/>
    <w:rsid w:val="001836AE"/>
    <w:rsid w:val="001864C9"/>
    <w:rsid w:val="00186A7A"/>
    <w:rsid w:val="001908F1"/>
    <w:rsid w:val="00194578"/>
    <w:rsid w:val="001950B9"/>
    <w:rsid w:val="001A030C"/>
    <w:rsid w:val="001A0718"/>
    <w:rsid w:val="001A1249"/>
    <w:rsid w:val="001B1FE1"/>
    <w:rsid w:val="001B47E0"/>
    <w:rsid w:val="001B73FB"/>
    <w:rsid w:val="001C36E8"/>
    <w:rsid w:val="001C3EA5"/>
    <w:rsid w:val="001D1BA4"/>
    <w:rsid w:val="001D2D5C"/>
    <w:rsid w:val="001D6422"/>
    <w:rsid w:val="001E29C0"/>
    <w:rsid w:val="001E4A35"/>
    <w:rsid w:val="001F6B71"/>
    <w:rsid w:val="002013E4"/>
    <w:rsid w:val="00202ACD"/>
    <w:rsid w:val="002101F4"/>
    <w:rsid w:val="0021326C"/>
    <w:rsid w:val="0021427E"/>
    <w:rsid w:val="00216D0F"/>
    <w:rsid w:val="00223C11"/>
    <w:rsid w:val="0022746D"/>
    <w:rsid w:val="0023436D"/>
    <w:rsid w:val="00235002"/>
    <w:rsid w:val="00240F4C"/>
    <w:rsid w:val="0024460D"/>
    <w:rsid w:val="002536C7"/>
    <w:rsid w:val="00273F6C"/>
    <w:rsid w:val="00275C2B"/>
    <w:rsid w:val="00276361"/>
    <w:rsid w:val="002802A5"/>
    <w:rsid w:val="00280A53"/>
    <w:rsid w:val="002841AC"/>
    <w:rsid w:val="00286120"/>
    <w:rsid w:val="00293B86"/>
    <w:rsid w:val="002966D1"/>
    <w:rsid w:val="002A7AED"/>
    <w:rsid w:val="002A7F6D"/>
    <w:rsid w:val="002B297B"/>
    <w:rsid w:val="002B4E07"/>
    <w:rsid w:val="002B71E8"/>
    <w:rsid w:val="002C15C3"/>
    <w:rsid w:val="002E7EFC"/>
    <w:rsid w:val="002F774D"/>
    <w:rsid w:val="00300BF0"/>
    <w:rsid w:val="00303331"/>
    <w:rsid w:val="00305F31"/>
    <w:rsid w:val="0031410B"/>
    <w:rsid w:val="00331088"/>
    <w:rsid w:val="00334760"/>
    <w:rsid w:val="0034668A"/>
    <w:rsid w:val="003514A5"/>
    <w:rsid w:val="0035515C"/>
    <w:rsid w:val="00356813"/>
    <w:rsid w:val="003644F5"/>
    <w:rsid w:val="0036602D"/>
    <w:rsid w:val="00374E00"/>
    <w:rsid w:val="003906AC"/>
    <w:rsid w:val="00390ABF"/>
    <w:rsid w:val="003917B9"/>
    <w:rsid w:val="003A038A"/>
    <w:rsid w:val="003A332D"/>
    <w:rsid w:val="003B636C"/>
    <w:rsid w:val="003B67A4"/>
    <w:rsid w:val="003D01E7"/>
    <w:rsid w:val="003E1AAA"/>
    <w:rsid w:val="003E4B12"/>
    <w:rsid w:val="00400A3E"/>
    <w:rsid w:val="004044E4"/>
    <w:rsid w:val="00406A73"/>
    <w:rsid w:val="0040761A"/>
    <w:rsid w:val="00420175"/>
    <w:rsid w:val="00461CAE"/>
    <w:rsid w:val="00462F6E"/>
    <w:rsid w:val="00464D41"/>
    <w:rsid w:val="004710A1"/>
    <w:rsid w:val="00475FF3"/>
    <w:rsid w:val="004911C2"/>
    <w:rsid w:val="00495E10"/>
    <w:rsid w:val="004970C1"/>
    <w:rsid w:val="00497B93"/>
    <w:rsid w:val="004A3424"/>
    <w:rsid w:val="004B0E34"/>
    <w:rsid w:val="004B26F3"/>
    <w:rsid w:val="004B3142"/>
    <w:rsid w:val="004B45F4"/>
    <w:rsid w:val="004B61C2"/>
    <w:rsid w:val="004B64B7"/>
    <w:rsid w:val="004C6B7F"/>
    <w:rsid w:val="004D72F2"/>
    <w:rsid w:val="004D7381"/>
    <w:rsid w:val="004D7B61"/>
    <w:rsid w:val="004E38A5"/>
    <w:rsid w:val="004E75F5"/>
    <w:rsid w:val="004F250E"/>
    <w:rsid w:val="004F6B3A"/>
    <w:rsid w:val="004F7047"/>
    <w:rsid w:val="004F7154"/>
    <w:rsid w:val="00505C7A"/>
    <w:rsid w:val="00511E62"/>
    <w:rsid w:val="00527B7E"/>
    <w:rsid w:val="005326E5"/>
    <w:rsid w:val="00535FDA"/>
    <w:rsid w:val="005408F0"/>
    <w:rsid w:val="00541382"/>
    <w:rsid w:val="00542B4F"/>
    <w:rsid w:val="00544DA7"/>
    <w:rsid w:val="0055143D"/>
    <w:rsid w:val="005607CF"/>
    <w:rsid w:val="00565C50"/>
    <w:rsid w:val="00566ECA"/>
    <w:rsid w:val="00570E61"/>
    <w:rsid w:val="00572D76"/>
    <w:rsid w:val="005811F4"/>
    <w:rsid w:val="005931FC"/>
    <w:rsid w:val="005A114B"/>
    <w:rsid w:val="005B3FA5"/>
    <w:rsid w:val="005C0E89"/>
    <w:rsid w:val="005C2228"/>
    <w:rsid w:val="005D1C4E"/>
    <w:rsid w:val="005D3AFE"/>
    <w:rsid w:val="005E13F3"/>
    <w:rsid w:val="005E3655"/>
    <w:rsid w:val="005F0694"/>
    <w:rsid w:val="00611C7F"/>
    <w:rsid w:val="00632065"/>
    <w:rsid w:val="006472A8"/>
    <w:rsid w:val="006478E1"/>
    <w:rsid w:val="006531F2"/>
    <w:rsid w:val="006578C5"/>
    <w:rsid w:val="006602B7"/>
    <w:rsid w:val="00663717"/>
    <w:rsid w:val="00674010"/>
    <w:rsid w:val="006745C3"/>
    <w:rsid w:val="00683125"/>
    <w:rsid w:val="00685204"/>
    <w:rsid w:val="00691B52"/>
    <w:rsid w:val="00693C45"/>
    <w:rsid w:val="006A71A3"/>
    <w:rsid w:val="006B0491"/>
    <w:rsid w:val="006B1920"/>
    <w:rsid w:val="006B223C"/>
    <w:rsid w:val="006B404C"/>
    <w:rsid w:val="006B4E17"/>
    <w:rsid w:val="006B50BB"/>
    <w:rsid w:val="006D740D"/>
    <w:rsid w:val="006E592D"/>
    <w:rsid w:val="006E6329"/>
    <w:rsid w:val="006F1080"/>
    <w:rsid w:val="006F166F"/>
    <w:rsid w:val="006F32D0"/>
    <w:rsid w:val="006F7AE5"/>
    <w:rsid w:val="007021B3"/>
    <w:rsid w:val="007074D3"/>
    <w:rsid w:val="00712812"/>
    <w:rsid w:val="00712AE5"/>
    <w:rsid w:val="00713406"/>
    <w:rsid w:val="007165D6"/>
    <w:rsid w:val="00734095"/>
    <w:rsid w:val="007477BA"/>
    <w:rsid w:val="00765BAC"/>
    <w:rsid w:val="00790745"/>
    <w:rsid w:val="00790EE1"/>
    <w:rsid w:val="007A15C6"/>
    <w:rsid w:val="007A4590"/>
    <w:rsid w:val="007A5A60"/>
    <w:rsid w:val="007A75A1"/>
    <w:rsid w:val="007B0866"/>
    <w:rsid w:val="007B217D"/>
    <w:rsid w:val="007D2376"/>
    <w:rsid w:val="007D449B"/>
    <w:rsid w:val="007E556B"/>
    <w:rsid w:val="007F0AF8"/>
    <w:rsid w:val="007F13F0"/>
    <w:rsid w:val="007F36A6"/>
    <w:rsid w:val="007F450B"/>
    <w:rsid w:val="007F6115"/>
    <w:rsid w:val="00801199"/>
    <w:rsid w:val="008016A1"/>
    <w:rsid w:val="008035F2"/>
    <w:rsid w:val="008078B9"/>
    <w:rsid w:val="00810BA9"/>
    <w:rsid w:val="0081541B"/>
    <w:rsid w:val="00830B42"/>
    <w:rsid w:val="00833CC5"/>
    <w:rsid w:val="00834337"/>
    <w:rsid w:val="0084507E"/>
    <w:rsid w:val="00845DC4"/>
    <w:rsid w:val="00854947"/>
    <w:rsid w:val="00857B64"/>
    <w:rsid w:val="00870BEF"/>
    <w:rsid w:val="00876AB4"/>
    <w:rsid w:val="008821DA"/>
    <w:rsid w:val="0088450B"/>
    <w:rsid w:val="00892540"/>
    <w:rsid w:val="00895369"/>
    <w:rsid w:val="00897B01"/>
    <w:rsid w:val="008A2A6B"/>
    <w:rsid w:val="008C3922"/>
    <w:rsid w:val="008C50A3"/>
    <w:rsid w:val="008D0DA8"/>
    <w:rsid w:val="008D1AA3"/>
    <w:rsid w:val="008D4037"/>
    <w:rsid w:val="008D612F"/>
    <w:rsid w:val="008E0DBA"/>
    <w:rsid w:val="008E3B84"/>
    <w:rsid w:val="008F177F"/>
    <w:rsid w:val="008F30AC"/>
    <w:rsid w:val="008F5081"/>
    <w:rsid w:val="009043F1"/>
    <w:rsid w:val="009069C9"/>
    <w:rsid w:val="00925B8B"/>
    <w:rsid w:val="0093217D"/>
    <w:rsid w:val="00940FE7"/>
    <w:rsid w:val="00943272"/>
    <w:rsid w:val="00950EE0"/>
    <w:rsid w:val="009521FB"/>
    <w:rsid w:val="0095274B"/>
    <w:rsid w:val="00953A14"/>
    <w:rsid w:val="00964FED"/>
    <w:rsid w:val="00967ED1"/>
    <w:rsid w:val="009707E0"/>
    <w:rsid w:val="00976990"/>
    <w:rsid w:val="00977A38"/>
    <w:rsid w:val="00986CD6"/>
    <w:rsid w:val="00987D72"/>
    <w:rsid w:val="00996E02"/>
    <w:rsid w:val="009A783F"/>
    <w:rsid w:val="009C3319"/>
    <w:rsid w:val="009C3560"/>
    <w:rsid w:val="009C6183"/>
    <w:rsid w:val="009C6ACE"/>
    <w:rsid w:val="009D2493"/>
    <w:rsid w:val="009D25B9"/>
    <w:rsid w:val="009D67C0"/>
    <w:rsid w:val="009D6FD1"/>
    <w:rsid w:val="009E3C3C"/>
    <w:rsid w:val="009E47A4"/>
    <w:rsid w:val="009E6B11"/>
    <w:rsid w:val="009E71D5"/>
    <w:rsid w:val="009F56A1"/>
    <w:rsid w:val="00A02FE0"/>
    <w:rsid w:val="00A03680"/>
    <w:rsid w:val="00A0681C"/>
    <w:rsid w:val="00A12336"/>
    <w:rsid w:val="00A13A1F"/>
    <w:rsid w:val="00A21E52"/>
    <w:rsid w:val="00A26198"/>
    <w:rsid w:val="00A3320B"/>
    <w:rsid w:val="00A34F6E"/>
    <w:rsid w:val="00A42035"/>
    <w:rsid w:val="00A42613"/>
    <w:rsid w:val="00A46096"/>
    <w:rsid w:val="00A52147"/>
    <w:rsid w:val="00A5257C"/>
    <w:rsid w:val="00A55618"/>
    <w:rsid w:val="00A5573E"/>
    <w:rsid w:val="00A565E6"/>
    <w:rsid w:val="00A62728"/>
    <w:rsid w:val="00A6658A"/>
    <w:rsid w:val="00A67738"/>
    <w:rsid w:val="00A67AFA"/>
    <w:rsid w:val="00A72E2D"/>
    <w:rsid w:val="00A80DD9"/>
    <w:rsid w:val="00A81C81"/>
    <w:rsid w:val="00A8211C"/>
    <w:rsid w:val="00A853F6"/>
    <w:rsid w:val="00A8720B"/>
    <w:rsid w:val="00A94779"/>
    <w:rsid w:val="00A9756C"/>
    <w:rsid w:val="00AA1E1A"/>
    <w:rsid w:val="00AA2722"/>
    <w:rsid w:val="00AA37BD"/>
    <w:rsid w:val="00AB1128"/>
    <w:rsid w:val="00AB4620"/>
    <w:rsid w:val="00AC0C01"/>
    <w:rsid w:val="00AC7237"/>
    <w:rsid w:val="00AC73EC"/>
    <w:rsid w:val="00AC7500"/>
    <w:rsid w:val="00AD04B8"/>
    <w:rsid w:val="00AE3C85"/>
    <w:rsid w:val="00AE5326"/>
    <w:rsid w:val="00AF6281"/>
    <w:rsid w:val="00AF62DD"/>
    <w:rsid w:val="00B00EA1"/>
    <w:rsid w:val="00B03E7D"/>
    <w:rsid w:val="00B14A3A"/>
    <w:rsid w:val="00B213FD"/>
    <w:rsid w:val="00B22D10"/>
    <w:rsid w:val="00B24947"/>
    <w:rsid w:val="00B3049C"/>
    <w:rsid w:val="00B33823"/>
    <w:rsid w:val="00B36918"/>
    <w:rsid w:val="00B41122"/>
    <w:rsid w:val="00B42BB2"/>
    <w:rsid w:val="00B66F73"/>
    <w:rsid w:val="00B72B18"/>
    <w:rsid w:val="00B76667"/>
    <w:rsid w:val="00B7733A"/>
    <w:rsid w:val="00B80CBA"/>
    <w:rsid w:val="00B8291E"/>
    <w:rsid w:val="00B832C8"/>
    <w:rsid w:val="00B87D13"/>
    <w:rsid w:val="00BA4A3C"/>
    <w:rsid w:val="00BB254A"/>
    <w:rsid w:val="00BB4AB3"/>
    <w:rsid w:val="00BB515B"/>
    <w:rsid w:val="00BC6F47"/>
    <w:rsid w:val="00BD1A38"/>
    <w:rsid w:val="00BF7566"/>
    <w:rsid w:val="00C05E9C"/>
    <w:rsid w:val="00C12FB0"/>
    <w:rsid w:val="00C355CD"/>
    <w:rsid w:val="00C43347"/>
    <w:rsid w:val="00C445B8"/>
    <w:rsid w:val="00C44DD2"/>
    <w:rsid w:val="00C60A9A"/>
    <w:rsid w:val="00C760BF"/>
    <w:rsid w:val="00C82D2E"/>
    <w:rsid w:val="00C8352B"/>
    <w:rsid w:val="00C90E36"/>
    <w:rsid w:val="00C97C9E"/>
    <w:rsid w:val="00CA2E7E"/>
    <w:rsid w:val="00CA3F55"/>
    <w:rsid w:val="00CA5165"/>
    <w:rsid w:val="00CA67D7"/>
    <w:rsid w:val="00CB0B7E"/>
    <w:rsid w:val="00CC130D"/>
    <w:rsid w:val="00CC1857"/>
    <w:rsid w:val="00CC268E"/>
    <w:rsid w:val="00CD25E3"/>
    <w:rsid w:val="00CD4A79"/>
    <w:rsid w:val="00CD6985"/>
    <w:rsid w:val="00CE7669"/>
    <w:rsid w:val="00CF0E79"/>
    <w:rsid w:val="00CF318E"/>
    <w:rsid w:val="00D273E8"/>
    <w:rsid w:val="00D27FE5"/>
    <w:rsid w:val="00D3042E"/>
    <w:rsid w:val="00D400B3"/>
    <w:rsid w:val="00D430F3"/>
    <w:rsid w:val="00D463F4"/>
    <w:rsid w:val="00D53875"/>
    <w:rsid w:val="00D62535"/>
    <w:rsid w:val="00D6365E"/>
    <w:rsid w:val="00D6792A"/>
    <w:rsid w:val="00D720E9"/>
    <w:rsid w:val="00D74EA2"/>
    <w:rsid w:val="00D75464"/>
    <w:rsid w:val="00D77EFD"/>
    <w:rsid w:val="00D8020E"/>
    <w:rsid w:val="00D80DC7"/>
    <w:rsid w:val="00D813BB"/>
    <w:rsid w:val="00D81D13"/>
    <w:rsid w:val="00D87BD7"/>
    <w:rsid w:val="00D91E8F"/>
    <w:rsid w:val="00D95814"/>
    <w:rsid w:val="00DC7F04"/>
    <w:rsid w:val="00DE103D"/>
    <w:rsid w:val="00DE3CF8"/>
    <w:rsid w:val="00E108A8"/>
    <w:rsid w:val="00E13FEF"/>
    <w:rsid w:val="00E25911"/>
    <w:rsid w:val="00E3598E"/>
    <w:rsid w:val="00E4189B"/>
    <w:rsid w:val="00E45E43"/>
    <w:rsid w:val="00E47D5E"/>
    <w:rsid w:val="00E61C84"/>
    <w:rsid w:val="00E6419F"/>
    <w:rsid w:val="00E65E62"/>
    <w:rsid w:val="00E74017"/>
    <w:rsid w:val="00E75D09"/>
    <w:rsid w:val="00E84D6E"/>
    <w:rsid w:val="00E8616E"/>
    <w:rsid w:val="00EA19BA"/>
    <w:rsid w:val="00ED14CB"/>
    <w:rsid w:val="00ED7DC4"/>
    <w:rsid w:val="00EE0BFE"/>
    <w:rsid w:val="00EE0F00"/>
    <w:rsid w:val="00EE268E"/>
    <w:rsid w:val="00EE5D1B"/>
    <w:rsid w:val="00EE799D"/>
    <w:rsid w:val="00EF6499"/>
    <w:rsid w:val="00F00657"/>
    <w:rsid w:val="00F02BCF"/>
    <w:rsid w:val="00F02CAE"/>
    <w:rsid w:val="00F07011"/>
    <w:rsid w:val="00F07DCA"/>
    <w:rsid w:val="00F11F6F"/>
    <w:rsid w:val="00F123AE"/>
    <w:rsid w:val="00F161D3"/>
    <w:rsid w:val="00F17F59"/>
    <w:rsid w:val="00F26409"/>
    <w:rsid w:val="00F313D6"/>
    <w:rsid w:val="00F36A9F"/>
    <w:rsid w:val="00F45162"/>
    <w:rsid w:val="00F55A70"/>
    <w:rsid w:val="00F610A5"/>
    <w:rsid w:val="00F63B13"/>
    <w:rsid w:val="00F67A4C"/>
    <w:rsid w:val="00F73724"/>
    <w:rsid w:val="00F76B56"/>
    <w:rsid w:val="00F8172C"/>
    <w:rsid w:val="00F831AA"/>
    <w:rsid w:val="00F92AF3"/>
    <w:rsid w:val="00F979AA"/>
    <w:rsid w:val="00FA1998"/>
    <w:rsid w:val="00FA78A3"/>
    <w:rsid w:val="00FB565A"/>
    <w:rsid w:val="00FB70CB"/>
    <w:rsid w:val="00FB7562"/>
    <w:rsid w:val="00FC5A2D"/>
    <w:rsid w:val="00FC703B"/>
    <w:rsid w:val="00FD0F3A"/>
    <w:rsid w:val="00FD4562"/>
    <w:rsid w:val="00FD54A1"/>
    <w:rsid w:val="00FE2831"/>
    <w:rsid w:val="00FE5746"/>
    <w:rsid w:val="00FF378A"/>
    <w:rsid w:val="00FF58B9"/>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866"/>
    <w:pPr>
      <w:spacing w:after="200" w:line="276" w:lineRule="auto"/>
    </w:pPr>
    <w:rPr>
      <w:lang w:eastAsia="ko-K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76990"/>
    <w:pPr>
      <w:ind w:left="720"/>
      <w:contextualSpacing/>
    </w:pPr>
  </w:style>
  <w:style w:type="character" w:styleId="Hyperlink">
    <w:name w:val="Hyperlink"/>
    <w:basedOn w:val="DefaultParagraphFont"/>
    <w:uiPriority w:val="99"/>
    <w:rsid w:val="006472A8"/>
    <w:rPr>
      <w:rFonts w:cs="Times New Roman"/>
      <w:color w:val="0000FF"/>
      <w:u w:val="none"/>
      <w:effect w:val="none"/>
    </w:rPr>
  </w:style>
  <w:style w:type="character" w:customStyle="1" w:styleId="personal1">
    <w:name w:val="personal1"/>
    <w:basedOn w:val="DefaultParagraphFont"/>
    <w:uiPriority w:val="99"/>
    <w:rsid w:val="006472A8"/>
    <w:rPr>
      <w:rFonts w:ascii="Arial" w:hAnsi="Arial" w:cs="Arial"/>
      <w:i/>
      <w:iCs/>
      <w:color w:val="333333"/>
      <w:sz w:val="17"/>
      <w:szCs w:val="17"/>
    </w:rPr>
  </w:style>
  <w:style w:type="paragraph" w:styleId="BalloonText">
    <w:name w:val="Balloon Text"/>
    <w:basedOn w:val="Normal"/>
    <w:link w:val="BalloonTextChar"/>
    <w:uiPriority w:val="99"/>
    <w:semiHidden/>
    <w:rsid w:val="00647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72A8"/>
    <w:rPr>
      <w:rFonts w:ascii="Tahoma" w:hAnsi="Tahoma" w:cs="Tahoma"/>
      <w:sz w:val="16"/>
      <w:szCs w:val="16"/>
    </w:rPr>
  </w:style>
  <w:style w:type="paragraph" w:styleId="BodyText2">
    <w:name w:val="Body Text 2"/>
    <w:basedOn w:val="Normal"/>
    <w:link w:val="BodyText2Char"/>
    <w:uiPriority w:val="99"/>
    <w:rsid w:val="00223C11"/>
    <w:pPr>
      <w:spacing w:before="120" w:after="0" w:line="360" w:lineRule="auto"/>
      <w:jc w:val="both"/>
    </w:pPr>
    <w:rPr>
      <w:rFonts w:ascii="Arial" w:hAnsi="Arial" w:cs="Arial"/>
      <w:szCs w:val="20"/>
      <w:lang w:val="en-GB" w:eastAsia="de-DE"/>
    </w:rPr>
  </w:style>
  <w:style w:type="character" w:customStyle="1" w:styleId="BodyText2Char">
    <w:name w:val="Body Text 2 Char"/>
    <w:basedOn w:val="DefaultParagraphFont"/>
    <w:link w:val="BodyText2"/>
    <w:uiPriority w:val="99"/>
    <w:locked/>
    <w:rsid w:val="00223C11"/>
    <w:rPr>
      <w:rFonts w:ascii="Arial" w:hAnsi="Arial" w:cs="Arial"/>
      <w:sz w:val="20"/>
      <w:szCs w:val="20"/>
      <w:lang w:val="en-GB" w:eastAsia="de-DE"/>
    </w:rPr>
  </w:style>
  <w:style w:type="paragraph" w:customStyle="1" w:styleId="Level3">
    <w:name w:val="Level 3"/>
    <w:basedOn w:val="Normal"/>
    <w:link w:val="Level3Char"/>
    <w:uiPriority w:val="99"/>
    <w:rsid w:val="00223C11"/>
    <w:pPr>
      <w:tabs>
        <w:tab w:val="num" w:pos="2160"/>
      </w:tabs>
      <w:spacing w:after="140" w:line="290" w:lineRule="auto"/>
      <w:ind w:left="2160" w:hanging="720"/>
      <w:jc w:val="both"/>
    </w:pPr>
    <w:rPr>
      <w:rFonts w:ascii="Arial" w:hAnsi="Arial"/>
      <w:kern w:val="20"/>
      <w:sz w:val="20"/>
      <w:szCs w:val="28"/>
      <w:lang w:val="en-GB"/>
    </w:rPr>
  </w:style>
  <w:style w:type="character" w:customStyle="1" w:styleId="Level3Char">
    <w:name w:val="Level 3 Char"/>
    <w:basedOn w:val="DefaultParagraphFont"/>
    <w:link w:val="Level3"/>
    <w:uiPriority w:val="99"/>
    <w:locked/>
    <w:rsid w:val="00223C11"/>
    <w:rPr>
      <w:rFonts w:ascii="Arial" w:hAnsi="Arial" w:cs="Times New Roman"/>
      <w:kern w:val="20"/>
      <w:sz w:val="28"/>
      <w:szCs w:val="28"/>
      <w:lang w:val="en-GB"/>
    </w:rPr>
  </w:style>
  <w:style w:type="character" w:customStyle="1" w:styleId="shorttext">
    <w:name w:val="short_text"/>
    <w:basedOn w:val="DefaultParagraphFont"/>
    <w:uiPriority w:val="99"/>
    <w:rsid w:val="00223C11"/>
    <w:rPr>
      <w:rFonts w:cs="Times New Roman"/>
    </w:rPr>
  </w:style>
  <w:style w:type="character" w:customStyle="1" w:styleId="longtext">
    <w:name w:val="long_text"/>
    <w:basedOn w:val="DefaultParagraphFont"/>
    <w:uiPriority w:val="99"/>
    <w:rsid w:val="00223C11"/>
    <w:rPr>
      <w:rFonts w:cs="Times New Roman"/>
    </w:rPr>
  </w:style>
  <w:style w:type="paragraph" w:styleId="Header">
    <w:name w:val="header"/>
    <w:basedOn w:val="Normal"/>
    <w:link w:val="HeaderChar"/>
    <w:uiPriority w:val="99"/>
    <w:rsid w:val="00026390"/>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026390"/>
    <w:rPr>
      <w:rFonts w:cs="Times New Roman"/>
    </w:rPr>
  </w:style>
  <w:style w:type="paragraph" w:styleId="Footer">
    <w:name w:val="footer"/>
    <w:basedOn w:val="Normal"/>
    <w:link w:val="FooterChar"/>
    <w:uiPriority w:val="99"/>
    <w:rsid w:val="00026390"/>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026390"/>
    <w:rPr>
      <w:rFonts w:cs="Times New Roman"/>
    </w:rPr>
  </w:style>
  <w:style w:type="character" w:styleId="Strong">
    <w:name w:val="Strong"/>
    <w:basedOn w:val="DefaultParagraphFont"/>
    <w:uiPriority w:val="99"/>
    <w:qFormat/>
    <w:rsid w:val="00E8616E"/>
    <w:rPr>
      <w:rFonts w:cs="Times New Roman"/>
      <w:b/>
      <w:bCs/>
    </w:rPr>
  </w:style>
  <w:style w:type="character" w:customStyle="1" w:styleId="txtgrey1">
    <w:name w:val="txtgrey1"/>
    <w:basedOn w:val="DefaultParagraphFont"/>
    <w:uiPriority w:val="99"/>
    <w:rsid w:val="00E8616E"/>
    <w:rPr>
      <w:rFonts w:cs="Times New Roman"/>
    </w:rPr>
  </w:style>
  <w:style w:type="table" w:styleId="TableGrid">
    <w:name w:val="Table Grid"/>
    <w:basedOn w:val="TableNormal"/>
    <w:uiPriority w:val="99"/>
    <w:rsid w:val="00FF37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7165D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33535"/>
    <w:rPr>
      <w:rFonts w:ascii="Times New Roman" w:hAnsi="Times New Roman"/>
      <w:sz w:val="0"/>
      <w:szCs w:val="0"/>
      <w:lang w:eastAsia="ko-KR"/>
    </w:rPr>
  </w:style>
</w:styles>
</file>

<file path=word/webSettings.xml><?xml version="1.0" encoding="utf-8"?>
<w:webSettings xmlns:r="http://schemas.openxmlformats.org/officeDocument/2006/relationships" xmlns:w="http://schemas.openxmlformats.org/wordprocessingml/2006/main">
  <w:divs>
    <w:div w:id="1878539065">
      <w:marLeft w:val="0"/>
      <w:marRight w:val="0"/>
      <w:marTop w:val="0"/>
      <w:marBottom w:val="0"/>
      <w:divBdr>
        <w:top w:val="none" w:sz="0" w:space="0" w:color="auto"/>
        <w:left w:val="none" w:sz="0" w:space="0" w:color="auto"/>
        <w:bottom w:val="none" w:sz="0" w:space="0" w:color="auto"/>
        <w:right w:val="none" w:sz="0" w:space="0" w:color="auto"/>
      </w:divBdr>
      <w:divsChild>
        <w:div w:id="1878539060">
          <w:marLeft w:val="0"/>
          <w:marRight w:val="0"/>
          <w:marTop w:val="0"/>
          <w:marBottom w:val="0"/>
          <w:divBdr>
            <w:top w:val="none" w:sz="0" w:space="0" w:color="auto"/>
            <w:left w:val="none" w:sz="0" w:space="0" w:color="auto"/>
            <w:bottom w:val="none" w:sz="0" w:space="0" w:color="auto"/>
            <w:right w:val="none" w:sz="0" w:space="0" w:color="auto"/>
          </w:divBdr>
          <w:divsChild>
            <w:div w:id="1878539071">
              <w:marLeft w:val="0"/>
              <w:marRight w:val="0"/>
              <w:marTop w:val="0"/>
              <w:marBottom w:val="0"/>
              <w:divBdr>
                <w:top w:val="none" w:sz="0" w:space="0" w:color="auto"/>
                <w:left w:val="none" w:sz="0" w:space="0" w:color="auto"/>
                <w:bottom w:val="none" w:sz="0" w:space="0" w:color="auto"/>
                <w:right w:val="none" w:sz="0" w:space="0" w:color="auto"/>
              </w:divBdr>
            </w:div>
          </w:divsChild>
        </w:div>
        <w:div w:id="1878539062">
          <w:marLeft w:val="0"/>
          <w:marRight w:val="0"/>
          <w:marTop w:val="0"/>
          <w:marBottom w:val="0"/>
          <w:divBdr>
            <w:top w:val="none" w:sz="0" w:space="0" w:color="auto"/>
            <w:left w:val="none" w:sz="0" w:space="0" w:color="auto"/>
            <w:bottom w:val="none" w:sz="0" w:space="0" w:color="auto"/>
            <w:right w:val="none" w:sz="0" w:space="0" w:color="auto"/>
          </w:divBdr>
          <w:divsChild>
            <w:div w:id="1878539064">
              <w:marLeft w:val="0"/>
              <w:marRight w:val="0"/>
              <w:marTop w:val="0"/>
              <w:marBottom w:val="0"/>
              <w:divBdr>
                <w:top w:val="none" w:sz="0" w:space="0" w:color="auto"/>
                <w:left w:val="none" w:sz="0" w:space="0" w:color="auto"/>
                <w:bottom w:val="none" w:sz="0" w:space="0" w:color="auto"/>
                <w:right w:val="none" w:sz="0" w:space="0" w:color="auto"/>
              </w:divBdr>
              <w:divsChild>
                <w:div w:id="1878539059">
                  <w:marLeft w:val="0"/>
                  <w:marRight w:val="0"/>
                  <w:marTop w:val="0"/>
                  <w:marBottom w:val="0"/>
                  <w:divBdr>
                    <w:top w:val="none" w:sz="0" w:space="0" w:color="auto"/>
                    <w:left w:val="none" w:sz="0" w:space="0" w:color="auto"/>
                    <w:bottom w:val="none" w:sz="0" w:space="0" w:color="auto"/>
                    <w:right w:val="none" w:sz="0" w:space="0" w:color="auto"/>
                  </w:divBdr>
                  <w:divsChild>
                    <w:div w:id="1878539063">
                      <w:marLeft w:val="0"/>
                      <w:marRight w:val="0"/>
                      <w:marTop w:val="0"/>
                      <w:marBottom w:val="0"/>
                      <w:divBdr>
                        <w:top w:val="none" w:sz="0" w:space="0" w:color="auto"/>
                        <w:left w:val="none" w:sz="0" w:space="0" w:color="auto"/>
                        <w:bottom w:val="none" w:sz="0" w:space="0" w:color="auto"/>
                        <w:right w:val="none" w:sz="0" w:space="0" w:color="auto"/>
                      </w:divBdr>
                    </w:div>
                    <w:div w:id="18785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539068">
          <w:marLeft w:val="0"/>
          <w:marRight w:val="0"/>
          <w:marTop w:val="0"/>
          <w:marBottom w:val="0"/>
          <w:divBdr>
            <w:top w:val="none" w:sz="0" w:space="0" w:color="auto"/>
            <w:left w:val="none" w:sz="0" w:space="0" w:color="auto"/>
            <w:bottom w:val="none" w:sz="0" w:space="0" w:color="auto"/>
            <w:right w:val="none" w:sz="0" w:space="0" w:color="auto"/>
          </w:divBdr>
          <w:divsChild>
            <w:div w:id="18785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39066">
      <w:marLeft w:val="0"/>
      <w:marRight w:val="0"/>
      <w:marTop w:val="0"/>
      <w:marBottom w:val="0"/>
      <w:divBdr>
        <w:top w:val="none" w:sz="0" w:space="0" w:color="auto"/>
        <w:left w:val="none" w:sz="0" w:space="0" w:color="auto"/>
        <w:bottom w:val="none" w:sz="0" w:space="0" w:color="auto"/>
        <w:right w:val="none" w:sz="0" w:space="0" w:color="auto"/>
      </w:divBdr>
      <w:divsChild>
        <w:div w:id="1878539072">
          <w:marLeft w:val="0"/>
          <w:marRight w:val="0"/>
          <w:marTop w:val="0"/>
          <w:marBottom w:val="0"/>
          <w:divBdr>
            <w:top w:val="none" w:sz="0" w:space="0" w:color="auto"/>
            <w:left w:val="none" w:sz="0" w:space="0" w:color="auto"/>
            <w:bottom w:val="none" w:sz="0" w:space="0" w:color="auto"/>
            <w:right w:val="none" w:sz="0" w:space="0" w:color="auto"/>
          </w:divBdr>
          <w:divsChild>
            <w:div w:id="1878539058">
              <w:marLeft w:val="0"/>
              <w:marRight w:val="0"/>
              <w:marTop w:val="0"/>
              <w:marBottom w:val="0"/>
              <w:divBdr>
                <w:top w:val="none" w:sz="0" w:space="0" w:color="auto"/>
                <w:left w:val="none" w:sz="0" w:space="0" w:color="auto"/>
                <w:bottom w:val="none" w:sz="0" w:space="0" w:color="auto"/>
                <w:right w:val="none" w:sz="0" w:space="0" w:color="auto"/>
              </w:divBdr>
              <w:divsChild>
                <w:div w:id="1878539069">
                  <w:marLeft w:val="150"/>
                  <w:marRight w:val="150"/>
                  <w:marTop w:val="150"/>
                  <w:marBottom w:val="0"/>
                  <w:divBdr>
                    <w:top w:val="none" w:sz="0" w:space="0" w:color="auto"/>
                    <w:left w:val="none" w:sz="0" w:space="0" w:color="auto"/>
                    <w:bottom w:val="none" w:sz="0" w:space="0" w:color="auto"/>
                    <w:right w:val="none" w:sz="0" w:space="0" w:color="auto"/>
                  </w:divBdr>
                  <w:divsChild>
                    <w:div w:id="1878539070">
                      <w:marLeft w:val="0"/>
                      <w:marRight w:val="0"/>
                      <w:marTop w:val="0"/>
                      <w:marBottom w:val="0"/>
                      <w:divBdr>
                        <w:top w:val="none" w:sz="0" w:space="0" w:color="auto"/>
                        <w:left w:val="none" w:sz="0" w:space="0" w:color="auto"/>
                        <w:bottom w:val="none" w:sz="0" w:space="0" w:color="auto"/>
                        <w:right w:val="none" w:sz="0" w:space="0" w:color="auto"/>
                      </w:divBdr>
                    </w:div>
                    <w:div w:id="187853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aso.gr" TargetMode="External"/><Relationship Id="rId3" Type="http://schemas.openxmlformats.org/officeDocument/2006/relationships/settings" Target="settings.xml"/><Relationship Id="rId7" Type="http://schemas.openxmlformats.org/officeDocument/2006/relationships/hyperlink" Target="http://www.ase.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2</Pages>
  <Words>507</Words>
  <Characters>2740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ΔΕΛΤΙΟ ΤΥΠΟΥ</dc:title>
  <dc:subject/>
  <dc:creator>bouchoris</dc:creator>
  <cp:keywords/>
  <dc:description/>
  <cp:lastModifiedBy>chrska</cp:lastModifiedBy>
  <cp:revision>2</cp:revision>
  <cp:lastPrinted>2011-11-30T15:19:00Z</cp:lastPrinted>
  <dcterms:created xsi:type="dcterms:W3CDTF">2011-11-30T15:39:00Z</dcterms:created>
  <dcterms:modified xsi:type="dcterms:W3CDTF">2011-11-30T15:39:00Z</dcterms:modified>
</cp:coreProperties>
</file>