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5C3" w:rsidRDefault="00712812" w:rsidP="002802A5">
      <w:pPr>
        <w:jc w:val="center"/>
        <w:rPr>
          <w:b/>
          <w:sz w:val="32"/>
          <w:szCs w:val="32"/>
          <w:u w:val="single"/>
        </w:rPr>
      </w:pPr>
      <w:r w:rsidRPr="006745C3">
        <w:rPr>
          <w:b/>
          <w:sz w:val="32"/>
          <w:szCs w:val="32"/>
          <w:u w:val="single"/>
        </w:rPr>
        <w:t>ΑΝΑΚΟΙΝΩΣΗ – ΔΕΛΤΙΟ ΤΥΠΟΥ</w:t>
      </w:r>
    </w:p>
    <w:p w:rsidR="0023320A" w:rsidRDefault="0023320A" w:rsidP="002802A5">
      <w:pPr>
        <w:jc w:val="center"/>
        <w:rPr>
          <w:b/>
          <w:sz w:val="26"/>
          <w:szCs w:val="26"/>
        </w:rPr>
      </w:pPr>
    </w:p>
    <w:p w:rsidR="000C5185" w:rsidRDefault="0023320A" w:rsidP="002802A5">
      <w:pPr>
        <w:jc w:val="center"/>
        <w:rPr>
          <w:b/>
          <w:sz w:val="26"/>
          <w:szCs w:val="26"/>
        </w:rPr>
      </w:pPr>
      <w:r w:rsidRPr="0023320A">
        <w:rPr>
          <w:b/>
          <w:sz w:val="26"/>
          <w:szCs w:val="26"/>
        </w:rPr>
        <w:t xml:space="preserve">Σταθερά σε κερδοφορία </w:t>
      </w:r>
      <w:r>
        <w:rPr>
          <w:b/>
          <w:sz w:val="26"/>
          <w:szCs w:val="26"/>
        </w:rPr>
        <w:t xml:space="preserve">προ φόρων </w:t>
      </w:r>
      <w:r w:rsidRPr="0023320A">
        <w:rPr>
          <w:b/>
          <w:sz w:val="26"/>
          <w:szCs w:val="26"/>
        </w:rPr>
        <w:t>ο όμιλος ΙΑΣΩ</w:t>
      </w:r>
    </w:p>
    <w:p w:rsidR="00876AB4" w:rsidRPr="00712812" w:rsidRDefault="00712812" w:rsidP="00286120">
      <w:pPr>
        <w:jc w:val="both"/>
        <w:rPr>
          <w:sz w:val="26"/>
          <w:szCs w:val="26"/>
        </w:rPr>
      </w:pPr>
      <w:r w:rsidRPr="00712812">
        <w:rPr>
          <w:sz w:val="26"/>
          <w:szCs w:val="26"/>
        </w:rPr>
        <w:t xml:space="preserve">Δημοσιεύτηκαν τα </w:t>
      </w:r>
      <w:r w:rsidR="00876AB4" w:rsidRPr="00712812">
        <w:rPr>
          <w:sz w:val="26"/>
          <w:szCs w:val="26"/>
        </w:rPr>
        <w:t xml:space="preserve">αποτελέσματα </w:t>
      </w:r>
      <w:r w:rsidR="005A114B">
        <w:rPr>
          <w:sz w:val="26"/>
          <w:szCs w:val="26"/>
        </w:rPr>
        <w:t xml:space="preserve">του </w:t>
      </w:r>
      <w:r w:rsidR="00964FED">
        <w:rPr>
          <w:sz w:val="26"/>
          <w:szCs w:val="26"/>
        </w:rPr>
        <w:t>Α’</w:t>
      </w:r>
      <w:r w:rsidR="00876AB4" w:rsidRPr="00712812">
        <w:rPr>
          <w:sz w:val="26"/>
          <w:szCs w:val="26"/>
        </w:rPr>
        <w:t xml:space="preserve"> </w:t>
      </w:r>
      <w:r w:rsidR="008E0DBA">
        <w:rPr>
          <w:sz w:val="26"/>
          <w:szCs w:val="26"/>
        </w:rPr>
        <w:t>εξαμήνου 201</w:t>
      </w:r>
      <w:r w:rsidR="0023320A" w:rsidRPr="0023320A">
        <w:rPr>
          <w:sz w:val="26"/>
          <w:szCs w:val="26"/>
        </w:rPr>
        <w:t>2</w:t>
      </w:r>
      <w:r w:rsidR="00876AB4" w:rsidRPr="00712812">
        <w:rPr>
          <w:sz w:val="26"/>
          <w:szCs w:val="26"/>
        </w:rPr>
        <w:t xml:space="preserve"> </w:t>
      </w:r>
      <w:r w:rsidR="00FF378A">
        <w:rPr>
          <w:sz w:val="26"/>
          <w:szCs w:val="26"/>
        </w:rPr>
        <w:t>της μητρικής</w:t>
      </w:r>
      <w:r w:rsidR="00876AB4" w:rsidRPr="00712812">
        <w:rPr>
          <w:sz w:val="26"/>
          <w:szCs w:val="26"/>
        </w:rPr>
        <w:t xml:space="preserve"> εταιρείας</w:t>
      </w:r>
      <w:r w:rsidR="006745C3">
        <w:rPr>
          <w:sz w:val="26"/>
          <w:szCs w:val="26"/>
        </w:rPr>
        <w:t xml:space="preserve"> </w:t>
      </w:r>
      <w:r w:rsidR="00876AB4" w:rsidRPr="00712812">
        <w:rPr>
          <w:sz w:val="26"/>
          <w:szCs w:val="26"/>
        </w:rPr>
        <w:t xml:space="preserve"> και του ομίλου «ΙΑΣΩ»</w:t>
      </w:r>
      <w:r w:rsidR="006745C3">
        <w:rPr>
          <w:sz w:val="26"/>
          <w:szCs w:val="26"/>
        </w:rPr>
        <w:t>,</w:t>
      </w:r>
      <w:r w:rsidR="00876AB4" w:rsidRPr="00712812">
        <w:rPr>
          <w:sz w:val="26"/>
          <w:szCs w:val="26"/>
        </w:rPr>
        <w:t xml:space="preserve"> </w:t>
      </w:r>
      <w:r w:rsidRPr="00712812">
        <w:rPr>
          <w:sz w:val="26"/>
          <w:szCs w:val="26"/>
        </w:rPr>
        <w:t xml:space="preserve">τα σημαντικότερα των οποίων </w:t>
      </w:r>
      <w:r w:rsidR="00876AB4" w:rsidRPr="00712812">
        <w:rPr>
          <w:sz w:val="26"/>
          <w:szCs w:val="26"/>
        </w:rPr>
        <w:t xml:space="preserve">είναι αντίστοιχα: </w:t>
      </w:r>
    </w:p>
    <w:tbl>
      <w:tblPr>
        <w:tblStyle w:val="TableGrid"/>
        <w:tblW w:w="0" w:type="auto"/>
        <w:tblLook w:val="04A0"/>
      </w:tblPr>
      <w:tblGrid>
        <w:gridCol w:w="3936"/>
        <w:gridCol w:w="2409"/>
        <w:gridCol w:w="2511"/>
      </w:tblGrid>
      <w:tr w:rsidR="00FF378A" w:rsidTr="00FF378A">
        <w:tc>
          <w:tcPr>
            <w:tcW w:w="3936" w:type="dxa"/>
          </w:tcPr>
          <w:p w:rsidR="00FF378A" w:rsidRPr="00712812" w:rsidRDefault="00FF378A" w:rsidP="007F0AF8">
            <w:pPr>
              <w:rPr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:rsidR="00FF378A" w:rsidRPr="00FF378A" w:rsidRDefault="00FF378A" w:rsidP="00FF37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Εταιρεία</w:t>
            </w:r>
          </w:p>
        </w:tc>
        <w:tc>
          <w:tcPr>
            <w:tcW w:w="2511" w:type="dxa"/>
          </w:tcPr>
          <w:p w:rsidR="00FF378A" w:rsidRPr="00FF378A" w:rsidRDefault="00FF378A" w:rsidP="00FF37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Όμιλος</w:t>
            </w:r>
          </w:p>
        </w:tc>
      </w:tr>
      <w:tr w:rsidR="00FF378A" w:rsidTr="00FF378A">
        <w:tc>
          <w:tcPr>
            <w:tcW w:w="3936" w:type="dxa"/>
          </w:tcPr>
          <w:p w:rsidR="00FF378A" w:rsidRDefault="00FF378A" w:rsidP="007F0AF8">
            <w:pPr>
              <w:rPr>
                <w:b/>
                <w:sz w:val="26"/>
                <w:szCs w:val="26"/>
              </w:rPr>
            </w:pPr>
            <w:r w:rsidRPr="00712812">
              <w:rPr>
                <w:b/>
                <w:sz w:val="26"/>
                <w:szCs w:val="26"/>
              </w:rPr>
              <w:t xml:space="preserve">Κύκλος εργασιών:   </w:t>
            </w:r>
          </w:p>
        </w:tc>
        <w:tc>
          <w:tcPr>
            <w:tcW w:w="2409" w:type="dxa"/>
          </w:tcPr>
          <w:p w:rsidR="00FF378A" w:rsidRPr="0023320A" w:rsidRDefault="0023320A" w:rsidP="0023320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€ 33,33 εκ.</w:t>
            </w:r>
          </w:p>
        </w:tc>
        <w:tc>
          <w:tcPr>
            <w:tcW w:w="2511" w:type="dxa"/>
          </w:tcPr>
          <w:p w:rsidR="00FF378A" w:rsidRPr="0023320A" w:rsidRDefault="0023320A" w:rsidP="00FF378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€ 62,76 εκ.</w:t>
            </w:r>
          </w:p>
        </w:tc>
      </w:tr>
      <w:tr w:rsidR="00FF378A" w:rsidTr="00FF378A">
        <w:tc>
          <w:tcPr>
            <w:tcW w:w="3936" w:type="dxa"/>
          </w:tcPr>
          <w:p w:rsidR="00FF378A" w:rsidRDefault="00FF378A" w:rsidP="007F0AF8">
            <w:pPr>
              <w:rPr>
                <w:b/>
                <w:sz w:val="26"/>
                <w:szCs w:val="26"/>
              </w:rPr>
            </w:pPr>
            <w:r w:rsidRPr="00712812">
              <w:rPr>
                <w:b/>
                <w:sz w:val="26"/>
                <w:szCs w:val="26"/>
              </w:rPr>
              <w:t xml:space="preserve">EBITDA:   </w:t>
            </w:r>
          </w:p>
        </w:tc>
        <w:tc>
          <w:tcPr>
            <w:tcW w:w="2409" w:type="dxa"/>
          </w:tcPr>
          <w:p w:rsidR="00FF378A" w:rsidRPr="0023320A" w:rsidRDefault="0023320A" w:rsidP="0023320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€ 7,86 εκ.</w:t>
            </w:r>
          </w:p>
        </w:tc>
        <w:tc>
          <w:tcPr>
            <w:tcW w:w="2511" w:type="dxa"/>
          </w:tcPr>
          <w:p w:rsidR="00FF378A" w:rsidRPr="0023320A" w:rsidRDefault="0023320A" w:rsidP="00FF378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€   9,67 εκ.</w:t>
            </w:r>
          </w:p>
        </w:tc>
      </w:tr>
      <w:tr w:rsidR="00FF378A" w:rsidTr="00FF378A">
        <w:tc>
          <w:tcPr>
            <w:tcW w:w="3936" w:type="dxa"/>
          </w:tcPr>
          <w:p w:rsidR="00FF378A" w:rsidRDefault="00FF378A" w:rsidP="007F0AF8">
            <w:pPr>
              <w:rPr>
                <w:b/>
                <w:sz w:val="26"/>
                <w:szCs w:val="26"/>
              </w:rPr>
            </w:pPr>
            <w:r w:rsidRPr="00712812">
              <w:rPr>
                <w:b/>
                <w:sz w:val="26"/>
                <w:szCs w:val="26"/>
              </w:rPr>
              <w:t xml:space="preserve">Κέρδη προ φόρων:   </w:t>
            </w:r>
          </w:p>
        </w:tc>
        <w:tc>
          <w:tcPr>
            <w:tcW w:w="2409" w:type="dxa"/>
          </w:tcPr>
          <w:p w:rsidR="00FF378A" w:rsidRPr="0023320A" w:rsidRDefault="0023320A" w:rsidP="00FF378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€ 1,90 εκ.</w:t>
            </w:r>
          </w:p>
        </w:tc>
        <w:tc>
          <w:tcPr>
            <w:tcW w:w="2511" w:type="dxa"/>
          </w:tcPr>
          <w:p w:rsidR="00FF378A" w:rsidRPr="0023320A" w:rsidRDefault="0023320A" w:rsidP="00FF378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€   0,07 εκ.</w:t>
            </w:r>
          </w:p>
        </w:tc>
      </w:tr>
      <w:tr w:rsidR="00FF378A" w:rsidTr="00FF378A">
        <w:tc>
          <w:tcPr>
            <w:tcW w:w="3936" w:type="dxa"/>
          </w:tcPr>
          <w:p w:rsidR="00FF378A" w:rsidRPr="00712812" w:rsidRDefault="00FF378A" w:rsidP="007F0AF8">
            <w:pPr>
              <w:rPr>
                <w:b/>
                <w:sz w:val="26"/>
                <w:szCs w:val="26"/>
              </w:rPr>
            </w:pPr>
            <w:r w:rsidRPr="00712812">
              <w:rPr>
                <w:b/>
                <w:sz w:val="26"/>
                <w:szCs w:val="26"/>
              </w:rPr>
              <w:t xml:space="preserve">Κέρδη </w:t>
            </w:r>
            <w:r w:rsidR="0023320A">
              <w:rPr>
                <w:b/>
                <w:sz w:val="26"/>
                <w:szCs w:val="26"/>
              </w:rPr>
              <w:t xml:space="preserve">(ζημίες) </w:t>
            </w:r>
            <w:r w:rsidRPr="00712812">
              <w:rPr>
                <w:b/>
                <w:sz w:val="26"/>
                <w:szCs w:val="26"/>
              </w:rPr>
              <w:t xml:space="preserve">μετά από φόρους:  </w:t>
            </w:r>
          </w:p>
        </w:tc>
        <w:tc>
          <w:tcPr>
            <w:tcW w:w="2409" w:type="dxa"/>
          </w:tcPr>
          <w:p w:rsidR="00FF378A" w:rsidRPr="0023320A" w:rsidRDefault="0023320A" w:rsidP="00FF378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€ 1,41 εκ.</w:t>
            </w:r>
          </w:p>
        </w:tc>
        <w:tc>
          <w:tcPr>
            <w:tcW w:w="2511" w:type="dxa"/>
          </w:tcPr>
          <w:p w:rsidR="00FF378A" w:rsidRPr="0023320A" w:rsidRDefault="0023320A" w:rsidP="0023320A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€ -0,90 εκ.</w:t>
            </w:r>
          </w:p>
        </w:tc>
      </w:tr>
    </w:tbl>
    <w:p w:rsidR="00FF378A" w:rsidRDefault="00FF378A" w:rsidP="00286120">
      <w:pPr>
        <w:jc w:val="both"/>
        <w:rPr>
          <w:sz w:val="26"/>
          <w:szCs w:val="26"/>
        </w:rPr>
      </w:pPr>
    </w:p>
    <w:p w:rsidR="00D27FE5" w:rsidRPr="00712812" w:rsidRDefault="00D27FE5" w:rsidP="00286120">
      <w:pPr>
        <w:jc w:val="both"/>
        <w:rPr>
          <w:sz w:val="26"/>
          <w:szCs w:val="26"/>
        </w:rPr>
      </w:pPr>
      <w:r w:rsidRPr="00712812">
        <w:rPr>
          <w:sz w:val="26"/>
          <w:szCs w:val="26"/>
        </w:rPr>
        <w:t xml:space="preserve">Με </w:t>
      </w:r>
      <w:r w:rsidR="00712812" w:rsidRPr="00712812">
        <w:rPr>
          <w:sz w:val="26"/>
          <w:szCs w:val="26"/>
        </w:rPr>
        <w:t xml:space="preserve">τη δημοσίευση των </w:t>
      </w:r>
      <w:r w:rsidRPr="00712812">
        <w:rPr>
          <w:sz w:val="26"/>
          <w:szCs w:val="26"/>
        </w:rPr>
        <w:t>ενδιάμεσ</w:t>
      </w:r>
      <w:r w:rsidR="00712812" w:rsidRPr="00712812">
        <w:rPr>
          <w:sz w:val="26"/>
          <w:szCs w:val="26"/>
        </w:rPr>
        <w:t>ων οικονομικών καταστάσεων του</w:t>
      </w:r>
      <w:r w:rsidRPr="00712812">
        <w:rPr>
          <w:sz w:val="26"/>
          <w:szCs w:val="26"/>
        </w:rPr>
        <w:t xml:space="preserve"> </w:t>
      </w:r>
      <w:r w:rsidR="00964FED">
        <w:rPr>
          <w:sz w:val="26"/>
          <w:szCs w:val="26"/>
        </w:rPr>
        <w:t>Α’</w:t>
      </w:r>
      <w:r w:rsidR="00712812" w:rsidRPr="00712812">
        <w:rPr>
          <w:sz w:val="26"/>
          <w:szCs w:val="26"/>
        </w:rPr>
        <w:t xml:space="preserve"> </w:t>
      </w:r>
      <w:r w:rsidR="008E0DBA">
        <w:rPr>
          <w:sz w:val="26"/>
          <w:szCs w:val="26"/>
        </w:rPr>
        <w:t>εξα</w:t>
      </w:r>
      <w:r w:rsidRPr="00712812">
        <w:rPr>
          <w:sz w:val="26"/>
          <w:szCs w:val="26"/>
        </w:rPr>
        <w:t>μήνου 201</w:t>
      </w:r>
      <w:r w:rsidR="0023320A">
        <w:rPr>
          <w:sz w:val="26"/>
          <w:szCs w:val="26"/>
        </w:rPr>
        <w:t>2</w:t>
      </w:r>
      <w:r w:rsidR="00CA67D7" w:rsidRPr="00712812">
        <w:rPr>
          <w:sz w:val="26"/>
          <w:szCs w:val="26"/>
        </w:rPr>
        <w:t xml:space="preserve">, </w:t>
      </w:r>
      <w:r w:rsidRPr="00712812">
        <w:rPr>
          <w:sz w:val="26"/>
          <w:szCs w:val="26"/>
        </w:rPr>
        <w:t>ο Πρόεδρος του Δ</w:t>
      </w:r>
      <w:r w:rsidR="00CA67D7" w:rsidRPr="00712812">
        <w:rPr>
          <w:sz w:val="26"/>
          <w:szCs w:val="26"/>
        </w:rPr>
        <w:t xml:space="preserve">.Σ. </w:t>
      </w:r>
      <w:r w:rsidR="0036602D">
        <w:rPr>
          <w:sz w:val="26"/>
          <w:szCs w:val="26"/>
        </w:rPr>
        <w:t xml:space="preserve">κ. </w:t>
      </w:r>
      <w:r w:rsidR="00CA67D7" w:rsidRPr="00712812">
        <w:rPr>
          <w:sz w:val="26"/>
          <w:szCs w:val="26"/>
        </w:rPr>
        <w:t>Γ</w:t>
      </w:r>
      <w:r w:rsidR="005A114B">
        <w:rPr>
          <w:sz w:val="26"/>
          <w:szCs w:val="26"/>
        </w:rPr>
        <w:t>εώργιος</w:t>
      </w:r>
      <w:r w:rsidR="00CA67D7" w:rsidRPr="00712812">
        <w:rPr>
          <w:sz w:val="26"/>
          <w:szCs w:val="26"/>
        </w:rPr>
        <w:t xml:space="preserve"> Σταματίου σχολίασε</w:t>
      </w:r>
      <w:r w:rsidRPr="00712812">
        <w:rPr>
          <w:sz w:val="26"/>
          <w:szCs w:val="26"/>
        </w:rPr>
        <w:t xml:space="preserve"> :</w:t>
      </w:r>
    </w:p>
    <w:p w:rsidR="008E0DBA" w:rsidRPr="0023320A" w:rsidRDefault="005A114B" w:rsidP="00286120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3320A">
        <w:rPr>
          <w:sz w:val="26"/>
          <w:szCs w:val="26"/>
        </w:rPr>
        <w:t xml:space="preserve"> Η διατήρηση του ομίλου ΙΑΣΩ σταθερά σε κερδοφόρα πορεία και εντός του 2012 , παρά τις ιδιαίτερα αντίξοες συνθήκες που επικρατούν στην Ελληνική οικονομία και τις μεγάλες αλλαγές που συντελέσθηκαν στον κλάδο στο πρώτο εξάμηνο του 2012 είναι γεγονός που μας ικανοποιεί ιδιαίτερα.</w:t>
      </w:r>
    </w:p>
    <w:p w:rsidR="00834337" w:rsidRDefault="0023320A" w:rsidP="00A12336">
      <w:pPr>
        <w:jc w:val="both"/>
        <w:rPr>
          <w:sz w:val="26"/>
          <w:szCs w:val="26"/>
        </w:rPr>
      </w:pPr>
      <w:r>
        <w:rPr>
          <w:sz w:val="26"/>
          <w:szCs w:val="26"/>
        </w:rPr>
        <w:t>Εντός του Α’ εξαμήνου του 2012 , ο όμιλος ΙΑΣΩ ξεκίνησε συνεργασία με τον ΕΟΠΥΥ, αλλά και ασφαλιστικές εταιρείες</w:t>
      </w:r>
      <w:r w:rsidR="008B5CCB" w:rsidRPr="008B5CCB">
        <w:rPr>
          <w:sz w:val="26"/>
          <w:szCs w:val="26"/>
        </w:rPr>
        <w:t>,</w:t>
      </w:r>
      <w:r>
        <w:rPr>
          <w:sz w:val="26"/>
          <w:szCs w:val="26"/>
        </w:rPr>
        <w:t xml:space="preserve"> γεγονός που δημιούργησε νέες προκλήσεις για όλους μας και απαίτησε σημαντικές επενδύσεις σε αναδιοργάνωση των υπηρεσιών μας. Σε αυτό το έργο, το ανθρώπινο δυναμικό και οι Ιατροί συνεργάτες του </w:t>
      </w:r>
      <w:r w:rsidR="007933AD">
        <w:rPr>
          <w:sz w:val="26"/>
          <w:szCs w:val="26"/>
        </w:rPr>
        <w:t xml:space="preserve">ομίλου </w:t>
      </w:r>
      <w:r>
        <w:rPr>
          <w:sz w:val="26"/>
          <w:szCs w:val="26"/>
        </w:rPr>
        <w:t>ΙΑΣΩ ανταποκρ</w:t>
      </w:r>
      <w:r w:rsidR="008B5CCB">
        <w:rPr>
          <w:sz w:val="26"/>
          <w:szCs w:val="26"/>
        </w:rPr>
        <w:t>ί</w:t>
      </w:r>
      <w:r>
        <w:rPr>
          <w:sz w:val="26"/>
          <w:szCs w:val="26"/>
        </w:rPr>
        <w:t>θ</w:t>
      </w:r>
      <w:r w:rsidR="008B5CCB">
        <w:rPr>
          <w:sz w:val="26"/>
          <w:szCs w:val="26"/>
        </w:rPr>
        <w:t>η</w:t>
      </w:r>
      <w:r>
        <w:rPr>
          <w:sz w:val="26"/>
          <w:szCs w:val="26"/>
        </w:rPr>
        <w:t xml:space="preserve">καν με επιτυχία , γεγονός που </w:t>
      </w:r>
      <w:r w:rsidR="007933AD">
        <w:rPr>
          <w:sz w:val="26"/>
          <w:szCs w:val="26"/>
        </w:rPr>
        <w:t>καταδυκνείεται από την αύξηση των εισαγωγών εσωτερικών ασθενών του ομίλου κατά 7,5%</w:t>
      </w:r>
      <w:r w:rsidR="00205119">
        <w:rPr>
          <w:sz w:val="26"/>
          <w:szCs w:val="26"/>
        </w:rPr>
        <w:t xml:space="preserve"> κατά το Α’ εξάμηνο του 2012</w:t>
      </w:r>
      <w:r w:rsidR="007933AD">
        <w:rPr>
          <w:sz w:val="26"/>
          <w:szCs w:val="26"/>
        </w:rPr>
        <w:t>.</w:t>
      </w:r>
    </w:p>
    <w:p w:rsidR="00205119" w:rsidRDefault="00801199" w:rsidP="00A12336">
      <w:pPr>
        <w:jc w:val="both"/>
        <w:rPr>
          <w:sz w:val="26"/>
          <w:szCs w:val="26"/>
        </w:rPr>
      </w:pPr>
      <w:r>
        <w:rPr>
          <w:sz w:val="26"/>
          <w:szCs w:val="26"/>
        </w:rPr>
        <w:t>Αυτό που θα</w:t>
      </w:r>
      <w:r w:rsidR="003A038A">
        <w:rPr>
          <w:sz w:val="26"/>
          <w:szCs w:val="26"/>
        </w:rPr>
        <w:t xml:space="preserve"> πρέπει</w:t>
      </w:r>
      <w:r w:rsidR="00D27FE5" w:rsidRPr="00712812">
        <w:rPr>
          <w:sz w:val="26"/>
          <w:szCs w:val="26"/>
        </w:rPr>
        <w:t xml:space="preserve"> </w:t>
      </w:r>
      <w:r w:rsidR="002966D1">
        <w:rPr>
          <w:sz w:val="26"/>
          <w:szCs w:val="26"/>
        </w:rPr>
        <w:t>ν</w:t>
      </w:r>
      <w:r w:rsidR="007A5A60" w:rsidRPr="00712812">
        <w:rPr>
          <w:sz w:val="26"/>
          <w:szCs w:val="26"/>
        </w:rPr>
        <w:t>α επισημανθεί σ</w:t>
      </w:r>
      <w:r w:rsidR="00E84D6E" w:rsidRPr="00712812">
        <w:rPr>
          <w:sz w:val="26"/>
          <w:szCs w:val="26"/>
        </w:rPr>
        <w:t xml:space="preserve">τα αποτελέσματα του </w:t>
      </w:r>
      <w:r w:rsidR="00712812">
        <w:rPr>
          <w:sz w:val="26"/>
          <w:szCs w:val="26"/>
        </w:rPr>
        <w:t>Α΄</w:t>
      </w:r>
      <w:r w:rsidR="00B213FD">
        <w:rPr>
          <w:sz w:val="26"/>
          <w:szCs w:val="26"/>
        </w:rPr>
        <w:t xml:space="preserve"> </w:t>
      </w:r>
      <w:r w:rsidR="008E0DBA">
        <w:rPr>
          <w:sz w:val="26"/>
          <w:szCs w:val="26"/>
        </w:rPr>
        <w:t>εξαμ</w:t>
      </w:r>
      <w:r w:rsidR="00B213FD">
        <w:rPr>
          <w:sz w:val="26"/>
          <w:szCs w:val="26"/>
        </w:rPr>
        <w:t>ήνου</w:t>
      </w:r>
      <w:r w:rsidR="00712812">
        <w:rPr>
          <w:sz w:val="26"/>
          <w:szCs w:val="26"/>
        </w:rPr>
        <w:t>,</w:t>
      </w:r>
      <w:r w:rsidR="00E13FEF" w:rsidRPr="00712812">
        <w:rPr>
          <w:sz w:val="26"/>
          <w:szCs w:val="26"/>
        </w:rPr>
        <w:t xml:space="preserve"> </w:t>
      </w:r>
      <w:r w:rsidR="0023436D">
        <w:rPr>
          <w:sz w:val="26"/>
          <w:szCs w:val="26"/>
        </w:rPr>
        <w:t xml:space="preserve">είναι </w:t>
      </w:r>
      <w:r w:rsidR="00106BC5" w:rsidRPr="00712812">
        <w:rPr>
          <w:sz w:val="26"/>
          <w:szCs w:val="26"/>
        </w:rPr>
        <w:t xml:space="preserve">ότι </w:t>
      </w:r>
      <w:r w:rsidR="00E84D6E" w:rsidRPr="00712812">
        <w:rPr>
          <w:sz w:val="26"/>
          <w:szCs w:val="26"/>
        </w:rPr>
        <w:t>υπήρξε</w:t>
      </w:r>
      <w:r w:rsidR="00106BC5" w:rsidRPr="00712812">
        <w:rPr>
          <w:sz w:val="26"/>
          <w:szCs w:val="26"/>
        </w:rPr>
        <w:t xml:space="preserve"> </w:t>
      </w:r>
      <w:r w:rsidR="00205119">
        <w:rPr>
          <w:sz w:val="26"/>
          <w:szCs w:val="26"/>
        </w:rPr>
        <w:t>βελτίωση των μικτών αποτελεσμάτων σε επίπεδο ομίλου, με το μικτό περιθώριο κέρδους να παρουσιάζει βελτίωση κατά 2 ποσοστιαίες μονάδες  ενώ στην μητρική εταιρεία παρέμειναν σταθερά στα επίπεδα του Α’</w:t>
      </w:r>
      <w:r w:rsidR="008B5CCB" w:rsidRPr="008B5CCB">
        <w:rPr>
          <w:sz w:val="26"/>
          <w:szCs w:val="26"/>
        </w:rPr>
        <w:t xml:space="preserve"> </w:t>
      </w:r>
      <w:r w:rsidR="00205119">
        <w:rPr>
          <w:sz w:val="26"/>
          <w:szCs w:val="26"/>
        </w:rPr>
        <w:t>εξαμήνου του 2011</w:t>
      </w:r>
      <w:r w:rsidR="00D01377">
        <w:rPr>
          <w:sz w:val="26"/>
          <w:szCs w:val="26"/>
        </w:rPr>
        <w:t>, τα οποία είναι από τα υψηλότερα του κλάδου</w:t>
      </w:r>
      <w:r w:rsidR="00205119">
        <w:rPr>
          <w:sz w:val="26"/>
          <w:szCs w:val="26"/>
        </w:rPr>
        <w:t>.</w:t>
      </w:r>
    </w:p>
    <w:p w:rsidR="00D144F5" w:rsidRDefault="00205119" w:rsidP="00A123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Ιδιαίτερη  </w:t>
      </w:r>
      <w:r w:rsidR="008B5CCB">
        <w:rPr>
          <w:sz w:val="26"/>
          <w:szCs w:val="26"/>
        </w:rPr>
        <w:t xml:space="preserve">αναφορά </w:t>
      </w:r>
      <w:r>
        <w:rPr>
          <w:sz w:val="26"/>
          <w:szCs w:val="26"/>
        </w:rPr>
        <w:t xml:space="preserve">πρέπει να </w:t>
      </w:r>
      <w:r w:rsidR="008B5CCB">
        <w:rPr>
          <w:sz w:val="26"/>
          <w:szCs w:val="26"/>
        </w:rPr>
        <w:t>γίνει</w:t>
      </w:r>
      <w:r>
        <w:rPr>
          <w:sz w:val="26"/>
          <w:szCs w:val="26"/>
        </w:rPr>
        <w:t xml:space="preserve"> στην επιβάρυνση των αποτελεσμάτων του Α’ εξαμήνου του 2012 από </w:t>
      </w:r>
      <w:r w:rsidR="008B5CCB">
        <w:rPr>
          <w:sz w:val="26"/>
          <w:szCs w:val="26"/>
        </w:rPr>
        <w:t xml:space="preserve">τα </w:t>
      </w:r>
      <w:r>
        <w:rPr>
          <w:sz w:val="26"/>
          <w:szCs w:val="26"/>
        </w:rPr>
        <w:t xml:space="preserve">αυξημένα χρηματοοικονομικά έξοδα κατά € 2,77 εκ. σε επίπεδο ομίλου και </w:t>
      </w:r>
      <w:r w:rsidR="00D01377">
        <w:rPr>
          <w:sz w:val="26"/>
          <w:szCs w:val="26"/>
        </w:rPr>
        <w:t xml:space="preserve">€ </w:t>
      </w:r>
      <w:r>
        <w:rPr>
          <w:sz w:val="26"/>
          <w:szCs w:val="26"/>
        </w:rPr>
        <w:t>2,4</w:t>
      </w:r>
      <w:r w:rsidR="00D01377">
        <w:rPr>
          <w:sz w:val="26"/>
          <w:szCs w:val="26"/>
        </w:rPr>
        <w:t>2 εκ</w:t>
      </w:r>
      <w:r w:rsidR="00B172DB">
        <w:rPr>
          <w:sz w:val="26"/>
          <w:szCs w:val="26"/>
        </w:rPr>
        <w:t>. σε επίπεδο μητρικής εταιρείας</w:t>
      </w:r>
      <w:r w:rsidR="008B5CCB">
        <w:rPr>
          <w:sz w:val="26"/>
          <w:szCs w:val="26"/>
        </w:rPr>
        <w:t xml:space="preserve"> που προέκυψαν από την </w:t>
      </w:r>
      <w:r w:rsidR="00D144F5">
        <w:rPr>
          <w:sz w:val="26"/>
          <w:szCs w:val="26"/>
        </w:rPr>
        <w:t>αναδιοργάνωση του δανεισμ</w:t>
      </w:r>
      <w:r w:rsidR="00B172DB">
        <w:rPr>
          <w:sz w:val="26"/>
          <w:szCs w:val="26"/>
        </w:rPr>
        <w:t>ού του Ομίλου</w:t>
      </w:r>
      <w:r w:rsidR="008B5CCB">
        <w:rPr>
          <w:sz w:val="26"/>
          <w:szCs w:val="26"/>
        </w:rPr>
        <w:t xml:space="preserve">. Η συμφωνία αυτή </w:t>
      </w:r>
      <w:r w:rsidR="00D144F5">
        <w:rPr>
          <w:sz w:val="26"/>
          <w:szCs w:val="26"/>
        </w:rPr>
        <w:t>με τις πιστώτριες τράπεζες για δεκαετή αποπληρωμή των δανείων θα βοηθήσει τη ρευστότητα και την εξασφάλιση επαρκούς χρηματοδότησης των εταιρειών μας</w:t>
      </w:r>
      <w:r w:rsidR="00B172DB">
        <w:rPr>
          <w:sz w:val="26"/>
          <w:szCs w:val="26"/>
        </w:rPr>
        <w:t>.</w:t>
      </w:r>
      <w:r w:rsidR="00D144F5">
        <w:rPr>
          <w:sz w:val="26"/>
          <w:szCs w:val="26"/>
        </w:rPr>
        <w:t xml:space="preserve"> Εκτιμούμε ότι τους επόμενους μήνες η κρίση θα γίνει πιο έντονη, για αυτό οι προσπάθειές μας </w:t>
      </w:r>
      <w:r w:rsidR="008B5CCB">
        <w:rPr>
          <w:sz w:val="26"/>
          <w:szCs w:val="26"/>
        </w:rPr>
        <w:t xml:space="preserve">εντείνονται </w:t>
      </w:r>
      <w:r w:rsidR="00D144F5">
        <w:rPr>
          <w:sz w:val="26"/>
          <w:szCs w:val="26"/>
        </w:rPr>
        <w:t xml:space="preserve">στο επίπεδο των εσόδων με νέες συνεργασίες με ασφαλιστικούς φορείς και αναδιοργάνωση των </w:t>
      </w:r>
      <w:proofErr w:type="spellStart"/>
      <w:r w:rsidR="00D144F5">
        <w:rPr>
          <w:sz w:val="26"/>
          <w:szCs w:val="26"/>
        </w:rPr>
        <w:t>παρεχομένων</w:t>
      </w:r>
      <w:proofErr w:type="spellEnd"/>
      <w:r w:rsidR="00D144F5">
        <w:rPr>
          <w:sz w:val="26"/>
          <w:szCs w:val="26"/>
        </w:rPr>
        <w:t xml:space="preserve"> υπηρεσιών αλλά και στον περαιτέρω εξορθολογισμό</w:t>
      </w:r>
      <w:r w:rsidR="0006520B">
        <w:rPr>
          <w:sz w:val="26"/>
          <w:szCs w:val="26"/>
        </w:rPr>
        <w:t xml:space="preserve"> των λειτουργικών δαπανών.</w:t>
      </w:r>
      <w:r w:rsidR="00D144F5">
        <w:rPr>
          <w:sz w:val="26"/>
          <w:szCs w:val="26"/>
        </w:rPr>
        <w:t xml:space="preserve">   </w:t>
      </w:r>
    </w:p>
    <w:p w:rsidR="008D0DA8" w:rsidRDefault="00D01377" w:rsidP="00A123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Είμαστε πεπεισμένοι ότι με τις </w:t>
      </w:r>
      <w:r w:rsidR="00D87BD7">
        <w:rPr>
          <w:sz w:val="26"/>
          <w:szCs w:val="26"/>
        </w:rPr>
        <w:t xml:space="preserve">συντονισμένες </w:t>
      </w:r>
      <w:r w:rsidR="00E13FEF" w:rsidRPr="00712812">
        <w:rPr>
          <w:sz w:val="26"/>
          <w:szCs w:val="26"/>
        </w:rPr>
        <w:t xml:space="preserve">προσπάθειες </w:t>
      </w:r>
      <w:r w:rsidR="00EE0F00" w:rsidRPr="00712812">
        <w:rPr>
          <w:sz w:val="26"/>
          <w:szCs w:val="26"/>
        </w:rPr>
        <w:t>όλων</w:t>
      </w:r>
      <w:r w:rsidR="007F45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των ανθρώπων της οικογένειας του ΙΑΣΩ </w:t>
      </w:r>
      <w:r w:rsidR="00054C4C">
        <w:rPr>
          <w:sz w:val="26"/>
          <w:szCs w:val="26"/>
        </w:rPr>
        <w:t>, ο όμιλος θα συνεχίσει την σταθερά κερδοφόρα του πορεία , περιορίζοντας στο ελάχιστο δυνατό τις συνέπειες της κρίσης</w:t>
      </w:r>
      <w:r w:rsidR="005A114B">
        <w:rPr>
          <w:sz w:val="26"/>
          <w:szCs w:val="26"/>
        </w:rPr>
        <w:t>»</w:t>
      </w:r>
      <w:bookmarkStart w:id="0" w:name="_GoBack"/>
      <w:bookmarkEnd w:id="0"/>
    </w:p>
    <w:p w:rsidR="00897B01" w:rsidRPr="00897B01" w:rsidRDefault="00D87BD7" w:rsidP="00A12336">
      <w:pPr>
        <w:jc w:val="both"/>
        <w:rPr>
          <w:sz w:val="32"/>
          <w:szCs w:val="32"/>
        </w:rPr>
      </w:pPr>
      <w:r>
        <w:rPr>
          <w:sz w:val="26"/>
          <w:szCs w:val="26"/>
        </w:rPr>
        <w:t>Ο</w:t>
      </w:r>
      <w:r w:rsidR="00D6792A" w:rsidRPr="00712812">
        <w:rPr>
          <w:sz w:val="26"/>
          <w:szCs w:val="26"/>
        </w:rPr>
        <w:t>ι οικονομικές καταστάσεις του τριμήνου έχουν ήδη αναρτηθεί στην ιστοσελίδα του Χρηματιστηρίου Αθηνών</w:t>
      </w:r>
      <w:r w:rsidR="00CA67D7" w:rsidRPr="00712812">
        <w:rPr>
          <w:sz w:val="26"/>
          <w:szCs w:val="26"/>
        </w:rPr>
        <w:t xml:space="preserve"> (</w:t>
      </w:r>
      <w:hyperlink r:id="rId8" w:history="1">
        <w:r w:rsidR="00CA67D7" w:rsidRPr="00712812">
          <w:rPr>
            <w:rStyle w:val="Hyperlink"/>
            <w:sz w:val="26"/>
            <w:szCs w:val="26"/>
          </w:rPr>
          <w:t>www.ase.gr</w:t>
        </w:r>
      </w:hyperlink>
      <w:r w:rsidR="00D6792A" w:rsidRPr="00712812">
        <w:rPr>
          <w:sz w:val="26"/>
          <w:szCs w:val="26"/>
        </w:rPr>
        <w:t>)</w:t>
      </w:r>
      <w:r w:rsidR="00CA67D7" w:rsidRPr="00712812">
        <w:rPr>
          <w:sz w:val="26"/>
          <w:szCs w:val="26"/>
        </w:rPr>
        <w:t xml:space="preserve"> </w:t>
      </w:r>
      <w:r w:rsidR="00D6792A" w:rsidRPr="00712812">
        <w:rPr>
          <w:sz w:val="26"/>
          <w:szCs w:val="26"/>
        </w:rPr>
        <w:t xml:space="preserve">και </w:t>
      </w:r>
      <w:r w:rsidR="00CA67D7" w:rsidRPr="00712812">
        <w:rPr>
          <w:sz w:val="26"/>
          <w:szCs w:val="26"/>
        </w:rPr>
        <w:t>της εταιρεία</w:t>
      </w:r>
      <w:r w:rsidR="00390ABF">
        <w:rPr>
          <w:sz w:val="26"/>
          <w:szCs w:val="26"/>
        </w:rPr>
        <w:t>ς</w:t>
      </w:r>
      <w:r w:rsidR="00A12336">
        <w:rPr>
          <w:sz w:val="26"/>
          <w:szCs w:val="26"/>
        </w:rPr>
        <w:t>.</w:t>
      </w:r>
      <w:r w:rsidR="00897B01">
        <w:rPr>
          <w:sz w:val="32"/>
          <w:szCs w:val="32"/>
        </w:rPr>
        <w:t xml:space="preserve"> </w:t>
      </w:r>
    </w:p>
    <w:sectPr w:rsidR="00897B01" w:rsidRPr="00897B01" w:rsidSect="008F5081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52" w:rsidRDefault="00F35F52" w:rsidP="00026390">
      <w:pPr>
        <w:spacing w:after="0" w:line="240" w:lineRule="auto"/>
      </w:pPr>
      <w:r>
        <w:separator/>
      </w:r>
    </w:p>
  </w:endnote>
  <w:endnote w:type="continuationSeparator" w:id="0">
    <w:p w:rsidR="00F35F52" w:rsidRDefault="00F35F52" w:rsidP="0002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4F5" w:rsidRPr="00845DC4" w:rsidRDefault="00D144F5" w:rsidP="00566ECA">
    <w:pPr>
      <w:jc w:val="both"/>
      <w:rPr>
        <w:sz w:val="32"/>
        <w:szCs w:val="32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52" w:rsidRDefault="00F35F52" w:rsidP="00026390">
      <w:pPr>
        <w:spacing w:after="0" w:line="240" w:lineRule="auto"/>
      </w:pPr>
      <w:r>
        <w:separator/>
      </w:r>
    </w:p>
  </w:footnote>
  <w:footnote w:type="continuationSeparator" w:id="0">
    <w:p w:rsidR="00F35F52" w:rsidRDefault="00F35F52" w:rsidP="00026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417"/>
    <w:multiLevelType w:val="hybridMultilevel"/>
    <w:tmpl w:val="4F3061BE"/>
    <w:lvl w:ilvl="0" w:tplc="7FF2EBB6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02906EA1"/>
    <w:multiLevelType w:val="hybridMultilevel"/>
    <w:tmpl w:val="6B08838A"/>
    <w:lvl w:ilvl="0" w:tplc="BE068A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956491B"/>
    <w:multiLevelType w:val="hybridMultilevel"/>
    <w:tmpl w:val="83D03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83541"/>
    <w:multiLevelType w:val="hybridMultilevel"/>
    <w:tmpl w:val="720827B4"/>
    <w:lvl w:ilvl="0" w:tplc="325079B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713B44"/>
    <w:multiLevelType w:val="hybridMultilevel"/>
    <w:tmpl w:val="C174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11B15"/>
    <w:multiLevelType w:val="hybridMultilevel"/>
    <w:tmpl w:val="27CE6A92"/>
    <w:lvl w:ilvl="0" w:tplc="B67674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60920"/>
    <w:multiLevelType w:val="hybridMultilevel"/>
    <w:tmpl w:val="1B4ED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D4A73"/>
    <w:multiLevelType w:val="hybridMultilevel"/>
    <w:tmpl w:val="C4544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1084E"/>
    <w:multiLevelType w:val="hybridMultilevel"/>
    <w:tmpl w:val="E8827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925AD"/>
    <w:multiLevelType w:val="hybridMultilevel"/>
    <w:tmpl w:val="6B08838A"/>
    <w:lvl w:ilvl="0" w:tplc="BE068A4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5B71B5F"/>
    <w:multiLevelType w:val="hybridMultilevel"/>
    <w:tmpl w:val="76669928"/>
    <w:lvl w:ilvl="0" w:tplc="325079BA">
      <w:start w:val="1"/>
      <w:numFmt w:val="bullet"/>
      <w:lvlText w:val="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9A261BD"/>
    <w:multiLevelType w:val="hybridMultilevel"/>
    <w:tmpl w:val="DE249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16F83"/>
    <w:multiLevelType w:val="multilevel"/>
    <w:tmpl w:val="898E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892CA4"/>
    <w:multiLevelType w:val="hybridMultilevel"/>
    <w:tmpl w:val="FE6C2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56DAC"/>
    <w:multiLevelType w:val="hybridMultilevel"/>
    <w:tmpl w:val="3CC4B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F64B0"/>
    <w:multiLevelType w:val="hybridMultilevel"/>
    <w:tmpl w:val="F33AC050"/>
    <w:lvl w:ilvl="0" w:tplc="881AC1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9534F"/>
    <w:multiLevelType w:val="hybridMultilevel"/>
    <w:tmpl w:val="AA50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D242F"/>
    <w:multiLevelType w:val="hybridMultilevel"/>
    <w:tmpl w:val="BE126B72"/>
    <w:lvl w:ilvl="0" w:tplc="325079BA">
      <w:start w:val="1"/>
      <w:numFmt w:val="bullet"/>
      <w:lvlText w:val=""/>
      <w:lvlJc w:val="left"/>
      <w:pPr>
        <w:tabs>
          <w:tab w:val="num" w:pos="723"/>
        </w:tabs>
        <w:ind w:left="72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>
    <w:nsid w:val="3F7072A7"/>
    <w:multiLevelType w:val="hybridMultilevel"/>
    <w:tmpl w:val="69A67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760E6"/>
    <w:multiLevelType w:val="hybridMultilevel"/>
    <w:tmpl w:val="0F66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E5042"/>
    <w:multiLevelType w:val="hybridMultilevel"/>
    <w:tmpl w:val="A34E5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928DA"/>
    <w:multiLevelType w:val="hybridMultilevel"/>
    <w:tmpl w:val="EBF0EC04"/>
    <w:lvl w:ilvl="0" w:tplc="1F98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9151CE"/>
    <w:multiLevelType w:val="hybridMultilevel"/>
    <w:tmpl w:val="5E9855D0"/>
    <w:lvl w:ilvl="0" w:tplc="235833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B650BA"/>
    <w:multiLevelType w:val="hybridMultilevel"/>
    <w:tmpl w:val="863E9D18"/>
    <w:lvl w:ilvl="0" w:tplc="4ABEDA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63340"/>
    <w:multiLevelType w:val="hybridMultilevel"/>
    <w:tmpl w:val="FDC29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313A6"/>
    <w:multiLevelType w:val="hybridMultilevel"/>
    <w:tmpl w:val="EC007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45E05"/>
    <w:multiLevelType w:val="hybridMultilevel"/>
    <w:tmpl w:val="B020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30667"/>
    <w:multiLevelType w:val="hybridMultilevel"/>
    <w:tmpl w:val="D1960456"/>
    <w:lvl w:ilvl="0" w:tplc="325079B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31101A"/>
    <w:multiLevelType w:val="hybridMultilevel"/>
    <w:tmpl w:val="04F0A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F3896"/>
    <w:multiLevelType w:val="hybridMultilevel"/>
    <w:tmpl w:val="613A7874"/>
    <w:lvl w:ilvl="0" w:tplc="326EED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7C5A61"/>
    <w:multiLevelType w:val="hybridMultilevel"/>
    <w:tmpl w:val="56709FC6"/>
    <w:lvl w:ilvl="0" w:tplc="F3FA4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D46639"/>
    <w:multiLevelType w:val="hybridMultilevel"/>
    <w:tmpl w:val="447E0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538CE"/>
    <w:multiLevelType w:val="hybridMultilevel"/>
    <w:tmpl w:val="ACFE0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B132FB"/>
    <w:multiLevelType w:val="hybridMultilevel"/>
    <w:tmpl w:val="67687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C47CA8"/>
    <w:multiLevelType w:val="hybridMultilevel"/>
    <w:tmpl w:val="3FFE4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7C74E7"/>
    <w:multiLevelType w:val="hybridMultilevel"/>
    <w:tmpl w:val="ACDCF934"/>
    <w:lvl w:ilvl="0" w:tplc="885243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914BC8"/>
    <w:multiLevelType w:val="hybridMultilevel"/>
    <w:tmpl w:val="1172847E"/>
    <w:lvl w:ilvl="0" w:tplc="229E5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E5617"/>
    <w:multiLevelType w:val="hybridMultilevel"/>
    <w:tmpl w:val="FA04EC90"/>
    <w:lvl w:ilvl="0" w:tplc="92AAE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FC62A15"/>
    <w:multiLevelType w:val="hybridMultilevel"/>
    <w:tmpl w:val="F258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19"/>
  </w:num>
  <w:num w:numId="4">
    <w:abstractNumId w:val="36"/>
  </w:num>
  <w:num w:numId="5">
    <w:abstractNumId w:val="15"/>
  </w:num>
  <w:num w:numId="6">
    <w:abstractNumId w:val="3"/>
  </w:num>
  <w:num w:numId="7">
    <w:abstractNumId w:val="27"/>
  </w:num>
  <w:num w:numId="8">
    <w:abstractNumId w:val="17"/>
  </w:num>
  <w:num w:numId="9">
    <w:abstractNumId w:val="10"/>
  </w:num>
  <w:num w:numId="10">
    <w:abstractNumId w:val="0"/>
  </w:num>
  <w:num w:numId="11">
    <w:abstractNumId w:val="18"/>
  </w:num>
  <w:num w:numId="12">
    <w:abstractNumId w:val="22"/>
  </w:num>
  <w:num w:numId="13">
    <w:abstractNumId w:val="33"/>
  </w:num>
  <w:num w:numId="14">
    <w:abstractNumId w:val="34"/>
  </w:num>
  <w:num w:numId="15">
    <w:abstractNumId w:val="11"/>
  </w:num>
  <w:num w:numId="16">
    <w:abstractNumId w:val="8"/>
  </w:num>
  <w:num w:numId="17">
    <w:abstractNumId w:val="21"/>
  </w:num>
  <w:num w:numId="18">
    <w:abstractNumId w:val="30"/>
  </w:num>
  <w:num w:numId="19">
    <w:abstractNumId w:val="13"/>
  </w:num>
  <w:num w:numId="20">
    <w:abstractNumId w:val="25"/>
  </w:num>
  <w:num w:numId="21">
    <w:abstractNumId w:val="26"/>
  </w:num>
  <w:num w:numId="22">
    <w:abstractNumId w:val="4"/>
  </w:num>
  <w:num w:numId="23">
    <w:abstractNumId w:val="37"/>
  </w:num>
  <w:num w:numId="24">
    <w:abstractNumId w:val="31"/>
  </w:num>
  <w:num w:numId="25">
    <w:abstractNumId w:val="1"/>
  </w:num>
  <w:num w:numId="26">
    <w:abstractNumId w:val="20"/>
  </w:num>
  <w:num w:numId="27">
    <w:abstractNumId w:val="9"/>
  </w:num>
  <w:num w:numId="28">
    <w:abstractNumId w:val="32"/>
  </w:num>
  <w:num w:numId="29">
    <w:abstractNumId w:val="24"/>
  </w:num>
  <w:num w:numId="30">
    <w:abstractNumId w:val="16"/>
  </w:num>
  <w:num w:numId="31">
    <w:abstractNumId w:val="5"/>
  </w:num>
  <w:num w:numId="32">
    <w:abstractNumId w:val="23"/>
  </w:num>
  <w:num w:numId="33">
    <w:abstractNumId w:val="29"/>
  </w:num>
  <w:num w:numId="34">
    <w:abstractNumId w:val="7"/>
  </w:num>
  <w:num w:numId="35">
    <w:abstractNumId w:val="28"/>
  </w:num>
  <w:num w:numId="36">
    <w:abstractNumId w:val="14"/>
  </w:num>
  <w:num w:numId="37">
    <w:abstractNumId w:val="35"/>
  </w:num>
  <w:num w:numId="38">
    <w:abstractNumId w:val="12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0DC7"/>
    <w:rsid w:val="0002300E"/>
    <w:rsid w:val="00026390"/>
    <w:rsid w:val="00026E41"/>
    <w:rsid w:val="00034315"/>
    <w:rsid w:val="000348A2"/>
    <w:rsid w:val="00054C4C"/>
    <w:rsid w:val="00064766"/>
    <w:rsid w:val="0006520B"/>
    <w:rsid w:val="000770F1"/>
    <w:rsid w:val="00091912"/>
    <w:rsid w:val="000A3707"/>
    <w:rsid w:val="000B1F86"/>
    <w:rsid w:val="000B3924"/>
    <w:rsid w:val="000B45E8"/>
    <w:rsid w:val="000B6046"/>
    <w:rsid w:val="000C5185"/>
    <w:rsid w:val="000D601D"/>
    <w:rsid w:val="000E4F4D"/>
    <w:rsid w:val="000E66B4"/>
    <w:rsid w:val="000E6D1A"/>
    <w:rsid w:val="000E6EF3"/>
    <w:rsid w:val="000E7B30"/>
    <w:rsid w:val="000F16D8"/>
    <w:rsid w:val="001001DD"/>
    <w:rsid w:val="00101D40"/>
    <w:rsid w:val="00104416"/>
    <w:rsid w:val="00106BC5"/>
    <w:rsid w:val="0011517A"/>
    <w:rsid w:val="00117E5E"/>
    <w:rsid w:val="00132ABA"/>
    <w:rsid w:val="001371EE"/>
    <w:rsid w:val="00152DE8"/>
    <w:rsid w:val="001560E9"/>
    <w:rsid w:val="00172FEA"/>
    <w:rsid w:val="0017650E"/>
    <w:rsid w:val="001864C9"/>
    <w:rsid w:val="00186A7A"/>
    <w:rsid w:val="001908F1"/>
    <w:rsid w:val="00194578"/>
    <w:rsid w:val="001950B9"/>
    <w:rsid w:val="001A030C"/>
    <w:rsid w:val="001A0718"/>
    <w:rsid w:val="001A1249"/>
    <w:rsid w:val="001B1FE1"/>
    <w:rsid w:val="001B47E0"/>
    <w:rsid w:val="001B73FB"/>
    <w:rsid w:val="001C36E8"/>
    <w:rsid w:val="001C3EA5"/>
    <w:rsid w:val="001D1BA4"/>
    <w:rsid w:val="001D6422"/>
    <w:rsid w:val="001E29C0"/>
    <w:rsid w:val="001E4A35"/>
    <w:rsid w:val="001F6B71"/>
    <w:rsid w:val="00202ACD"/>
    <w:rsid w:val="00205119"/>
    <w:rsid w:val="002101F4"/>
    <w:rsid w:val="0021326C"/>
    <w:rsid w:val="00216D0F"/>
    <w:rsid w:val="0022160B"/>
    <w:rsid w:val="00223C11"/>
    <w:rsid w:val="0022746D"/>
    <w:rsid w:val="00227763"/>
    <w:rsid w:val="0023320A"/>
    <w:rsid w:val="0023436D"/>
    <w:rsid w:val="00240F4C"/>
    <w:rsid w:val="002410F1"/>
    <w:rsid w:val="0024460D"/>
    <w:rsid w:val="002536C7"/>
    <w:rsid w:val="00273F6C"/>
    <w:rsid w:val="00276361"/>
    <w:rsid w:val="002802A5"/>
    <w:rsid w:val="00280A53"/>
    <w:rsid w:val="002841AC"/>
    <w:rsid w:val="00286120"/>
    <w:rsid w:val="00293B86"/>
    <w:rsid w:val="002966D1"/>
    <w:rsid w:val="002A7AED"/>
    <w:rsid w:val="002A7F6D"/>
    <w:rsid w:val="002B297B"/>
    <w:rsid w:val="002B4E07"/>
    <w:rsid w:val="002B71E8"/>
    <w:rsid w:val="002C15C3"/>
    <w:rsid w:val="002E7EFC"/>
    <w:rsid w:val="002F774D"/>
    <w:rsid w:val="00303331"/>
    <w:rsid w:val="00305F31"/>
    <w:rsid w:val="00331088"/>
    <w:rsid w:val="00334760"/>
    <w:rsid w:val="0034668A"/>
    <w:rsid w:val="003514A5"/>
    <w:rsid w:val="0035515C"/>
    <w:rsid w:val="00356813"/>
    <w:rsid w:val="003644F5"/>
    <w:rsid w:val="0036602D"/>
    <w:rsid w:val="00374E00"/>
    <w:rsid w:val="003906AC"/>
    <w:rsid w:val="00390ABF"/>
    <w:rsid w:val="003917B9"/>
    <w:rsid w:val="003A038A"/>
    <w:rsid w:val="003A332D"/>
    <w:rsid w:val="003B636C"/>
    <w:rsid w:val="003B67A4"/>
    <w:rsid w:val="003D01E7"/>
    <w:rsid w:val="003E1AAA"/>
    <w:rsid w:val="003E4B12"/>
    <w:rsid w:val="00400A3E"/>
    <w:rsid w:val="00406A73"/>
    <w:rsid w:val="00420175"/>
    <w:rsid w:val="00461CAE"/>
    <w:rsid w:val="00462F6E"/>
    <w:rsid w:val="00464D41"/>
    <w:rsid w:val="004710A1"/>
    <w:rsid w:val="00475FF3"/>
    <w:rsid w:val="004911C2"/>
    <w:rsid w:val="00495E10"/>
    <w:rsid w:val="004970C1"/>
    <w:rsid w:val="00497B93"/>
    <w:rsid w:val="004A3424"/>
    <w:rsid w:val="004B0E34"/>
    <w:rsid w:val="004B26F3"/>
    <w:rsid w:val="004B3142"/>
    <w:rsid w:val="004B45F4"/>
    <w:rsid w:val="004B61C2"/>
    <w:rsid w:val="004B64B7"/>
    <w:rsid w:val="004C6B7F"/>
    <w:rsid w:val="004D72F2"/>
    <w:rsid w:val="004D7381"/>
    <w:rsid w:val="004D7B61"/>
    <w:rsid w:val="004E38A5"/>
    <w:rsid w:val="004E75F5"/>
    <w:rsid w:val="004F250E"/>
    <w:rsid w:val="004F6B3A"/>
    <w:rsid w:val="004F7047"/>
    <w:rsid w:val="004F7154"/>
    <w:rsid w:val="00505C7A"/>
    <w:rsid w:val="00527B7E"/>
    <w:rsid w:val="005326E5"/>
    <w:rsid w:val="00535FDA"/>
    <w:rsid w:val="005408F0"/>
    <w:rsid w:val="00541382"/>
    <w:rsid w:val="00542B4F"/>
    <w:rsid w:val="0055143D"/>
    <w:rsid w:val="005607CF"/>
    <w:rsid w:val="00565C50"/>
    <w:rsid w:val="00566ECA"/>
    <w:rsid w:val="00572D76"/>
    <w:rsid w:val="005811F4"/>
    <w:rsid w:val="005931FC"/>
    <w:rsid w:val="005A114B"/>
    <w:rsid w:val="005B3FA5"/>
    <w:rsid w:val="005C0E89"/>
    <w:rsid w:val="005C2228"/>
    <w:rsid w:val="005D1C4E"/>
    <w:rsid w:val="005D3AFE"/>
    <w:rsid w:val="005E13F3"/>
    <w:rsid w:val="005E3655"/>
    <w:rsid w:val="005F0694"/>
    <w:rsid w:val="00611C7F"/>
    <w:rsid w:val="00632065"/>
    <w:rsid w:val="0063441F"/>
    <w:rsid w:val="006472A8"/>
    <w:rsid w:val="006478E1"/>
    <w:rsid w:val="006531F2"/>
    <w:rsid w:val="006578C5"/>
    <w:rsid w:val="006602B7"/>
    <w:rsid w:val="00663717"/>
    <w:rsid w:val="00674010"/>
    <w:rsid w:val="006745C3"/>
    <w:rsid w:val="00691B52"/>
    <w:rsid w:val="00693C45"/>
    <w:rsid w:val="006A71A3"/>
    <w:rsid w:val="006B0491"/>
    <w:rsid w:val="006B1920"/>
    <w:rsid w:val="006B404C"/>
    <w:rsid w:val="006B4E17"/>
    <w:rsid w:val="006B50BB"/>
    <w:rsid w:val="006D740D"/>
    <w:rsid w:val="006E592D"/>
    <w:rsid w:val="006E6329"/>
    <w:rsid w:val="006F1080"/>
    <w:rsid w:val="006F166F"/>
    <w:rsid w:val="006F32D0"/>
    <w:rsid w:val="006F7AE5"/>
    <w:rsid w:val="007021B3"/>
    <w:rsid w:val="007074D3"/>
    <w:rsid w:val="00712812"/>
    <w:rsid w:val="00712AE5"/>
    <w:rsid w:val="00713406"/>
    <w:rsid w:val="00734095"/>
    <w:rsid w:val="007477BA"/>
    <w:rsid w:val="00765BAC"/>
    <w:rsid w:val="00790EE1"/>
    <w:rsid w:val="007933AD"/>
    <w:rsid w:val="007A15C6"/>
    <w:rsid w:val="007A4590"/>
    <w:rsid w:val="007A5A60"/>
    <w:rsid w:val="007A75A1"/>
    <w:rsid w:val="007B0866"/>
    <w:rsid w:val="007B217D"/>
    <w:rsid w:val="007C3CDE"/>
    <w:rsid w:val="007D2376"/>
    <w:rsid w:val="007D449B"/>
    <w:rsid w:val="007F0AF8"/>
    <w:rsid w:val="007F13F0"/>
    <w:rsid w:val="007F36A6"/>
    <w:rsid w:val="007F450B"/>
    <w:rsid w:val="007F6115"/>
    <w:rsid w:val="00801199"/>
    <w:rsid w:val="008016A1"/>
    <w:rsid w:val="008078B9"/>
    <w:rsid w:val="00810BA9"/>
    <w:rsid w:val="0081541B"/>
    <w:rsid w:val="00830B42"/>
    <w:rsid w:val="00833CC5"/>
    <w:rsid w:val="00834337"/>
    <w:rsid w:val="00837012"/>
    <w:rsid w:val="0084507E"/>
    <w:rsid w:val="00845DC4"/>
    <w:rsid w:val="00854947"/>
    <w:rsid w:val="00857B64"/>
    <w:rsid w:val="00876AB4"/>
    <w:rsid w:val="008821DA"/>
    <w:rsid w:val="0088450B"/>
    <w:rsid w:val="00892540"/>
    <w:rsid w:val="00895369"/>
    <w:rsid w:val="00897B01"/>
    <w:rsid w:val="008A2A6B"/>
    <w:rsid w:val="008B5CCB"/>
    <w:rsid w:val="008C50A3"/>
    <w:rsid w:val="008D0DA8"/>
    <w:rsid w:val="008D4037"/>
    <w:rsid w:val="008D612F"/>
    <w:rsid w:val="008E0DBA"/>
    <w:rsid w:val="008E3B84"/>
    <w:rsid w:val="008F177F"/>
    <w:rsid w:val="008F5081"/>
    <w:rsid w:val="009043F1"/>
    <w:rsid w:val="009069C9"/>
    <w:rsid w:val="00925B8B"/>
    <w:rsid w:val="0093217D"/>
    <w:rsid w:val="00943272"/>
    <w:rsid w:val="00950EE0"/>
    <w:rsid w:val="009521FB"/>
    <w:rsid w:val="00953A14"/>
    <w:rsid w:val="00964FED"/>
    <w:rsid w:val="00967ED1"/>
    <w:rsid w:val="009707E0"/>
    <w:rsid w:val="00976990"/>
    <w:rsid w:val="00977A38"/>
    <w:rsid w:val="00986CD6"/>
    <w:rsid w:val="00987D72"/>
    <w:rsid w:val="00996E02"/>
    <w:rsid w:val="009C3319"/>
    <w:rsid w:val="009C3560"/>
    <w:rsid w:val="009C6183"/>
    <w:rsid w:val="009C6ACE"/>
    <w:rsid w:val="009D2493"/>
    <w:rsid w:val="009D25B9"/>
    <w:rsid w:val="009D67C0"/>
    <w:rsid w:val="009D6FD1"/>
    <w:rsid w:val="009E3C3C"/>
    <w:rsid w:val="009E47A4"/>
    <w:rsid w:val="009E6B11"/>
    <w:rsid w:val="009E71D5"/>
    <w:rsid w:val="009F56A1"/>
    <w:rsid w:val="00A02FE0"/>
    <w:rsid w:val="00A03680"/>
    <w:rsid w:val="00A0681C"/>
    <w:rsid w:val="00A12336"/>
    <w:rsid w:val="00A21E52"/>
    <w:rsid w:val="00A3320B"/>
    <w:rsid w:val="00A34F6E"/>
    <w:rsid w:val="00A42035"/>
    <w:rsid w:val="00A42613"/>
    <w:rsid w:val="00A46096"/>
    <w:rsid w:val="00A52147"/>
    <w:rsid w:val="00A5257C"/>
    <w:rsid w:val="00A55618"/>
    <w:rsid w:val="00A5573E"/>
    <w:rsid w:val="00A565E6"/>
    <w:rsid w:val="00A62728"/>
    <w:rsid w:val="00A6658A"/>
    <w:rsid w:val="00A67738"/>
    <w:rsid w:val="00A67AFA"/>
    <w:rsid w:val="00A72E2D"/>
    <w:rsid w:val="00A80DD9"/>
    <w:rsid w:val="00A81C81"/>
    <w:rsid w:val="00A8211C"/>
    <w:rsid w:val="00A853F6"/>
    <w:rsid w:val="00A8720B"/>
    <w:rsid w:val="00A94779"/>
    <w:rsid w:val="00A9756C"/>
    <w:rsid w:val="00AA1E1A"/>
    <w:rsid w:val="00AA37BD"/>
    <w:rsid w:val="00AB1128"/>
    <w:rsid w:val="00AB4620"/>
    <w:rsid w:val="00AC0C01"/>
    <w:rsid w:val="00AC7237"/>
    <w:rsid w:val="00AC73EC"/>
    <w:rsid w:val="00AE3C85"/>
    <w:rsid w:val="00AE5326"/>
    <w:rsid w:val="00B00EA1"/>
    <w:rsid w:val="00B03E7D"/>
    <w:rsid w:val="00B14A3A"/>
    <w:rsid w:val="00B172DB"/>
    <w:rsid w:val="00B213FD"/>
    <w:rsid w:val="00B22D10"/>
    <w:rsid w:val="00B24947"/>
    <w:rsid w:val="00B3049C"/>
    <w:rsid w:val="00B33823"/>
    <w:rsid w:val="00B36918"/>
    <w:rsid w:val="00B42BB2"/>
    <w:rsid w:val="00B72B18"/>
    <w:rsid w:val="00B76667"/>
    <w:rsid w:val="00B7733A"/>
    <w:rsid w:val="00B80CBA"/>
    <w:rsid w:val="00B8291E"/>
    <w:rsid w:val="00B832C8"/>
    <w:rsid w:val="00B87D13"/>
    <w:rsid w:val="00BA4A3C"/>
    <w:rsid w:val="00BB254A"/>
    <w:rsid w:val="00BB4AB3"/>
    <w:rsid w:val="00BB515B"/>
    <w:rsid w:val="00BC6F47"/>
    <w:rsid w:val="00BD1A38"/>
    <w:rsid w:val="00BF7566"/>
    <w:rsid w:val="00C05E9C"/>
    <w:rsid w:val="00C12FB0"/>
    <w:rsid w:val="00C445B8"/>
    <w:rsid w:val="00C44DD2"/>
    <w:rsid w:val="00C60A9A"/>
    <w:rsid w:val="00C760BF"/>
    <w:rsid w:val="00C82D2E"/>
    <w:rsid w:val="00C8352B"/>
    <w:rsid w:val="00C90E36"/>
    <w:rsid w:val="00C97C9E"/>
    <w:rsid w:val="00CA2E7E"/>
    <w:rsid w:val="00CA3F55"/>
    <w:rsid w:val="00CA5165"/>
    <w:rsid w:val="00CA67D7"/>
    <w:rsid w:val="00CB0B7E"/>
    <w:rsid w:val="00CC130D"/>
    <w:rsid w:val="00CC1857"/>
    <w:rsid w:val="00CC268E"/>
    <w:rsid w:val="00CD25E3"/>
    <w:rsid w:val="00CD4A79"/>
    <w:rsid w:val="00CD6985"/>
    <w:rsid w:val="00CE7669"/>
    <w:rsid w:val="00CF0E79"/>
    <w:rsid w:val="00CF318E"/>
    <w:rsid w:val="00D01377"/>
    <w:rsid w:val="00D144F5"/>
    <w:rsid w:val="00D273E8"/>
    <w:rsid w:val="00D27FE5"/>
    <w:rsid w:val="00D400B3"/>
    <w:rsid w:val="00D4058A"/>
    <w:rsid w:val="00D430F3"/>
    <w:rsid w:val="00D463F4"/>
    <w:rsid w:val="00D53875"/>
    <w:rsid w:val="00D6365E"/>
    <w:rsid w:val="00D6792A"/>
    <w:rsid w:val="00D720E9"/>
    <w:rsid w:val="00D74EA2"/>
    <w:rsid w:val="00D75464"/>
    <w:rsid w:val="00D77EFD"/>
    <w:rsid w:val="00D8020E"/>
    <w:rsid w:val="00D80DC7"/>
    <w:rsid w:val="00D813BB"/>
    <w:rsid w:val="00D81D13"/>
    <w:rsid w:val="00D87BD7"/>
    <w:rsid w:val="00D91E8F"/>
    <w:rsid w:val="00D95814"/>
    <w:rsid w:val="00DC7F04"/>
    <w:rsid w:val="00DE103D"/>
    <w:rsid w:val="00DE3CF8"/>
    <w:rsid w:val="00E02A86"/>
    <w:rsid w:val="00E108A8"/>
    <w:rsid w:val="00E13FEF"/>
    <w:rsid w:val="00E25911"/>
    <w:rsid w:val="00E3598E"/>
    <w:rsid w:val="00E4189B"/>
    <w:rsid w:val="00E45E43"/>
    <w:rsid w:val="00E47D5E"/>
    <w:rsid w:val="00E6419F"/>
    <w:rsid w:val="00E65E62"/>
    <w:rsid w:val="00E74017"/>
    <w:rsid w:val="00E75D09"/>
    <w:rsid w:val="00E84D6E"/>
    <w:rsid w:val="00E8616E"/>
    <w:rsid w:val="00EA19BA"/>
    <w:rsid w:val="00ED14CB"/>
    <w:rsid w:val="00ED7DC4"/>
    <w:rsid w:val="00EE0BFE"/>
    <w:rsid w:val="00EE0F00"/>
    <w:rsid w:val="00EE268E"/>
    <w:rsid w:val="00EE799D"/>
    <w:rsid w:val="00EF6499"/>
    <w:rsid w:val="00F00657"/>
    <w:rsid w:val="00F02BCF"/>
    <w:rsid w:val="00F02CAE"/>
    <w:rsid w:val="00F07011"/>
    <w:rsid w:val="00F07DCA"/>
    <w:rsid w:val="00F11F6F"/>
    <w:rsid w:val="00F123AE"/>
    <w:rsid w:val="00F161D3"/>
    <w:rsid w:val="00F17F59"/>
    <w:rsid w:val="00F26409"/>
    <w:rsid w:val="00F313D6"/>
    <w:rsid w:val="00F35F52"/>
    <w:rsid w:val="00F36A9F"/>
    <w:rsid w:val="00F45162"/>
    <w:rsid w:val="00F55A70"/>
    <w:rsid w:val="00F610A5"/>
    <w:rsid w:val="00F63B13"/>
    <w:rsid w:val="00F67A4C"/>
    <w:rsid w:val="00F73724"/>
    <w:rsid w:val="00F76B56"/>
    <w:rsid w:val="00F8172C"/>
    <w:rsid w:val="00F831AA"/>
    <w:rsid w:val="00F92AF3"/>
    <w:rsid w:val="00F979AA"/>
    <w:rsid w:val="00FA1998"/>
    <w:rsid w:val="00FA78A3"/>
    <w:rsid w:val="00FB70CB"/>
    <w:rsid w:val="00FB7562"/>
    <w:rsid w:val="00FC5A2D"/>
    <w:rsid w:val="00FD4562"/>
    <w:rsid w:val="00FD54A1"/>
    <w:rsid w:val="00FD5F28"/>
    <w:rsid w:val="00FE2831"/>
    <w:rsid w:val="00FF378A"/>
    <w:rsid w:val="00FF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2A8"/>
    <w:rPr>
      <w:strike w:val="0"/>
      <w:dstrike w:val="0"/>
      <w:color w:val="0000FF"/>
      <w:u w:val="none"/>
      <w:effect w:val="none"/>
    </w:rPr>
  </w:style>
  <w:style w:type="character" w:customStyle="1" w:styleId="personal1">
    <w:name w:val="personal1"/>
    <w:basedOn w:val="DefaultParagraphFont"/>
    <w:rsid w:val="006472A8"/>
    <w:rPr>
      <w:rFonts w:ascii="Arial" w:hAnsi="Arial" w:cs="Arial" w:hint="default"/>
      <w:i/>
      <w:iCs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23C11"/>
    <w:pPr>
      <w:spacing w:before="120" w:after="0" w:line="360" w:lineRule="auto"/>
      <w:jc w:val="both"/>
    </w:pPr>
    <w:rPr>
      <w:rFonts w:ascii="Arial" w:eastAsia="Times New Roman" w:hAnsi="Arial" w:cs="Arial"/>
      <w:szCs w:val="20"/>
      <w:lang w:val="en-GB" w:eastAsia="de-DE"/>
    </w:rPr>
  </w:style>
  <w:style w:type="character" w:customStyle="1" w:styleId="BodyText2Char">
    <w:name w:val="Body Text 2 Char"/>
    <w:basedOn w:val="DefaultParagraphFont"/>
    <w:link w:val="BodyText2"/>
    <w:rsid w:val="00223C11"/>
    <w:rPr>
      <w:rFonts w:ascii="Arial" w:eastAsia="Times New Roman" w:hAnsi="Arial" w:cs="Arial"/>
      <w:szCs w:val="20"/>
      <w:lang w:val="en-GB" w:eastAsia="de-DE"/>
    </w:rPr>
  </w:style>
  <w:style w:type="paragraph" w:customStyle="1" w:styleId="Level3">
    <w:name w:val="Level 3"/>
    <w:basedOn w:val="Normal"/>
    <w:link w:val="Level3Char"/>
    <w:rsid w:val="00223C11"/>
    <w:pPr>
      <w:tabs>
        <w:tab w:val="num" w:pos="2160"/>
      </w:tabs>
      <w:spacing w:after="140" w:line="290" w:lineRule="auto"/>
      <w:ind w:left="2160" w:hanging="720"/>
      <w:jc w:val="both"/>
    </w:pPr>
    <w:rPr>
      <w:rFonts w:ascii="Arial" w:eastAsia="Times New Roman" w:hAnsi="Arial" w:cs="Times New Roman"/>
      <w:kern w:val="20"/>
      <w:sz w:val="20"/>
      <w:szCs w:val="28"/>
      <w:lang w:val="en-GB"/>
    </w:rPr>
  </w:style>
  <w:style w:type="character" w:customStyle="1" w:styleId="Level3Char">
    <w:name w:val="Level 3 Char"/>
    <w:basedOn w:val="DefaultParagraphFont"/>
    <w:link w:val="Level3"/>
    <w:rsid w:val="00223C11"/>
    <w:rPr>
      <w:rFonts w:ascii="Arial" w:eastAsia="Times New Roman" w:hAnsi="Arial" w:cs="Times New Roman"/>
      <w:kern w:val="20"/>
      <w:sz w:val="20"/>
      <w:szCs w:val="28"/>
      <w:lang w:val="en-GB"/>
    </w:rPr>
  </w:style>
  <w:style w:type="character" w:customStyle="1" w:styleId="shorttext">
    <w:name w:val="short_text"/>
    <w:basedOn w:val="DefaultParagraphFont"/>
    <w:rsid w:val="00223C11"/>
  </w:style>
  <w:style w:type="character" w:customStyle="1" w:styleId="longtext">
    <w:name w:val="long_text"/>
    <w:basedOn w:val="DefaultParagraphFont"/>
    <w:rsid w:val="00223C11"/>
  </w:style>
  <w:style w:type="paragraph" w:styleId="Header">
    <w:name w:val="header"/>
    <w:basedOn w:val="Normal"/>
    <w:link w:val="HeaderChar"/>
    <w:uiPriority w:val="99"/>
    <w:unhideWhenUsed/>
    <w:rsid w:val="000263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390"/>
  </w:style>
  <w:style w:type="paragraph" w:styleId="Footer">
    <w:name w:val="footer"/>
    <w:basedOn w:val="Normal"/>
    <w:link w:val="FooterChar"/>
    <w:uiPriority w:val="99"/>
    <w:unhideWhenUsed/>
    <w:rsid w:val="000263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390"/>
  </w:style>
  <w:style w:type="character" w:styleId="Strong">
    <w:name w:val="Strong"/>
    <w:basedOn w:val="DefaultParagraphFont"/>
    <w:uiPriority w:val="22"/>
    <w:qFormat/>
    <w:rsid w:val="00E8616E"/>
    <w:rPr>
      <w:b/>
      <w:bCs/>
    </w:rPr>
  </w:style>
  <w:style w:type="character" w:customStyle="1" w:styleId="txtgrey1">
    <w:name w:val="txtgrey1"/>
    <w:basedOn w:val="DefaultParagraphFont"/>
    <w:rsid w:val="00E8616E"/>
  </w:style>
  <w:style w:type="table" w:styleId="TableGrid">
    <w:name w:val="Table Grid"/>
    <w:basedOn w:val="TableNormal"/>
    <w:uiPriority w:val="59"/>
    <w:rsid w:val="00FF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2A8"/>
    <w:rPr>
      <w:strike w:val="0"/>
      <w:dstrike w:val="0"/>
      <w:color w:val="0000FF"/>
      <w:u w:val="none"/>
      <w:effect w:val="none"/>
    </w:rPr>
  </w:style>
  <w:style w:type="character" w:customStyle="1" w:styleId="personal1">
    <w:name w:val="personal1"/>
    <w:basedOn w:val="DefaultParagraphFont"/>
    <w:rsid w:val="006472A8"/>
    <w:rPr>
      <w:rFonts w:ascii="Arial" w:hAnsi="Arial" w:cs="Arial" w:hint="default"/>
      <w:i/>
      <w:iCs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23C11"/>
    <w:pPr>
      <w:spacing w:before="120" w:after="0" w:line="360" w:lineRule="auto"/>
      <w:jc w:val="both"/>
    </w:pPr>
    <w:rPr>
      <w:rFonts w:ascii="Arial" w:eastAsia="Times New Roman" w:hAnsi="Arial" w:cs="Arial"/>
      <w:szCs w:val="20"/>
      <w:lang w:val="en-GB" w:eastAsia="de-DE"/>
    </w:rPr>
  </w:style>
  <w:style w:type="character" w:customStyle="1" w:styleId="BodyText2Char">
    <w:name w:val="Body Text 2 Char"/>
    <w:basedOn w:val="DefaultParagraphFont"/>
    <w:link w:val="BodyText2"/>
    <w:rsid w:val="00223C11"/>
    <w:rPr>
      <w:rFonts w:ascii="Arial" w:eastAsia="Times New Roman" w:hAnsi="Arial" w:cs="Arial"/>
      <w:szCs w:val="20"/>
      <w:lang w:val="en-GB" w:eastAsia="de-DE"/>
    </w:rPr>
  </w:style>
  <w:style w:type="paragraph" w:customStyle="1" w:styleId="Level3">
    <w:name w:val="Level 3"/>
    <w:basedOn w:val="Normal"/>
    <w:link w:val="Level3Char"/>
    <w:rsid w:val="00223C11"/>
    <w:pPr>
      <w:tabs>
        <w:tab w:val="num" w:pos="2160"/>
      </w:tabs>
      <w:spacing w:after="140" w:line="290" w:lineRule="auto"/>
      <w:ind w:left="2160" w:hanging="720"/>
      <w:jc w:val="both"/>
    </w:pPr>
    <w:rPr>
      <w:rFonts w:ascii="Arial" w:eastAsia="Times New Roman" w:hAnsi="Arial" w:cs="Times New Roman"/>
      <w:kern w:val="20"/>
      <w:sz w:val="20"/>
      <w:szCs w:val="28"/>
      <w:lang w:val="en-GB"/>
    </w:rPr>
  </w:style>
  <w:style w:type="character" w:customStyle="1" w:styleId="Level3Char">
    <w:name w:val="Level 3 Char"/>
    <w:basedOn w:val="DefaultParagraphFont"/>
    <w:link w:val="Level3"/>
    <w:rsid w:val="00223C11"/>
    <w:rPr>
      <w:rFonts w:ascii="Arial" w:eastAsia="Times New Roman" w:hAnsi="Arial" w:cs="Times New Roman"/>
      <w:kern w:val="20"/>
      <w:sz w:val="20"/>
      <w:szCs w:val="28"/>
      <w:lang w:val="en-GB"/>
    </w:rPr>
  </w:style>
  <w:style w:type="character" w:customStyle="1" w:styleId="shorttext">
    <w:name w:val="short_text"/>
    <w:basedOn w:val="DefaultParagraphFont"/>
    <w:rsid w:val="00223C11"/>
  </w:style>
  <w:style w:type="character" w:customStyle="1" w:styleId="longtext">
    <w:name w:val="long_text"/>
    <w:basedOn w:val="DefaultParagraphFont"/>
    <w:rsid w:val="00223C11"/>
  </w:style>
  <w:style w:type="paragraph" w:styleId="Header">
    <w:name w:val="header"/>
    <w:basedOn w:val="Normal"/>
    <w:link w:val="HeaderChar"/>
    <w:uiPriority w:val="99"/>
    <w:unhideWhenUsed/>
    <w:rsid w:val="000263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390"/>
  </w:style>
  <w:style w:type="paragraph" w:styleId="Footer">
    <w:name w:val="footer"/>
    <w:basedOn w:val="Normal"/>
    <w:link w:val="FooterChar"/>
    <w:uiPriority w:val="99"/>
    <w:unhideWhenUsed/>
    <w:rsid w:val="000263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390"/>
  </w:style>
  <w:style w:type="character" w:styleId="Strong">
    <w:name w:val="Strong"/>
    <w:basedOn w:val="DefaultParagraphFont"/>
    <w:uiPriority w:val="22"/>
    <w:qFormat/>
    <w:rsid w:val="00E8616E"/>
    <w:rPr>
      <w:b/>
      <w:bCs/>
    </w:rPr>
  </w:style>
  <w:style w:type="character" w:customStyle="1" w:styleId="txtgrey1">
    <w:name w:val="txtgrey1"/>
    <w:basedOn w:val="DefaultParagraphFont"/>
    <w:rsid w:val="00E8616E"/>
  </w:style>
  <w:style w:type="table" w:styleId="TableGrid">
    <w:name w:val="Table Grid"/>
    <w:basedOn w:val="TableNormal"/>
    <w:uiPriority w:val="59"/>
    <w:rsid w:val="00FF3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9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74221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5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e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96B6E-F3FB-4D60-A05A-BCCFEA60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bouchoris</dc:creator>
  <cp:lastModifiedBy>stetsi</cp:lastModifiedBy>
  <cp:revision>16</cp:revision>
  <cp:lastPrinted>2012-08-27T11:28:00Z</cp:lastPrinted>
  <dcterms:created xsi:type="dcterms:W3CDTF">2012-08-22T06:40:00Z</dcterms:created>
  <dcterms:modified xsi:type="dcterms:W3CDTF">2012-08-30T14:54:00Z</dcterms:modified>
</cp:coreProperties>
</file>