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740" w:rsidRDefault="00B65740">
      <w:pPr>
        <w:rPr>
          <w:rFonts w:ascii="Arial" w:hAnsi="Arial"/>
        </w:rPr>
      </w:pPr>
    </w:p>
    <w:p w:rsidR="00B65740" w:rsidRDefault="00B65740">
      <w:pPr>
        <w:tabs>
          <w:tab w:val="left" w:pos="0"/>
          <w:tab w:val="left" w:pos="282"/>
          <w:tab w:val="left" w:pos="720"/>
        </w:tabs>
        <w:suppressAutoHyphens/>
        <w:rPr>
          <w:rFonts w:ascii="Arial" w:hAnsi="Arial"/>
          <w:sz w:val="28"/>
          <w:lang w:val="en-GB"/>
        </w:rPr>
      </w:pPr>
      <w:r>
        <w:object w:dxaOrig="12990" w:dyaOrig="11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6.75pt;height:21pt" o:ole="">
            <v:imagedata r:id="rId7" o:title="" cropleft="3261f"/>
          </v:shape>
          <o:OLEObject Type="Embed" ProgID="PhotoDeluxeBusiness.Image.1" ShapeID="_x0000_i1025" DrawAspect="Content" ObjectID="_1396774971" r:id="rId8">
            <o:FieldCodes>\s</o:FieldCodes>
          </o:OLEObject>
        </w:object>
      </w:r>
    </w:p>
    <w:p w:rsidR="00B65740" w:rsidRDefault="00B65740">
      <w:pPr>
        <w:tabs>
          <w:tab w:val="left" w:pos="0"/>
          <w:tab w:val="left" w:pos="282"/>
          <w:tab w:val="left" w:pos="720"/>
        </w:tabs>
        <w:suppressAutoHyphens/>
        <w:rPr>
          <w:rFonts w:ascii="Arial" w:hAnsi="Arial"/>
          <w:sz w:val="28"/>
          <w:lang w:val="en-GB"/>
        </w:rPr>
      </w:pPr>
    </w:p>
    <w:p w:rsidR="00B65740" w:rsidRDefault="00B65740">
      <w:pPr>
        <w:tabs>
          <w:tab w:val="left" w:pos="0"/>
          <w:tab w:val="left" w:pos="282"/>
          <w:tab w:val="left" w:pos="720"/>
        </w:tabs>
        <w:suppressAutoHyphens/>
        <w:rPr>
          <w:rFonts w:ascii="Arial" w:hAnsi="Arial"/>
          <w:color w:val="333333"/>
          <w:sz w:val="28"/>
          <w:szCs w:val="30"/>
          <w:lang w:val="el-GR"/>
        </w:rPr>
      </w:pPr>
      <w:r>
        <w:rPr>
          <w:rFonts w:ascii="Arial" w:hAnsi="Arial"/>
          <w:color w:val="333333"/>
          <w:sz w:val="30"/>
          <w:szCs w:val="30"/>
          <w:lang w:val="el-GR"/>
        </w:rPr>
        <w:t>Ανακοίνωση</w:t>
      </w:r>
    </w:p>
    <w:p w:rsidR="00B65740" w:rsidRPr="0061244E" w:rsidRDefault="00B65740">
      <w:pPr>
        <w:tabs>
          <w:tab w:val="left" w:pos="0"/>
          <w:tab w:val="left" w:pos="282"/>
          <w:tab w:val="left" w:pos="720"/>
        </w:tabs>
        <w:suppressAutoHyphens/>
        <w:rPr>
          <w:rFonts w:ascii="Arial" w:hAnsi="Arial"/>
          <w:sz w:val="26"/>
          <w:lang w:val="en-GB"/>
        </w:rPr>
      </w:pPr>
    </w:p>
    <w:tbl>
      <w:tblPr>
        <w:tblW w:w="10983" w:type="dxa"/>
        <w:tblInd w:w="-1332" w:type="dxa"/>
        <w:tblBorders>
          <w:bottom w:val="single" w:sz="18" w:space="0" w:color="FF9900"/>
        </w:tblBorders>
        <w:tblLook w:val="00A0"/>
      </w:tblPr>
      <w:tblGrid>
        <w:gridCol w:w="10983"/>
      </w:tblGrid>
      <w:tr w:rsidR="00B65740" w:rsidRPr="001120BC">
        <w:trPr>
          <w:trHeight w:val="570"/>
        </w:trPr>
        <w:tc>
          <w:tcPr>
            <w:tcW w:w="10800" w:type="dxa"/>
            <w:vAlign w:val="bottom"/>
          </w:tcPr>
          <w:p w:rsidR="00DC6AA8" w:rsidRPr="00A06841" w:rsidRDefault="00A06841" w:rsidP="00DC6AA8">
            <w:pPr>
              <w:tabs>
                <w:tab w:val="left" w:pos="1332"/>
              </w:tabs>
              <w:suppressAutoHyphens/>
              <w:ind w:left="1332"/>
              <w:rPr>
                <w:rFonts w:ascii="Arial" w:hAnsi="Arial"/>
                <w:sz w:val="30"/>
                <w:lang w:val="el-GR"/>
              </w:rPr>
            </w:pPr>
            <w:r>
              <w:rPr>
                <w:rFonts w:ascii="Arial" w:hAnsi="Arial"/>
                <w:sz w:val="30"/>
                <w:lang w:val="el-GR"/>
              </w:rPr>
              <w:t>Οικονομικό Ημερολόγιο 2012</w:t>
            </w:r>
          </w:p>
          <w:p w:rsidR="00DC6AA8" w:rsidRDefault="00DC6AA8" w:rsidP="003805CB">
            <w:pPr>
              <w:pStyle w:val="ListParagraph"/>
              <w:tabs>
                <w:tab w:val="left" w:pos="1332"/>
              </w:tabs>
              <w:suppressAutoHyphens/>
              <w:ind w:left="2052"/>
              <w:rPr>
                <w:rFonts w:ascii="Arial" w:hAnsi="Arial"/>
                <w:sz w:val="30"/>
                <w:lang w:val="el-GR"/>
              </w:rPr>
            </w:pPr>
          </w:p>
        </w:tc>
      </w:tr>
    </w:tbl>
    <w:p w:rsidR="00B65740" w:rsidRDefault="00B65740">
      <w:pPr>
        <w:rPr>
          <w:rFonts w:ascii="Arial" w:hAnsi="Arial"/>
          <w:sz w:val="20"/>
          <w:lang w:val="el-GR"/>
        </w:rPr>
      </w:pPr>
    </w:p>
    <w:p w:rsidR="00B65740" w:rsidRPr="00DC6AA8" w:rsidRDefault="007D76B7">
      <w:pPr>
        <w:pStyle w:val="TOAHeading"/>
        <w:tabs>
          <w:tab w:val="clear" w:pos="9000"/>
          <w:tab w:val="clear" w:pos="9360"/>
        </w:tabs>
        <w:suppressAutoHyphens w:val="0"/>
        <w:rPr>
          <w:rFonts w:ascii="Arial" w:hAnsi="Arial" w:cs="Arial"/>
          <w:szCs w:val="24"/>
          <w:lang w:val="el-GR"/>
        </w:rPr>
      </w:pPr>
      <w:r w:rsidRPr="006379E1">
        <w:rPr>
          <w:rFonts w:ascii="Arial" w:hAnsi="Arial" w:cs="Arial"/>
          <w:szCs w:val="24"/>
          <w:lang w:val="el-GR"/>
        </w:rPr>
        <w:t xml:space="preserve">Λευκωσία, </w:t>
      </w:r>
      <w:r w:rsidR="001F1368" w:rsidRPr="006379E1">
        <w:rPr>
          <w:rFonts w:ascii="Arial" w:hAnsi="Arial" w:cs="Arial"/>
          <w:szCs w:val="24"/>
          <w:lang w:val="el-GR"/>
        </w:rPr>
        <w:t>2</w:t>
      </w:r>
      <w:bookmarkStart w:id="0" w:name="_GoBack"/>
      <w:bookmarkEnd w:id="0"/>
      <w:r w:rsidR="00A06841">
        <w:rPr>
          <w:rFonts w:ascii="Arial" w:hAnsi="Arial" w:cs="Arial"/>
          <w:szCs w:val="24"/>
          <w:lang w:val="el-GR"/>
        </w:rPr>
        <w:t>4</w:t>
      </w:r>
      <w:r w:rsidR="0061244E" w:rsidRPr="006379E1">
        <w:rPr>
          <w:rFonts w:ascii="Arial" w:hAnsi="Arial" w:cs="Arial"/>
          <w:szCs w:val="24"/>
          <w:lang w:val="el-GR"/>
        </w:rPr>
        <w:t xml:space="preserve"> </w:t>
      </w:r>
      <w:r w:rsidR="00F612D6" w:rsidRPr="006379E1">
        <w:rPr>
          <w:rFonts w:ascii="Arial" w:hAnsi="Arial" w:cs="Arial"/>
          <w:szCs w:val="24"/>
          <w:lang w:val="el-GR"/>
        </w:rPr>
        <w:t xml:space="preserve">Απριλίου </w:t>
      </w:r>
      <w:r w:rsidR="00110A0B" w:rsidRPr="006379E1">
        <w:rPr>
          <w:rFonts w:ascii="Arial" w:hAnsi="Arial" w:cs="Arial"/>
          <w:szCs w:val="24"/>
          <w:lang w:val="el-GR"/>
        </w:rPr>
        <w:t>201</w:t>
      </w:r>
      <w:r w:rsidR="00DC6AA8" w:rsidRPr="006379E1">
        <w:rPr>
          <w:rFonts w:ascii="Arial" w:hAnsi="Arial" w:cs="Arial"/>
          <w:szCs w:val="24"/>
          <w:lang w:val="el-GR"/>
        </w:rPr>
        <w:t>2</w:t>
      </w:r>
    </w:p>
    <w:p w:rsidR="00B65740" w:rsidRPr="007D76B7" w:rsidRDefault="00B65740">
      <w:pPr>
        <w:rPr>
          <w:rFonts w:ascii="Arial" w:hAnsi="Arial" w:cs="Arial"/>
          <w:sz w:val="20"/>
          <w:lang w:val="el-GR"/>
        </w:rPr>
      </w:pPr>
    </w:p>
    <w:p w:rsidR="00A90360" w:rsidRDefault="00A90360" w:rsidP="007D76B7">
      <w:pPr>
        <w:pStyle w:val="BodyText"/>
        <w:jc w:val="both"/>
        <w:rPr>
          <w:rFonts w:ascii="Arial" w:hAnsi="Arial" w:cs="Arial"/>
          <w:sz w:val="20"/>
          <w:szCs w:val="24"/>
          <w:lang w:eastAsia="en-US"/>
        </w:rPr>
      </w:pPr>
    </w:p>
    <w:p w:rsidR="003805CB" w:rsidRPr="001120BC" w:rsidRDefault="006379E1" w:rsidP="003805CB">
      <w:pPr>
        <w:pStyle w:val="BodyText"/>
        <w:ind w:right="0"/>
        <w:jc w:val="both"/>
        <w:rPr>
          <w:rFonts w:ascii="Arial" w:hAnsi="Arial"/>
          <w:b/>
          <w:color w:val="FF9900"/>
          <w:sz w:val="26"/>
        </w:rPr>
      </w:pPr>
      <w:r>
        <w:rPr>
          <w:rFonts w:ascii="Arial" w:hAnsi="Arial"/>
          <w:b/>
          <w:color w:val="FF9900"/>
          <w:sz w:val="26"/>
        </w:rPr>
        <w:t>Ανακοίνωση Τελικών Ε</w:t>
      </w:r>
      <w:r w:rsidR="003805CB" w:rsidRPr="001120BC">
        <w:rPr>
          <w:rFonts w:ascii="Arial" w:hAnsi="Arial"/>
          <w:b/>
          <w:color w:val="FF9900"/>
          <w:sz w:val="26"/>
        </w:rPr>
        <w:t xml:space="preserve">λεγμένων Οικονομικών </w:t>
      </w:r>
      <w:r w:rsidR="00DB28DC">
        <w:rPr>
          <w:rFonts w:ascii="Arial" w:hAnsi="Arial"/>
          <w:b/>
          <w:color w:val="FF9900"/>
          <w:sz w:val="26"/>
        </w:rPr>
        <w:t>Καταστάσεων</w:t>
      </w:r>
      <w:r w:rsidR="003805CB" w:rsidRPr="001120BC">
        <w:rPr>
          <w:rFonts w:ascii="Arial" w:hAnsi="Arial"/>
          <w:b/>
          <w:color w:val="FF9900"/>
          <w:sz w:val="26"/>
        </w:rPr>
        <w:t xml:space="preserve"> για το 2011</w:t>
      </w:r>
    </w:p>
    <w:p w:rsidR="003805CB" w:rsidRDefault="00DB28DC" w:rsidP="003805CB">
      <w:pPr>
        <w:pStyle w:val="Default"/>
        <w:jc w:val="both"/>
        <w:rPr>
          <w:color w:val="auto"/>
          <w:sz w:val="20"/>
          <w:lang w:val="el-GR"/>
        </w:rPr>
      </w:pPr>
      <w:r>
        <w:rPr>
          <w:color w:val="auto"/>
          <w:sz w:val="20"/>
          <w:lang w:val="el-GR"/>
        </w:rPr>
        <w:t xml:space="preserve">Οι </w:t>
      </w:r>
      <w:r w:rsidR="00E115BF">
        <w:rPr>
          <w:color w:val="auto"/>
          <w:sz w:val="20"/>
          <w:lang w:val="el-GR"/>
        </w:rPr>
        <w:t xml:space="preserve">τελικές </w:t>
      </w:r>
      <w:r w:rsidR="006379E1">
        <w:rPr>
          <w:color w:val="auto"/>
          <w:sz w:val="20"/>
          <w:lang w:val="el-GR"/>
        </w:rPr>
        <w:t>ελεγμένες οικονομικές καταστάσεις</w:t>
      </w:r>
      <w:r w:rsidR="003805CB" w:rsidRPr="00DC6AA8">
        <w:rPr>
          <w:color w:val="auto"/>
          <w:sz w:val="20"/>
          <w:lang w:val="el-GR"/>
        </w:rPr>
        <w:t xml:space="preserve"> του Συγκροτήματος για το έτος που έληξε στις 31 Δεκεμβρίου 2011</w:t>
      </w:r>
      <w:r>
        <w:rPr>
          <w:color w:val="auto"/>
          <w:sz w:val="20"/>
          <w:lang w:val="el-GR"/>
        </w:rPr>
        <w:t xml:space="preserve"> θα ανακοινωθούν στο Χρηματιστήριο στις </w:t>
      </w:r>
      <w:r w:rsidR="00E55ADC" w:rsidRPr="00E55ADC">
        <w:rPr>
          <w:b/>
          <w:color w:val="auto"/>
          <w:sz w:val="20"/>
          <w:lang w:val="el-GR"/>
        </w:rPr>
        <w:t>24 Απριλίου 2012</w:t>
      </w:r>
      <w:r w:rsidR="00822001">
        <w:rPr>
          <w:color w:val="auto"/>
          <w:sz w:val="20"/>
          <w:lang w:val="el-GR"/>
        </w:rPr>
        <w:t xml:space="preserve"> </w:t>
      </w:r>
      <w:r>
        <w:rPr>
          <w:color w:val="auto"/>
          <w:sz w:val="20"/>
          <w:lang w:val="el-GR"/>
        </w:rPr>
        <w:t xml:space="preserve">και θα αναρτηθούν στην ιστοσελίδα του Συγκροτήματος </w:t>
      </w:r>
      <w:hyperlink r:id="rId9" w:history="1">
        <w:r w:rsidRPr="008A3091">
          <w:rPr>
            <w:rStyle w:val="Hyperlink"/>
            <w:sz w:val="20"/>
          </w:rPr>
          <w:t>www</w:t>
        </w:r>
        <w:r w:rsidRPr="00DB28DC">
          <w:rPr>
            <w:rStyle w:val="Hyperlink"/>
            <w:sz w:val="20"/>
            <w:lang w:val="el-GR"/>
          </w:rPr>
          <w:t>.</w:t>
        </w:r>
        <w:proofErr w:type="spellStart"/>
        <w:r w:rsidRPr="008A3091">
          <w:rPr>
            <w:rStyle w:val="Hyperlink"/>
            <w:sz w:val="20"/>
          </w:rPr>
          <w:t>bankofcyprus</w:t>
        </w:r>
        <w:proofErr w:type="spellEnd"/>
        <w:r w:rsidRPr="00DB28DC">
          <w:rPr>
            <w:rStyle w:val="Hyperlink"/>
            <w:sz w:val="20"/>
            <w:lang w:val="el-GR"/>
          </w:rPr>
          <w:t>.</w:t>
        </w:r>
        <w:r w:rsidRPr="008A3091">
          <w:rPr>
            <w:rStyle w:val="Hyperlink"/>
            <w:sz w:val="20"/>
          </w:rPr>
          <w:t>com</w:t>
        </w:r>
      </w:hyperlink>
      <w:r w:rsidRPr="00DB28DC">
        <w:rPr>
          <w:color w:val="auto"/>
          <w:sz w:val="20"/>
          <w:lang w:val="el-GR"/>
        </w:rPr>
        <w:t xml:space="preserve"> (</w:t>
      </w:r>
      <w:r>
        <w:rPr>
          <w:color w:val="auto"/>
          <w:sz w:val="20"/>
          <w:lang w:val="el-GR"/>
        </w:rPr>
        <w:t>επιλέξτε Σχ</w:t>
      </w:r>
      <w:r w:rsidR="003805CB" w:rsidRPr="00DC6AA8">
        <w:rPr>
          <w:color w:val="auto"/>
          <w:sz w:val="20"/>
          <w:lang w:val="el-GR"/>
        </w:rPr>
        <w:t>.</w:t>
      </w:r>
      <w:r>
        <w:rPr>
          <w:color w:val="auto"/>
          <w:sz w:val="20"/>
          <w:lang w:val="el-GR"/>
        </w:rPr>
        <w:t xml:space="preserve"> Επενδυτών). </w:t>
      </w:r>
      <w:r w:rsidR="003805CB">
        <w:rPr>
          <w:color w:val="auto"/>
          <w:sz w:val="20"/>
          <w:lang w:val="el-GR"/>
        </w:rPr>
        <w:t xml:space="preserve"> </w:t>
      </w:r>
      <w:r>
        <w:rPr>
          <w:sz w:val="20"/>
          <w:lang w:val="el-GR"/>
        </w:rPr>
        <w:t>Οι ελεγμένες οικονομικές καταστάσεις θα δημοσιευτούν στον τύπο στις 25 Απριλίου 2012</w:t>
      </w:r>
      <w:r w:rsidR="00A90360">
        <w:rPr>
          <w:sz w:val="20"/>
          <w:lang w:val="el-GR"/>
        </w:rPr>
        <w:t>.</w:t>
      </w:r>
    </w:p>
    <w:p w:rsidR="003805CB" w:rsidRDefault="003805CB" w:rsidP="003805CB">
      <w:pPr>
        <w:jc w:val="both"/>
        <w:rPr>
          <w:rFonts w:ascii="Arial" w:hAnsi="Arial" w:cs="Arial"/>
          <w:sz w:val="20"/>
          <w:lang w:val="el-GR"/>
        </w:rPr>
      </w:pPr>
    </w:p>
    <w:p w:rsidR="003805CB" w:rsidRDefault="003805CB" w:rsidP="003805CB">
      <w:pPr>
        <w:jc w:val="both"/>
        <w:rPr>
          <w:rFonts w:ascii="Arial" w:hAnsi="Arial" w:cs="Arial"/>
          <w:sz w:val="20"/>
          <w:lang w:val="el-GR"/>
        </w:rPr>
      </w:pPr>
    </w:p>
    <w:p w:rsidR="003805CB" w:rsidRDefault="00E115BF" w:rsidP="003805CB">
      <w:pPr>
        <w:pStyle w:val="Heading4"/>
        <w:tabs>
          <w:tab w:val="clear" w:pos="0"/>
          <w:tab w:val="clear" w:pos="360"/>
          <w:tab w:val="left" w:pos="540"/>
        </w:tabs>
        <w:spacing w:line="240" w:lineRule="exact"/>
        <w:ind w:left="540" w:hanging="540"/>
        <w:jc w:val="both"/>
        <w:rPr>
          <w:rFonts w:ascii="Arial" w:hAnsi="Arial"/>
          <w:color w:val="FF9900"/>
          <w:sz w:val="26"/>
        </w:rPr>
      </w:pPr>
      <w:r>
        <w:rPr>
          <w:rFonts w:ascii="Arial" w:hAnsi="Arial"/>
          <w:color w:val="FF9900"/>
          <w:sz w:val="26"/>
        </w:rPr>
        <w:t>Ενημέρωση αναλυτών σχετικά με τα Οικονομικά αποτελέσματα 2011</w:t>
      </w:r>
      <w:r w:rsidR="003805CB">
        <w:rPr>
          <w:rFonts w:ascii="Arial" w:hAnsi="Arial"/>
          <w:color w:val="FF9900"/>
          <w:sz w:val="26"/>
        </w:rPr>
        <w:t xml:space="preserve"> </w:t>
      </w:r>
    </w:p>
    <w:p w:rsidR="00E115BF" w:rsidRDefault="00E115BF" w:rsidP="00E115BF">
      <w:pPr>
        <w:jc w:val="both"/>
        <w:rPr>
          <w:rFonts w:ascii="Arial" w:hAnsi="Arial" w:cs="Arial"/>
          <w:sz w:val="20"/>
          <w:lang w:val="el-GR"/>
        </w:rPr>
      </w:pPr>
      <w:r>
        <w:rPr>
          <w:rFonts w:ascii="Arial" w:hAnsi="Arial" w:cs="Arial"/>
          <w:sz w:val="20"/>
          <w:lang w:val="el-GR"/>
        </w:rPr>
        <w:t>Η ενημέρωση αναλυτών σχετικά με τα οικονομικά αποτελέσματα του Συγκροτήματος για το 2011 θα πραγματοποιηθεί</w:t>
      </w:r>
      <w:r w:rsidR="00822001">
        <w:rPr>
          <w:rFonts w:ascii="Arial" w:hAnsi="Arial" w:cs="Arial"/>
          <w:sz w:val="20"/>
          <w:lang w:val="el-GR"/>
        </w:rPr>
        <w:t xml:space="preserve"> σήμερα, </w:t>
      </w:r>
      <w:r w:rsidRPr="00E115BF">
        <w:rPr>
          <w:rFonts w:ascii="Arial" w:hAnsi="Arial" w:cs="Arial"/>
          <w:b/>
          <w:sz w:val="20"/>
          <w:lang w:val="el-GR"/>
        </w:rPr>
        <w:t>Τρίτη 24 Απριλίου 2012</w:t>
      </w:r>
      <w:r>
        <w:rPr>
          <w:rFonts w:ascii="Arial" w:hAnsi="Arial" w:cs="Arial"/>
          <w:sz w:val="20"/>
          <w:lang w:val="el-GR"/>
        </w:rPr>
        <w:t>, στις 6</w:t>
      </w:r>
      <w:r w:rsidRPr="00E115BF">
        <w:rPr>
          <w:rFonts w:ascii="Arial" w:hAnsi="Arial" w:cs="Arial"/>
          <w:sz w:val="20"/>
          <w:lang w:val="el-GR"/>
        </w:rPr>
        <w:t>:</w:t>
      </w:r>
      <w:r w:rsidRPr="007B7ED8">
        <w:rPr>
          <w:rFonts w:ascii="Arial" w:hAnsi="Arial" w:cs="Arial"/>
          <w:sz w:val="20"/>
          <w:lang w:val="el-GR"/>
        </w:rPr>
        <w:t>0</w:t>
      </w:r>
      <w:r w:rsidRPr="002574B4">
        <w:rPr>
          <w:rFonts w:ascii="Arial" w:hAnsi="Arial" w:cs="Arial"/>
          <w:sz w:val="20"/>
          <w:lang w:val="el-GR"/>
        </w:rPr>
        <w:t>0</w:t>
      </w:r>
      <w:r>
        <w:rPr>
          <w:rFonts w:ascii="Arial" w:hAnsi="Arial" w:cs="Arial"/>
          <w:sz w:val="20"/>
          <w:lang w:val="el-GR"/>
        </w:rPr>
        <w:t xml:space="preserve"> </w:t>
      </w:r>
      <w:proofErr w:type="spellStart"/>
      <w:r>
        <w:rPr>
          <w:rFonts w:ascii="Arial" w:hAnsi="Arial" w:cs="Arial"/>
          <w:sz w:val="20"/>
          <w:lang w:val="el-GR"/>
        </w:rPr>
        <w:t>μ</w:t>
      </w:r>
      <w:r w:rsidRPr="002574B4">
        <w:rPr>
          <w:rFonts w:ascii="Arial" w:hAnsi="Arial" w:cs="Arial"/>
          <w:sz w:val="20"/>
          <w:lang w:val="el-GR"/>
        </w:rPr>
        <w:t>.μ</w:t>
      </w:r>
      <w:proofErr w:type="spellEnd"/>
      <w:r w:rsidRPr="002574B4">
        <w:rPr>
          <w:rFonts w:ascii="Arial" w:hAnsi="Arial" w:cs="Arial"/>
          <w:sz w:val="20"/>
          <w:lang w:val="el-GR"/>
        </w:rPr>
        <w:t>.</w:t>
      </w:r>
      <w:r>
        <w:rPr>
          <w:rFonts w:ascii="Arial" w:hAnsi="Arial" w:cs="Arial"/>
          <w:sz w:val="20"/>
          <w:lang w:val="el-GR"/>
        </w:rPr>
        <w:t xml:space="preserve"> μέσω </w:t>
      </w:r>
      <w:proofErr w:type="spellStart"/>
      <w:r>
        <w:rPr>
          <w:rFonts w:ascii="Arial" w:hAnsi="Arial" w:cs="Arial"/>
          <w:sz w:val="20"/>
          <w:lang w:val="el-GR"/>
        </w:rPr>
        <w:t>τηλεσυνδιάσκεψης</w:t>
      </w:r>
      <w:proofErr w:type="spellEnd"/>
      <w:r>
        <w:rPr>
          <w:rFonts w:ascii="Arial" w:hAnsi="Arial" w:cs="Arial"/>
          <w:sz w:val="20"/>
          <w:lang w:val="el-GR"/>
        </w:rPr>
        <w:t>.</w:t>
      </w:r>
      <w:r w:rsidRPr="00952150">
        <w:rPr>
          <w:rFonts w:ascii="Arial" w:hAnsi="Arial" w:cs="Arial"/>
          <w:sz w:val="20"/>
          <w:lang w:val="el-GR"/>
        </w:rPr>
        <w:t xml:space="preserve"> </w:t>
      </w:r>
      <w:r>
        <w:rPr>
          <w:rFonts w:ascii="Arial" w:hAnsi="Arial" w:cs="Arial"/>
          <w:sz w:val="20"/>
          <w:lang w:val="el-GR"/>
        </w:rPr>
        <w:t xml:space="preserve">Η σχετική παρουσίαση θα αναρτηθεί στην ιστοσελίδα του Συγκροτήματος </w:t>
      </w:r>
      <w:hyperlink r:id="rId10" w:history="1">
        <w:r w:rsidRPr="00825FE4">
          <w:rPr>
            <w:rStyle w:val="Hyperlink"/>
            <w:rFonts w:ascii="Arial" w:hAnsi="Arial" w:cs="Arial"/>
            <w:sz w:val="20"/>
            <w:lang w:val="en-GB"/>
          </w:rPr>
          <w:t>www</w:t>
        </w:r>
        <w:r w:rsidRPr="00A03C0D">
          <w:rPr>
            <w:rStyle w:val="Hyperlink"/>
            <w:rFonts w:ascii="Arial" w:hAnsi="Arial" w:cs="Arial"/>
            <w:sz w:val="20"/>
            <w:lang w:val="el-GR"/>
          </w:rPr>
          <w:t>.</w:t>
        </w:r>
        <w:proofErr w:type="spellStart"/>
        <w:r w:rsidRPr="00825FE4">
          <w:rPr>
            <w:rStyle w:val="Hyperlink"/>
            <w:rFonts w:ascii="Arial" w:hAnsi="Arial" w:cs="Arial"/>
            <w:sz w:val="20"/>
            <w:lang w:val="en-GB"/>
          </w:rPr>
          <w:t>bankofcyprus</w:t>
        </w:r>
        <w:proofErr w:type="spellEnd"/>
        <w:r w:rsidRPr="00A03C0D">
          <w:rPr>
            <w:rStyle w:val="Hyperlink"/>
            <w:rFonts w:ascii="Arial" w:hAnsi="Arial" w:cs="Arial"/>
            <w:sz w:val="20"/>
            <w:lang w:val="el-GR"/>
          </w:rPr>
          <w:t>.</w:t>
        </w:r>
        <w:r w:rsidRPr="00825FE4">
          <w:rPr>
            <w:rStyle w:val="Hyperlink"/>
            <w:rFonts w:ascii="Arial" w:hAnsi="Arial" w:cs="Arial"/>
            <w:sz w:val="20"/>
            <w:lang w:val="en-GB"/>
          </w:rPr>
          <w:t>com</w:t>
        </w:r>
      </w:hyperlink>
      <w:r w:rsidRPr="002574B4">
        <w:rPr>
          <w:rFonts w:ascii="Arial" w:hAnsi="Arial" w:cs="Arial"/>
          <w:sz w:val="20"/>
          <w:lang w:val="el-GR"/>
        </w:rPr>
        <w:t xml:space="preserve"> </w:t>
      </w:r>
      <w:r>
        <w:rPr>
          <w:rFonts w:ascii="Arial" w:hAnsi="Arial" w:cs="Arial"/>
          <w:sz w:val="20"/>
          <w:lang w:val="el-GR"/>
        </w:rPr>
        <w:t>(Σχ.</w:t>
      </w:r>
      <w:r w:rsidRPr="002574B4">
        <w:rPr>
          <w:rFonts w:ascii="Arial" w:hAnsi="Arial" w:cs="Arial"/>
          <w:sz w:val="20"/>
          <w:lang w:val="el-GR"/>
        </w:rPr>
        <w:t xml:space="preserve"> </w:t>
      </w:r>
      <w:r>
        <w:rPr>
          <w:rFonts w:ascii="Arial" w:hAnsi="Arial" w:cs="Arial"/>
          <w:sz w:val="20"/>
          <w:lang w:val="el-GR"/>
        </w:rPr>
        <w:t>Επενδυτών/Παρουσιάσεις).</w:t>
      </w:r>
    </w:p>
    <w:p w:rsidR="003805CB" w:rsidRDefault="003805CB" w:rsidP="003805CB">
      <w:pPr>
        <w:pStyle w:val="Heading4"/>
        <w:tabs>
          <w:tab w:val="clear" w:pos="0"/>
          <w:tab w:val="clear" w:pos="360"/>
          <w:tab w:val="left" w:pos="540"/>
        </w:tabs>
        <w:spacing w:line="240" w:lineRule="exact"/>
        <w:ind w:left="540" w:hanging="540"/>
        <w:jc w:val="both"/>
        <w:rPr>
          <w:rFonts w:ascii="Arial" w:hAnsi="Arial"/>
          <w:color w:val="FF9900"/>
          <w:sz w:val="26"/>
        </w:rPr>
      </w:pPr>
    </w:p>
    <w:p w:rsidR="003805CB" w:rsidRDefault="003805CB" w:rsidP="003805CB">
      <w:pPr>
        <w:pStyle w:val="Heading4"/>
        <w:tabs>
          <w:tab w:val="clear" w:pos="0"/>
          <w:tab w:val="clear" w:pos="360"/>
          <w:tab w:val="left" w:pos="540"/>
        </w:tabs>
        <w:spacing w:line="240" w:lineRule="exact"/>
        <w:ind w:left="540" w:hanging="540"/>
        <w:jc w:val="both"/>
        <w:rPr>
          <w:rFonts w:ascii="Arial" w:hAnsi="Arial"/>
          <w:color w:val="FF9900"/>
          <w:sz w:val="26"/>
        </w:rPr>
      </w:pPr>
    </w:p>
    <w:p w:rsidR="003805CB" w:rsidRDefault="003805CB" w:rsidP="003805CB">
      <w:pPr>
        <w:pStyle w:val="Heading4"/>
        <w:tabs>
          <w:tab w:val="clear" w:pos="0"/>
          <w:tab w:val="clear" w:pos="360"/>
          <w:tab w:val="left" w:pos="540"/>
        </w:tabs>
        <w:spacing w:line="240" w:lineRule="exact"/>
        <w:ind w:left="540" w:hanging="540"/>
        <w:jc w:val="both"/>
        <w:rPr>
          <w:rFonts w:ascii="Arial" w:hAnsi="Arial"/>
          <w:color w:val="FF9900"/>
          <w:sz w:val="26"/>
        </w:rPr>
      </w:pPr>
      <w:r>
        <w:rPr>
          <w:rFonts w:ascii="Arial" w:hAnsi="Arial"/>
          <w:color w:val="FF9900"/>
          <w:sz w:val="26"/>
        </w:rPr>
        <w:t xml:space="preserve">Ετήσια Γενική Συνέλευση Μετόχων </w:t>
      </w:r>
    </w:p>
    <w:p w:rsidR="003805CB" w:rsidRDefault="003805CB" w:rsidP="003805CB">
      <w:pPr>
        <w:jc w:val="both"/>
        <w:rPr>
          <w:rFonts w:ascii="Arial" w:hAnsi="Arial" w:cs="Arial"/>
          <w:sz w:val="20"/>
          <w:lang w:val="el-GR"/>
        </w:rPr>
      </w:pPr>
      <w:r w:rsidRPr="00DE73A6">
        <w:rPr>
          <w:rFonts w:ascii="Arial" w:hAnsi="Arial" w:cs="Arial"/>
          <w:sz w:val="20"/>
          <w:lang w:val="el-GR"/>
        </w:rPr>
        <w:t xml:space="preserve">Η Ετήσια Γενική Συνέλευση των </w:t>
      </w:r>
      <w:r>
        <w:rPr>
          <w:rFonts w:ascii="Arial" w:hAnsi="Arial" w:cs="Arial"/>
          <w:sz w:val="20"/>
          <w:lang w:val="el-GR"/>
        </w:rPr>
        <w:t>Μ</w:t>
      </w:r>
      <w:r w:rsidRPr="00DE73A6">
        <w:rPr>
          <w:rFonts w:ascii="Arial" w:hAnsi="Arial" w:cs="Arial"/>
          <w:sz w:val="20"/>
          <w:lang w:val="el-GR"/>
        </w:rPr>
        <w:t xml:space="preserve">ετόχων της Τράπεζας Κύπρου Δημόσια Εταιρία </w:t>
      </w:r>
      <w:proofErr w:type="spellStart"/>
      <w:r w:rsidRPr="00DE73A6">
        <w:rPr>
          <w:rFonts w:ascii="Arial" w:hAnsi="Arial" w:cs="Arial"/>
          <w:sz w:val="20"/>
          <w:lang w:val="el-GR"/>
        </w:rPr>
        <w:t>Λτδ</w:t>
      </w:r>
      <w:proofErr w:type="spellEnd"/>
      <w:r w:rsidRPr="00DE73A6">
        <w:rPr>
          <w:rFonts w:ascii="Arial" w:hAnsi="Arial" w:cs="Arial"/>
          <w:sz w:val="20"/>
          <w:lang w:val="el-GR"/>
        </w:rPr>
        <w:t xml:space="preserve"> θα πραγματοποιηθεί </w:t>
      </w:r>
      <w:r w:rsidRPr="00DC6AA8">
        <w:rPr>
          <w:rFonts w:ascii="Arial" w:hAnsi="Arial" w:cs="Arial"/>
          <w:sz w:val="20"/>
          <w:lang w:val="el-GR"/>
        </w:rPr>
        <w:t xml:space="preserve">στα Κεντρικά Γραφεία Διοίκησης του Συγκροτήματος Τράπεζας Κύπρου (οδός </w:t>
      </w:r>
      <w:proofErr w:type="spellStart"/>
      <w:r w:rsidRPr="00DC6AA8">
        <w:rPr>
          <w:rFonts w:ascii="Arial" w:hAnsi="Arial" w:cs="Arial"/>
          <w:sz w:val="20"/>
          <w:lang w:val="el-GR"/>
        </w:rPr>
        <w:t>Στασίνου</w:t>
      </w:r>
      <w:proofErr w:type="spellEnd"/>
      <w:r w:rsidRPr="00DC6AA8">
        <w:rPr>
          <w:rFonts w:ascii="Arial" w:hAnsi="Arial" w:cs="Arial"/>
          <w:sz w:val="20"/>
          <w:lang w:val="el-GR"/>
        </w:rPr>
        <w:t xml:space="preserve"> 51, Αγία Παρασκευή, </w:t>
      </w:r>
      <w:proofErr w:type="spellStart"/>
      <w:r w:rsidRPr="00DC6AA8">
        <w:rPr>
          <w:rFonts w:ascii="Arial" w:hAnsi="Arial" w:cs="Arial"/>
          <w:sz w:val="20"/>
          <w:lang w:val="el-GR"/>
        </w:rPr>
        <w:t>Στρόβολος</w:t>
      </w:r>
      <w:proofErr w:type="spellEnd"/>
      <w:r w:rsidRPr="00DC6AA8">
        <w:rPr>
          <w:rFonts w:ascii="Arial" w:hAnsi="Arial" w:cs="Arial"/>
          <w:sz w:val="20"/>
          <w:lang w:val="el-GR"/>
        </w:rPr>
        <w:t>, Λευκωσία, Κύπρος</w:t>
      </w:r>
      <w:r w:rsidRPr="00622971">
        <w:rPr>
          <w:rFonts w:ascii="Arial" w:hAnsi="Arial" w:cs="Arial"/>
          <w:sz w:val="20"/>
          <w:lang w:val="el-GR"/>
        </w:rPr>
        <w:t xml:space="preserve">), </w:t>
      </w:r>
      <w:r w:rsidR="003301C7" w:rsidRPr="00622971">
        <w:rPr>
          <w:rFonts w:ascii="Arial" w:hAnsi="Arial" w:cs="Arial"/>
          <w:sz w:val="20"/>
          <w:lang w:val="el-GR"/>
        </w:rPr>
        <w:t>την</w:t>
      </w:r>
      <w:r w:rsidR="003301C7">
        <w:rPr>
          <w:rFonts w:ascii="Arial" w:hAnsi="Arial" w:cs="Arial"/>
          <w:b/>
          <w:sz w:val="20"/>
          <w:lang w:val="el-GR"/>
        </w:rPr>
        <w:t xml:space="preserve"> Τρίτη</w:t>
      </w:r>
      <w:r w:rsidRPr="009372C1">
        <w:rPr>
          <w:rFonts w:ascii="Arial" w:hAnsi="Arial" w:cs="Arial"/>
          <w:b/>
          <w:sz w:val="20"/>
          <w:lang w:val="el-GR"/>
        </w:rPr>
        <w:t xml:space="preserve"> 19 Ιουνίου 2012</w:t>
      </w:r>
      <w:r>
        <w:rPr>
          <w:rFonts w:ascii="Arial" w:hAnsi="Arial" w:cs="Arial"/>
          <w:sz w:val="20"/>
          <w:lang w:val="el-GR"/>
        </w:rPr>
        <w:t xml:space="preserve"> και ώρα 4:30 </w:t>
      </w:r>
      <w:proofErr w:type="spellStart"/>
      <w:r>
        <w:rPr>
          <w:rFonts w:ascii="Arial" w:hAnsi="Arial" w:cs="Arial"/>
          <w:sz w:val="20"/>
          <w:lang w:val="el-GR"/>
        </w:rPr>
        <w:t>μ.μ</w:t>
      </w:r>
      <w:proofErr w:type="spellEnd"/>
      <w:r>
        <w:rPr>
          <w:rFonts w:ascii="Arial" w:hAnsi="Arial" w:cs="Arial"/>
          <w:sz w:val="20"/>
          <w:lang w:val="el-GR"/>
        </w:rPr>
        <w:t>.</w:t>
      </w:r>
    </w:p>
    <w:p w:rsidR="00DC6AA8" w:rsidRDefault="00DC6AA8" w:rsidP="00DC6AA8">
      <w:pPr>
        <w:pStyle w:val="Default"/>
        <w:jc w:val="both"/>
        <w:rPr>
          <w:color w:val="auto"/>
          <w:sz w:val="20"/>
          <w:lang w:val="el-GR"/>
        </w:rPr>
      </w:pPr>
    </w:p>
    <w:p w:rsidR="00DC6AA8" w:rsidRDefault="00A90360" w:rsidP="00DC6AA8">
      <w:pPr>
        <w:pStyle w:val="Default"/>
        <w:jc w:val="both"/>
        <w:rPr>
          <w:color w:val="auto"/>
          <w:sz w:val="20"/>
          <w:lang w:val="el-GR"/>
        </w:rPr>
      </w:pPr>
      <w:r>
        <w:rPr>
          <w:color w:val="auto"/>
          <w:sz w:val="20"/>
          <w:lang w:val="el-GR"/>
        </w:rPr>
        <w:t xml:space="preserve"> </w:t>
      </w:r>
    </w:p>
    <w:p w:rsidR="00DC6AA8" w:rsidRDefault="00DC6AA8" w:rsidP="00DC6AA8">
      <w:pPr>
        <w:pStyle w:val="Default"/>
        <w:jc w:val="both"/>
        <w:rPr>
          <w:color w:val="auto"/>
          <w:sz w:val="20"/>
          <w:lang w:val="el-GR"/>
        </w:rPr>
      </w:pPr>
    </w:p>
    <w:p w:rsidR="00DC6AA8" w:rsidRDefault="00DC6AA8" w:rsidP="0061244E">
      <w:pPr>
        <w:jc w:val="both"/>
        <w:rPr>
          <w:rFonts w:ascii="Arial" w:hAnsi="Arial" w:cs="Arial"/>
          <w:sz w:val="20"/>
          <w:lang w:val="el-GR"/>
        </w:rPr>
      </w:pPr>
    </w:p>
    <w:p w:rsidR="00A90360" w:rsidRDefault="00A90360" w:rsidP="0061244E">
      <w:pPr>
        <w:jc w:val="both"/>
        <w:rPr>
          <w:rFonts w:ascii="Arial" w:hAnsi="Arial" w:cs="Arial"/>
          <w:sz w:val="20"/>
          <w:lang w:val="el-GR"/>
        </w:rPr>
      </w:pPr>
    </w:p>
    <w:p w:rsidR="00A90360" w:rsidRDefault="00A90360" w:rsidP="0061244E">
      <w:pPr>
        <w:jc w:val="both"/>
        <w:rPr>
          <w:rFonts w:ascii="Arial" w:hAnsi="Arial" w:cs="Arial"/>
          <w:sz w:val="20"/>
          <w:lang w:val="el-GR"/>
        </w:rPr>
      </w:pPr>
    </w:p>
    <w:p w:rsidR="00A90360" w:rsidRDefault="00A90360" w:rsidP="0061244E">
      <w:pPr>
        <w:jc w:val="both"/>
        <w:rPr>
          <w:rFonts w:ascii="Arial" w:hAnsi="Arial" w:cs="Arial"/>
          <w:sz w:val="20"/>
          <w:lang w:val="el-GR"/>
        </w:rPr>
      </w:pPr>
    </w:p>
    <w:p w:rsidR="00A90360" w:rsidRDefault="00A90360" w:rsidP="0061244E">
      <w:pPr>
        <w:jc w:val="both"/>
        <w:rPr>
          <w:rFonts w:ascii="Arial" w:hAnsi="Arial" w:cs="Arial"/>
          <w:sz w:val="20"/>
          <w:lang w:val="el-GR"/>
        </w:rPr>
      </w:pPr>
    </w:p>
    <w:p w:rsidR="00D73C17" w:rsidRPr="00A64A82" w:rsidRDefault="00D73C17" w:rsidP="00D73C17">
      <w:pPr>
        <w:pStyle w:val="BodyText2"/>
        <w:spacing w:line="240" w:lineRule="auto"/>
        <w:ind w:right="74"/>
        <w:jc w:val="both"/>
        <w:rPr>
          <w:rFonts w:ascii="Arial" w:hAnsi="Arial"/>
          <w:color w:val="333333"/>
          <w:sz w:val="16"/>
          <w:szCs w:val="16"/>
          <w:lang w:val="el-GR"/>
        </w:rPr>
      </w:pPr>
      <w:r w:rsidRPr="006F6854">
        <w:rPr>
          <w:rFonts w:ascii="Arial" w:hAnsi="Arial"/>
          <w:color w:val="333333"/>
          <w:sz w:val="16"/>
          <w:szCs w:val="16"/>
          <w:lang w:val="el-GR"/>
        </w:rPr>
        <w:t xml:space="preserve">Το Συγκρότημα Τράπεζας Κύπρου ιδρύθηκε το 1899 και είναι σήμερα ο ηγετικός χρηματοοικονομικός οργανισμός στην Κύπρο.  Το Συγκρότημα προσφέρει ένα ευρύ φάσμα χρηματοοικονομικών προϊόντων και υπηρεσιών που περιλαμβάνει τραπεζικές υπηρεσίες, χρηματοδοτήσεις, </w:t>
      </w:r>
      <w:proofErr w:type="spellStart"/>
      <w:r w:rsidRPr="006F6854">
        <w:rPr>
          <w:rFonts w:ascii="Arial" w:hAnsi="Arial"/>
          <w:color w:val="333333"/>
          <w:sz w:val="16"/>
          <w:szCs w:val="16"/>
          <w:lang w:val="el-GR"/>
        </w:rPr>
        <w:t>φάκτοριγκ</w:t>
      </w:r>
      <w:proofErr w:type="spellEnd"/>
      <w:r w:rsidRPr="006F6854">
        <w:rPr>
          <w:rFonts w:ascii="Arial" w:hAnsi="Arial"/>
          <w:color w:val="333333"/>
          <w:sz w:val="16"/>
          <w:szCs w:val="16"/>
          <w:lang w:val="el-GR"/>
        </w:rPr>
        <w:t xml:space="preserve">, </w:t>
      </w:r>
      <w:proofErr w:type="spellStart"/>
      <w:r w:rsidRPr="006F6854">
        <w:rPr>
          <w:rFonts w:ascii="Arial" w:hAnsi="Arial"/>
          <w:color w:val="333333"/>
          <w:sz w:val="16"/>
          <w:szCs w:val="16"/>
          <w:lang w:val="el-GR"/>
        </w:rPr>
        <w:t>χρηματοεπενδυτικές</w:t>
      </w:r>
      <w:proofErr w:type="spellEnd"/>
      <w:r w:rsidRPr="006F6854">
        <w:rPr>
          <w:rFonts w:ascii="Arial" w:hAnsi="Arial"/>
          <w:color w:val="333333"/>
          <w:sz w:val="16"/>
          <w:szCs w:val="16"/>
          <w:lang w:val="el-GR"/>
        </w:rPr>
        <w:t xml:space="preserve"> υπηρεσίες, διαχείριση αμοιβαίων κεφαλαίων,</w:t>
      </w:r>
      <w:r>
        <w:rPr>
          <w:rFonts w:ascii="Arial" w:hAnsi="Arial"/>
          <w:color w:val="333333"/>
          <w:sz w:val="16"/>
          <w:szCs w:val="16"/>
          <w:lang w:val="el-GR"/>
        </w:rPr>
        <w:t xml:space="preserve"> ιδιωτικής τραπεζικής</w:t>
      </w:r>
      <w:r w:rsidRPr="006F6854">
        <w:rPr>
          <w:rFonts w:ascii="Arial" w:hAnsi="Arial"/>
          <w:color w:val="333333"/>
          <w:sz w:val="16"/>
          <w:szCs w:val="16"/>
          <w:lang w:val="el-GR"/>
        </w:rPr>
        <w:t xml:space="preserve"> και ασφάλειες γενικού κλάδου και ζωής.  </w:t>
      </w:r>
      <w:r w:rsidRPr="00A64A82">
        <w:rPr>
          <w:rFonts w:ascii="Arial" w:hAnsi="Arial"/>
          <w:color w:val="333333"/>
          <w:sz w:val="16"/>
          <w:szCs w:val="16"/>
          <w:lang w:val="el-GR"/>
        </w:rPr>
        <w:t>Η Τράπεζα Κύπρου λειτουργεί μέσω 583</w:t>
      </w:r>
      <w:r>
        <w:rPr>
          <w:rFonts w:ascii="Arial" w:hAnsi="Arial"/>
          <w:color w:val="333333"/>
          <w:sz w:val="16"/>
          <w:szCs w:val="16"/>
          <w:lang w:val="el-GR"/>
        </w:rPr>
        <w:t xml:space="preserve"> </w:t>
      </w:r>
      <w:r w:rsidRPr="00A64A82">
        <w:rPr>
          <w:rFonts w:ascii="Arial" w:hAnsi="Arial"/>
          <w:color w:val="333333"/>
          <w:sz w:val="16"/>
          <w:szCs w:val="16"/>
          <w:lang w:val="el-GR"/>
        </w:rPr>
        <w:t>καταστημάτων, από τα οποία</w:t>
      </w:r>
      <w:r w:rsidRPr="002F7DD5">
        <w:rPr>
          <w:rFonts w:ascii="Arial" w:hAnsi="Arial"/>
          <w:color w:val="333333"/>
          <w:sz w:val="16"/>
          <w:szCs w:val="16"/>
          <w:lang w:val="el-GR"/>
        </w:rPr>
        <w:t xml:space="preserve"> </w:t>
      </w:r>
      <w:r w:rsidRPr="00A64A82">
        <w:rPr>
          <w:rFonts w:ascii="Arial" w:hAnsi="Arial"/>
          <w:color w:val="333333"/>
          <w:sz w:val="16"/>
          <w:szCs w:val="16"/>
          <w:lang w:val="el-GR"/>
        </w:rPr>
        <w:t xml:space="preserve">199 λειτουργούν στη Ρωσία, 188 στην Ελλάδα, 137 στην Κύπρο, 42 στην Ουκρανία, 12 στη Ρουμανία, 4 στο Ηνωμένο Βασίλειο και 1 στα </w:t>
      </w:r>
      <w:proofErr w:type="spellStart"/>
      <w:r w:rsidRPr="00A64A82">
        <w:rPr>
          <w:rFonts w:ascii="Arial" w:hAnsi="Arial"/>
          <w:color w:val="333333"/>
          <w:sz w:val="16"/>
          <w:szCs w:val="16"/>
          <w:lang w:val="el-GR"/>
        </w:rPr>
        <w:t>Channel</w:t>
      </w:r>
      <w:proofErr w:type="spellEnd"/>
      <w:r w:rsidRPr="00270607">
        <w:rPr>
          <w:rFonts w:ascii="Arial" w:hAnsi="Arial"/>
          <w:color w:val="333333"/>
          <w:sz w:val="16"/>
          <w:szCs w:val="16"/>
          <w:lang w:val="el-GR"/>
        </w:rPr>
        <w:t xml:space="preserve"> </w:t>
      </w:r>
      <w:proofErr w:type="spellStart"/>
      <w:r w:rsidRPr="00A64A82">
        <w:rPr>
          <w:rFonts w:ascii="Arial" w:hAnsi="Arial"/>
          <w:color w:val="333333"/>
          <w:sz w:val="16"/>
          <w:szCs w:val="16"/>
          <w:lang w:val="el-GR"/>
        </w:rPr>
        <w:t>Islands</w:t>
      </w:r>
      <w:proofErr w:type="spellEnd"/>
      <w:r w:rsidRPr="00A64A82">
        <w:rPr>
          <w:rFonts w:ascii="Arial" w:hAnsi="Arial"/>
          <w:color w:val="333333"/>
          <w:sz w:val="16"/>
          <w:szCs w:val="16"/>
          <w:lang w:val="el-GR"/>
        </w:rPr>
        <w:t>. Επιπλέον, η Τράπεζα λειτουργεί 6</w:t>
      </w:r>
      <w:r w:rsidRPr="002F7DD5">
        <w:rPr>
          <w:rFonts w:ascii="Arial" w:hAnsi="Arial"/>
          <w:color w:val="333333"/>
          <w:sz w:val="16"/>
          <w:szCs w:val="16"/>
          <w:lang w:val="el-GR"/>
        </w:rPr>
        <w:t xml:space="preserve"> </w:t>
      </w:r>
      <w:r w:rsidRPr="00A64A82">
        <w:rPr>
          <w:rFonts w:ascii="Arial" w:hAnsi="Arial"/>
          <w:color w:val="333333"/>
          <w:sz w:val="16"/>
          <w:szCs w:val="16"/>
          <w:lang w:val="el-GR"/>
        </w:rPr>
        <w:t>καταστήματα αντιπροσωπείας στη Ρωσία, τη Ρουμανία, την Ουκρανία,</w:t>
      </w:r>
      <w:r w:rsidRPr="00270607">
        <w:rPr>
          <w:rFonts w:ascii="Arial" w:hAnsi="Arial"/>
          <w:color w:val="333333"/>
          <w:sz w:val="16"/>
          <w:szCs w:val="16"/>
          <w:lang w:val="el-GR"/>
        </w:rPr>
        <w:t xml:space="preserve"> </w:t>
      </w:r>
      <w:r w:rsidRPr="00A64A82">
        <w:rPr>
          <w:rFonts w:ascii="Arial" w:hAnsi="Arial"/>
          <w:color w:val="333333"/>
          <w:sz w:val="16"/>
          <w:szCs w:val="16"/>
          <w:lang w:val="el-GR"/>
        </w:rPr>
        <w:t xml:space="preserve">την Σερβία και τη Νότια Αφρική.  Το Συγκρότημα </w:t>
      </w:r>
      <w:proofErr w:type="spellStart"/>
      <w:r w:rsidRPr="00A64A82">
        <w:rPr>
          <w:rFonts w:ascii="Arial" w:hAnsi="Arial"/>
          <w:color w:val="333333"/>
          <w:sz w:val="16"/>
          <w:szCs w:val="16"/>
          <w:lang w:val="el-GR"/>
        </w:rPr>
        <w:t>εργοδοτεί</w:t>
      </w:r>
      <w:proofErr w:type="spellEnd"/>
      <w:r w:rsidRPr="002F7DD5">
        <w:rPr>
          <w:rFonts w:ascii="Arial" w:hAnsi="Arial"/>
          <w:color w:val="333333"/>
          <w:sz w:val="16"/>
          <w:szCs w:val="16"/>
          <w:lang w:val="el-GR"/>
        </w:rPr>
        <w:t xml:space="preserve"> </w:t>
      </w:r>
      <w:r w:rsidRPr="00A64A82">
        <w:rPr>
          <w:rFonts w:ascii="Arial" w:hAnsi="Arial"/>
          <w:color w:val="333333"/>
          <w:sz w:val="16"/>
          <w:szCs w:val="16"/>
          <w:lang w:val="el-GR"/>
        </w:rPr>
        <w:t>11.326 άτομα διεθνώς.</w:t>
      </w:r>
    </w:p>
    <w:p w:rsidR="00D73C17" w:rsidRPr="000C656E" w:rsidRDefault="00D73C17" w:rsidP="00D73C17">
      <w:pPr>
        <w:pStyle w:val="BodyText2"/>
        <w:spacing w:line="240" w:lineRule="auto"/>
        <w:ind w:right="74"/>
        <w:jc w:val="both"/>
        <w:rPr>
          <w:rFonts w:ascii="Arial" w:hAnsi="Arial"/>
          <w:color w:val="333333"/>
          <w:sz w:val="16"/>
          <w:szCs w:val="16"/>
          <w:lang w:val="el-GR"/>
        </w:rPr>
      </w:pPr>
      <w:r w:rsidRPr="00625314">
        <w:rPr>
          <w:rFonts w:ascii="Arial" w:hAnsi="Arial"/>
          <w:color w:val="333333"/>
          <w:sz w:val="16"/>
          <w:szCs w:val="16"/>
          <w:lang w:val="el-GR"/>
        </w:rPr>
        <w:t>Στις 31</w:t>
      </w:r>
      <w:r w:rsidRPr="00263E95">
        <w:rPr>
          <w:rFonts w:ascii="Arial" w:hAnsi="Arial"/>
          <w:color w:val="333333"/>
          <w:sz w:val="16"/>
          <w:szCs w:val="16"/>
          <w:lang w:val="el-GR"/>
        </w:rPr>
        <w:t xml:space="preserve"> </w:t>
      </w:r>
      <w:r w:rsidRPr="00625314">
        <w:rPr>
          <w:rFonts w:ascii="Arial" w:hAnsi="Arial"/>
          <w:color w:val="333333"/>
          <w:sz w:val="16"/>
          <w:szCs w:val="16"/>
          <w:lang w:val="el-GR"/>
        </w:rPr>
        <w:t>Δεκεμβρίου 2011, το Σύνολο Περιουσιακών Στοιχείων του Συγκροτήματος ανερχόταν σε €37,</w:t>
      </w:r>
      <w:r>
        <w:rPr>
          <w:rFonts w:ascii="Arial" w:hAnsi="Arial"/>
          <w:color w:val="333333"/>
          <w:sz w:val="16"/>
          <w:szCs w:val="16"/>
          <w:lang w:val="el-GR"/>
        </w:rPr>
        <w:t>8</w:t>
      </w:r>
      <w:r w:rsidRPr="00270607">
        <w:rPr>
          <w:rFonts w:ascii="Arial" w:hAnsi="Arial"/>
          <w:color w:val="333333"/>
          <w:sz w:val="16"/>
          <w:szCs w:val="16"/>
          <w:lang w:val="el-GR"/>
        </w:rPr>
        <w:t>4</w:t>
      </w:r>
      <w:r w:rsidRPr="00625314">
        <w:rPr>
          <w:rFonts w:ascii="Arial" w:hAnsi="Arial"/>
          <w:color w:val="333333"/>
          <w:sz w:val="16"/>
          <w:szCs w:val="16"/>
          <w:lang w:val="el-GR"/>
        </w:rPr>
        <w:t xml:space="preserve"> δισ. και τα Ίδια Κεφάλαια του σε €2,7</w:t>
      </w:r>
      <w:r>
        <w:rPr>
          <w:rFonts w:ascii="Arial" w:hAnsi="Arial"/>
          <w:color w:val="333333"/>
          <w:sz w:val="16"/>
          <w:szCs w:val="16"/>
          <w:lang w:val="el-GR"/>
        </w:rPr>
        <w:t>0</w:t>
      </w:r>
      <w:r w:rsidRPr="00625314">
        <w:rPr>
          <w:rFonts w:ascii="Arial" w:hAnsi="Arial"/>
          <w:color w:val="333333"/>
          <w:sz w:val="16"/>
          <w:szCs w:val="16"/>
          <w:lang w:val="el-GR"/>
        </w:rPr>
        <w:t xml:space="preserve"> δισ. Οι μετοχές της Τράπεζας Κύπρου είναι εισηγμένες στο Χρηματιστήριο Αξιών Κύπρου και στο Χρηματιστήριο Αθηνών. Περαιτέρω πληροφορίες μπορείτε να βρείτε στην ιστοσελίδα του Συγκροτήματος </w:t>
      </w:r>
      <w:hyperlink r:id="rId11" w:history="1">
        <w:r w:rsidRPr="00625314">
          <w:rPr>
            <w:rFonts w:ascii="Arial" w:hAnsi="Arial"/>
            <w:color w:val="333333"/>
            <w:sz w:val="16"/>
            <w:szCs w:val="16"/>
            <w:lang w:val="el-GR"/>
          </w:rPr>
          <w:t>www.bankofcyprus.com</w:t>
        </w:r>
      </w:hyperlink>
      <w:r w:rsidRPr="00625314">
        <w:rPr>
          <w:rFonts w:ascii="Arial" w:hAnsi="Arial"/>
          <w:color w:val="333333"/>
          <w:sz w:val="16"/>
          <w:szCs w:val="16"/>
          <w:lang w:val="el-GR"/>
        </w:rPr>
        <w:t>.</w:t>
      </w:r>
    </w:p>
    <w:p w:rsidR="009372C1" w:rsidRDefault="00D73C17" w:rsidP="00E115BF">
      <w:pPr>
        <w:pStyle w:val="BodyText2"/>
        <w:spacing w:line="240" w:lineRule="auto"/>
        <w:ind w:right="74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l-GR"/>
        </w:rPr>
      </w:pPr>
      <w:r>
        <w:rPr>
          <w:noProof/>
          <w:lang w:val="el-GR" w:eastAsia="el-GR"/>
        </w:rPr>
        <w:drawing>
          <wp:inline distT="0" distB="0" distL="0" distR="0">
            <wp:extent cx="685800" cy="819150"/>
            <wp:effectExtent l="19050" t="0" r="0" b="0"/>
            <wp:docPr id="14" name="Picture 12" descr="Description: Description: 2011 Best Bank Aw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Description: 2011 Best Bank Award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>
            <wp:extent cx="685800" cy="847725"/>
            <wp:effectExtent l="19050" t="0" r="0" b="0"/>
            <wp:docPr id="13" name="Picture 11" descr="Description: Description: 2011 Best FX Provi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escription: Description: 2011 Best FX Provider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>
            <wp:extent cx="666750" cy="847725"/>
            <wp:effectExtent l="19050" t="0" r="0" b="0"/>
            <wp:docPr id="12" name="Picture 10" descr="Description: Description: 2010-Best-Developed-B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cription: Description: 2010-Best-Developed-Bks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>
            <wp:extent cx="657225" cy="847725"/>
            <wp:effectExtent l="19050" t="0" r="9525" b="0"/>
            <wp:docPr id="11" name="Picture 9" descr="Description: Description: 2010-BEST-FX-Provi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Description: 2010-BEST-FX-Providers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>
            <wp:extent cx="1019175" cy="666750"/>
            <wp:effectExtent l="19050" t="0" r="9525" b="0"/>
            <wp:docPr id="10" name="Picture 8" descr="Description: Description: C:\Users\5282\AppData\Local\Microsoft\Windows\Temporary Internet Files\Content.Outlook\Y0V2SYE1\Afe 2010 outlined no shad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Description: C:\Users\5282\AppData\Local\Microsoft\Windows\Temporary Internet Files\Content.Outlook\Y0V2SYE1\Afe 2010 outlined no shadow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val="el-GR" w:eastAsia="el-GR"/>
        </w:rPr>
        <w:drawing>
          <wp:inline distT="0" distB="0" distL="0" distR="0">
            <wp:extent cx="685800" cy="685800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>
            <wp:extent cx="1076325" cy="561975"/>
            <wp:effectExtent l="19050" t="0" r="9525" b="0"/>
            <wp:docPr id="9" name="Picture 1" descr="Description: 9B48F201-29DD-4EE1-B779-138D83C050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9B48F201-29DD-4EE1-B779-138D83C050CE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72C1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l-GR"/>
        </w:rPr>
        <w:br/>
      </w:r>
    </w:p>
    <w:sectPr w:rsidR="009372C1" w:rsidSect="00B7344A">
      <w:footerReference w:type="even" r:id="rId19"/>
      <w:footerReference w:type="default" r:id="rId20"/>
      <w:pgSz w:w="11909" w:h="16834"/>
      <w:pgMar w:top="1134" w:right="1418" w:bottom="1134" w:left="1418" w:header="720" w:footer="720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004" w:rsidRDefault="001D0004">
      <w:r>
        <w:separator/>
      </w:r>
    </w:p>
  </w:endnote>
  <w:endnote w:type="continuationSeparator" w:id="0">
    <w:p w:rsidR="001D0004" w:rsidRDefault="001D0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8DC" w:rsidRDefault="00E55A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B28D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B28DC" w:rsidRDefault="00DB28D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8DC" w:rsidRDefault="00E55ADC">
    <w:pPr>
      <w:pStyle w:val="Footer"/>
      <w:framePr w:wrap="around" w:vAnchor="text" w:hAnchor="margin" w:xAlign="right" w:y="1"/>
      <w:rPr>
        <w:rStyle w:val="PageNumber"/>
        <w:rFonts w:ascii="Arial" w:hAnsi="Arial" w:cs="Arial"/>
        <w:b/>
        <w:color w:val="000000"/>
        <w:sz w:val="20"/>
      </w:rPr>
    </w:pPr>
    <w:r>
      <w:rPr>
        <w:rStyle w:val="PageNumber"/>
        <w:rFonts w:ascii="Arial" w:hAnsi="Arial" w:cs="Arial"/>
        <w:b/>
        <w:color w:val="000000"/>
        <w:sz w:val="20"/>
      </w:rPr>
      <w:fldChar w:fldCharType="begin"/>
    </w:r>
    <w:r w:rsidR="00DB28DC">
      <w:rPr>
        <w:rStyle w:val="PageNumber"/>
        <w:rFonts w:ascii="Arial" w:hAnsi="Arial" w:cs="Arial"/>
        <w:b/>
        <w:color w:val="000000"/>
        <w:sz w:val="20"/>
      </w:rPr>
      <w:instrText xml:space="preserve">PAGE  </w:instrText>
    </w:r>
    <w:r>
      <w:rPr>
        <w:rStyle w:val="PageNumber"/>
        <w:rFonts w:ascii="Arial" w:hAnsi="Arial" w:cs="Arial"/>
        <w:b/>
        <w:color w:val="000000"/>
        <w:sz w:val="20"/>
      </w:rPr>
      <w:fldChar w:fldCharType="separate"/>
    </w:r>
    <w:r w:rsidR="00D73C17">
      <w:rPr>
        <w:rStyle w:val="PageNumber"/>
        <w:rFonts w:ascii="Arial" w:hAnsi="Arial" w:cs="Arial"/>
        <w:b/>
        <w:noProof/>
        <w:color w:val="000000"/>
        <w:sz w:val="20"/>
      </w:rPr>
      <w:t>1</w:t>
    </w:r>
    <w:r>
      <w:rPr>
        <w:rStyle w:val="PageNumber"/>
        <w:rFonts w:ascii="Arial" w:hAnsi="Arial" w:cs="Arial"/>
        <w:b/>
        <w:color w:val="000000"/>
        <w:sz w:val="20"/>
      </w:rPr>
      <w:fldChar w:fldCharType="end"/>
    </w:r>
  </w:p>
  <w:p w:rsidR="00DB28DC" w:rsidRDefault="00DB28DC">
    <w:pPr>
      <w:pStyle w:val="Footer"/>
      <w:tabs>
        <w:tab w:val="clear" w:pos="4153"/>
        <w:tab w:val="clear" w:pos="8306"/>
        <w:tab w:val="right" w:pos="9847"/>
      </w:tabs>
      <w:ind w:right="360"/>
    </w:pPr>
    <w:r>
      <w:object w:dxaOrig="12990" w:dyaOrig="11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16.75pt;height:21pt" o:ole="">
          <v:imagedata r:id="rId1" o:title="" cropleft="3261f"/>
        </v:shape>
        <o:OLEObject Type="Embed" ProgID="PhotoDeluxeBusiness.Image.1" ShapeID="_x0000_i1026" DrawAspect="Content" ObjectID="_1396774972" r:id="rId2">
          <o:FieldCodes>\s</o:FieldCodes>
        </o:OLEObject>
      </w:object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004" w:rsidRDefault="001D0004">
      <w:r>
        <w:separator/>
      </w:r>
    </w:p>
  </w:footnote>
  <w:footnote w:type="continuationSeparator" w:id="0">
    <w:p w:rsidR="001D0004" w:rsidRDefault="001D00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A2012"/>
    <w:multiLevelType w:val="hybridMultilevel"/>
    <w:tmpl w:val="B0FE872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4359BC"/>
    <w:multiLevelType w:val="hybridMultilevel"/>
    <w:tmpl w:val="7E109FAA"/>
    <w:lvl w:ilvl="0" w:tplc="04080001">
      <w:start w:val="1"/>
      <w:numFmt w:val="bullet"/>
      <w:lvlText w:val=""/>
      <w:lvlJc w:val="left"/>
      <w:pPr>
        <w:ind w:left="205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720"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363FF2"/>
    <w:rsid w:val="0003333A"/>
    <w:rsid w:val="000512E2"/>
    <w:rsid w:val="00071E9C"/>
    <w:rsid w:val="000B4DE9"/>
    <w:rsid w:val="000F4F36"/>
    <w:rsid w:val="001067D8"/>
    <w:rsid w:val="00110A0B"/>
    <w:rsid w:val="0011132C"/>
    <w:rsid w:val="001120BC"/>
    <w:rsid w:val="00114C3D"/>
    <w:rsid w:val="00177661"/>
    <w:rsid w:val="001852C8"/>
    <w:rsid w:val="001D0004"/>
    <w:rsid w:val="001D0FB0"/>
    <w:rsid w:val="001E2017"/>
    <w:rsid w:val="001F1368"/>
    <w:rsid w:val="00241C1D"/>
    <w:rsid w:val="0024762B"/>
    <w:rsid w:val="002704AD"/>
    <w:rsid w:val="002B043F"/>
    <w:rsid w:val="002B48DE"/>
    <w:rsid w:val="002D00CA"/>
    <w:rsid w:val="00317E36"/>
    <w:rsid w:val="003301C7"/>
    <w:rsid w:val="00350490"/>
    <w:rsid w:val="00363FF2"/>
    <w:rsid w:val="003805CB"/>
    <w:rsid w:val="0039020C"/>
    <w:rsid w:val="003B5F27"/>
    <w:rsid w:val="003D7A15"/>
    <w:rsid w:val="003E254C"/>
    <w:rsid w:val="0045332F"/>
    <w:rsid w:val="00472987"/>
    <w:rsid w:val="00480836"/>
    <w:rsid w:val="004D2856"/>
    <w:rsid w:val="004E55A5"/>
    <w:rsid w:val="005C1281"/>
    <w:rsid w:val="005F326D"/>
    <w:rsid w:val="005F3798"/>
    <w:rsid w:val="0061244E"/>
    <w:rsid w:val="00622971"/>
    <w:rsid w:val="006379E1"/>
    <w:rsid w:val="00692B7C"/>
    <w:rsid w:val="00712EEE"/>
    <w:rsid w:val="007639E4"/>
    <w:rsid w:val="007801CC"/>
    <w:rsid w:val="007D76B7"/>
    <w:rsid w:val="00803BC5"/>
    <w:rsid w:val="00822001"/>
    <w:rsid w:val="008236B4"/>
    <w:rsid w:val="008315A1"/>
    <w:rsid w:val="0084430D"/>
    <w:rsid w:val="00864E1F"/>
    <w:rsid w:val="008A6CFF"/>
    <w:rsid w:val="008B0D63"/>
    <w:rsid w:val="008E48D7"/>
    <w:rsid w:val="008E777B"/>
    <w:rsid w:val="00905950"/>
    <w:rsid w:val="009372C1"/>
    <w:rsid w:val="00994B71"/>
    <w:rsid w:val="009F2B7A"/>
    <w:rsid w:val="00A06841"/>
    <w:rsid w:val="00A31157"/>
    <w:rsid w:val="00A738AB"/>
    <w:rsid w:val="00A90360"/>
    <w:rsid w:val="00A95762"/>
    <w:rsid w:val="00B33ADE"/>
    <w:rsid w:val="00B65740"/>
    <w:rsid w:val="00B659AF"/>
    <w:rsid w:val="00B7344A"/>
    <w:rsid w:val="00B7485E"/>
    <w:rsid w:val="00BB3449"/>
    <w:rsid w:val="00BE1946"/>
    <w:rsid w:val="00C04457"/>
    <w:rsid w:val="00C50D93"/>
    <w:rsid w:val="00C54867"/>
    <w:rsid w:val="00C84CAB"/>
    <w:rsid w:val="00CC1CBE"/>
    <w:rsid w:val="00CC299A"/>
    <w:rsid w:val="00CF00F6"/>
    <w:rsid w:val="00D73C17"/>
    <w:rsid w:val="00D957DC"/>
    <w:rsid w:val="00DB28DC"/>
    <w:rsid w:val="00DB2997"/>
    <w:rsid w:val="00DC6AA8"/>
    <w:rsid w:val="00DD1EAF"/>
    <w:rsid w:val="00DD3E73"/>
    <w:rsid w:val="00E0136F"/>
    <w:rsid w:val="00E03D00"/>
    <w:rsid w:val="00E05FBA"/>
    <w:rsid w:val="00E115BF"/>
    <w:rsid w:val="00E15BAE"/>
    <w:rsid w:val="00E3377A"/>
    <w:rsid w:val="00E55ADC"/>
    <w:rsid w:val="00E76EAB"/>
    <w:rsid w:val="00ED2EF6"/>
    <w:rsid w:val="00F12406"/>
    <w:rsid w:val="00F34DC4"/>
    <w:rsid w:val="00F566A2"/>
    <w:rsid w:val="00F56A10"/>
    <w:rsid w:val="00F612D6"/>
    <w:rsid w:val="00F85D1A"/>
    <w:rsid w:val="00FC2643"/>
    <w:rsid w:val="00FC32E4"/>
    <w:rsid w:val="00FF1A1A"/>
    <w:rsid w:val="00FF5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344A"/>
    <w:rPr>
      <w:sz w:val="24"/>
      <w:szCs w:val="24"/>
    </w:rPr>
  </w:style>
  <w:style w:type="paragraph" w:styleId="Heading1">
    <w:name w:val="heading 1"/>
    <w:basedOn w:val="Normal"/>
    <w:next w:val="Normal"/>
    <w:qFormat/>
    <w:rsid w:val="00B7344A"/>
    <w:pPr>
      <w:keepNext/>
      <w:tabs>
        <w:tab w:val="left" w:pos="0"/>
        <w:tab w:val="left" w:pos="426"/>
        <w:tab w:val="right" w:pos="8640"/>
      </w:tabs>
      <w:suppressAutoHyphens/>
      <w:ind w:left="426" w:hanging="426"/>
      <w:outlineLvl w:val="0"/>
    </w:pPr>
    <w:rPr>
      <w:i/>
      <w:szCs w:val="20"/>
      <w:lang w:val="el-GR" w:eastAsia="el-GR"/>
    </w:rPr>
  </w:style>
  <w:style w:type="paragraph" w:styleId="Heading2">
    <w:name w:val="heading 2"/>
    <w:basedOn w:val="Normal"/>
    <w:next w:val="Normal"/>
    <w:qFormat/>
    <w:rsid w:val="00B7344A"/>
    <w:pPr>
      <w:keepNext/>
      <w:tabs>
        <w:tab w:val="left" w:pos="0"/>
        <w:tab w:val="left" w:pos="282"/>
        <w:tab w:val="left" w:pos="2430"/>
        <w:tab w:val="decimal" w:pos="3150"/>
        <w:tab w:val="left" w:pos="4320"/>
        <w:tab w:val="decimal" w:pos="4818"/>
        <w:tab w:val="left" w:pos="6030"/>
        <w:tab w:val="decimal" w:pos="6378"/>
        <w:tab w:val="left" w:pos="7920"/>
        <w:tab w:val="decimal" w:pos="8190"/>
      </w:tabs>
      <w:suppressAutoHyphens/>
      <w:outlineLvl w:val="1"/>
    </w:pPr>
    <w:rPr>
      <w:i/>
      <w:sz w:val="20"/>
      <w:szCs w:val="20"/>
      <w:lang w:val="el-GR" w:eastAsia="el-GR"/>
    </w:rPr>
  </w:style>
  <w:style w:type="paragraph" w:styleId="Heading3">
    <w:name w:val="heading 3"/>
    <w:basedOn w:val="Normal"/>
    <w:next w:val="Normal"/>
    <w:qFormat/>
    <w:rsid w:val="00B7344A"/>
    <w:pPr>
      <w:keepNext/>
      <w:tabs>
        <w:tab w:val="left" w:pos="0"/>
        <w:tab w:val="left" w:pos="360"/>
      </w:tabs>
      <w:suppressAutoHyphens/>
      <w:outlineLvl w:val="2"/>
    </w:pPr>
    <w:rPr>
      <w:b/>
      <w:szCs w:val="20"/>
      <w:u w:val="single"/>
      <w:lang w:val="el-GR" w:eastAsia="el-GR"/>
    </w:rPr>
  </w:style>
  <w:style w:type="paragraph" w:styleId="Heading4">
    <w:name w:val="heading 4"/>
    <w:basedOn w:val="Normal"/>
    <w:next w:val="Normal"/>
    <w:qFormat/>
    <w:rsid w:val="00B7344A"/>
    <w:pPr>
      <w:keepNext/>
      <w:tabs>
        <w:tab w:val="left" w:pos="0"/>
        <w:tab w:val="left" w:pos="360"/>
      </w:tabs>
      <w:suppressAutoHyphens/>
      <w:outlineLvl w:val="3"/>
    </w:pPr>
    <w:rPr>
      <w:b/>
      <w:szCs w:val="20"/>
      <w:lang w:val="el-GR" w:eastAsia="el-GR"/>
    </w:rPr>
  </w:style>
  <w:style w:type="paragraph" w:styleId="Heading5">
    <w:name w:val="heading 5"/>
    <w:basedOn w:val="Normal"/>
    <w:next w:val="Normal"/>
    <w:qFormat/>
    <w:rsid w:val="00B7344A"/>
    <w:pPr>
      <w:keepNext/>
      <w:tabs>
        <w:tab w:val="left" w:pos="0"/>
        <w:tab w:val="decimal" w:pos="4962"/>
        <w:tab w:val="decimal" w:pos="6521"/>
        <w:tab w:val="right" w:pos="7560"/>
        <w:tab w:val="left" w:pos="8640"/>
        <w:tab w:val="right" w:pos="9000"/>
      </w:tabs>
      <w:suppressAutoHyphens/>
      <w:ind w:right="14"/>
      <w:jc w:val="right"/>
      <w:outlineLvl w:val="4"/>
    </w:pPr>
    <w:rPr>
      <w:i/>
      <w:iCs/>
      <w:sz w:val="16"/>
    </w:rPr>
  </w:style>
  <w:style w:type="paragraph" w:styleId="Heading6">
    <w:name w:val="heading 6"/>
    <w:basedOn w:val="Normal"/>
    <w:next w:val="Normal"/>
    <w:qFormat/>
    <w:rsid w:val="00B7344A"/>
    <w:pPr>
      <w:keepNext/>
      <w:ind w:left="360"/>
      <w:outlineLvl w:val="5"/>
    </w:pPr>
    <w:rPr>
      <w:b/>
      <w:szCs w:val="20"/>
      <w:lang w:val="el-GR" w:eastAsia="el-GR"/>
    </w:rPr>
  </w:style>
  <w:style w:type="paragraph" w:styleId="Heading7">
    <w:name w:val="heading 7"/>
    <w:basedOn w:val="Normal"/>
    <w:next w:val="Normal"/>
    <w:qFormat/>
    <w:rsid w:val="00B7344A"/>
    <w:pPr>
      <w:keepNext/>
      <w:tabs>
        <w:tab w:val="left" w:pos="0"/>
        <w:tab w:val="decimal" w:pos="4962"/>
        <w:tab w:val="decimal" w:pos="6521"/>
        <w:tab w:val="right" w:pos="7560"/>
        <w:tab w:val="left" w:pos="8640"/>
        <w:tab w:val="right" w:pos="9000"/>
      </w:tabs>
      <w:suppressAutoHyphens/>
      <w:jc w:val="right"/>
      <w:outlineLvl w:val="6"/>
    </w:pPr>
    <w:rPr>
      <w:i/>
      <w:iCs/>
      <w:sz w:val="16"/>
    </w:rPr>
  </w:style>
  <w:style w:type="paragraph" w:styleId="Heading8">
    <w:name w:val="heading 8"/>
    <w:basedOn w:val="Normal"/>
    <w:next w:val="Normal"/>
    <w:qFormat/>
    <w:rsid w:val="00B7344A"/>
    <w:pPr>
      <w:keepNext/>
      <w:outlineLvl w:val="7"/>
    </w:pPr>
    <w:rPr>
      <w:i/>
      <w:szCs w:val="20"/>
      <w:lang w:val="el-GR" w:eastAsia="el-GR"/>
    </w:rPr>
  </w:style>
  <w:style w:type="paragraph" w:styleId="Heading9">
    <w:name w:val="heading 9"/>
    <w:basedOn w:val="Normal"/>
    <w:next w:val="Normal"/>
    <w:qFormat/>
    <w:rsid w:val="00B7344A"/>
    <w:pPr>
      <w:keepNext/>
      <w:tabs>
        <w:tab w:val="left" w:pos="282"/>
        <w:tab w:val="left" w:pos="720"/>
      </w:tabs>
      <w:suppressAutoHyphens/>
      <w:ind w:left="426" w:hanging="426"/>
      <w:outlineLvl w:val="8"/>
    </w:pPr>
    <w:rPr>
      <w:b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B7344A"/>
    <w:rPr>
      <w:rFonts w:ascii="Futura" w:hAnsi="Futura"/>
      <w:sz w:val="20"/>
      <w:szCs w:val="20"/>
      <w:lang w:val="en-GB"/>
    </w:rPr>
  </w:style>
  <w:style w:type="paragraph" w:styleId="Header">
    <w:name w:val="header"/>
    <w:basedOn w:val="Normal"/>
    <w:rsid w:val="00B7344A"/>
    <w:pPr>
      <w:tabs>
        <w:tab w:val="center" w:pos="4153"/>
        <w:tab w:val="right" w:pos="8306"/>
      </w:tabs>
    </w:pPr>
    <w:rPr>
      <w:szCs w:val="20"/>
      <w:lang w:val="en-GB"/>
    </w:rPr>
  </w:style>
  <w:style w:type="paragraph" w:styleId="TOC3">
    <w:name w:val="toc 3"/>
    <w:basedOn w:val="Normal"/>
    <w:next w:val="Normal"/>
    <w:autoRedefine/>
    <w:semiHidden/>
    <w:rsid w:val="00B7344A"/>
    <w:pPr>
      <w:tabs>
        <w:tab w:val="left" w:leader="dot" w:pos="9000"/>
        <w:tab w:val="right" w:pos="9360"/>
      </w:tabs>
      <w:suppressAutoHyphens/>
      <w:ind w:left="2160" w:right="720" w:hanging="720"/>
    </w:pPr>
    <w:rPr>
      <w:sz w:val="20"/>
      <w:szCs w:val="20"/>
    </w:rPr>
  </w:style>
  <w:style w:type="paragraph" w:styleId="Title">
    <w:name w:val="Title"/>
    <w:basedOn w:val="Normal"/>
    <w:qFormat/>
    <w:rsid w:val="00B7344A"/>
    <w:pPr>
      <w:tabs>
        <w:tab w:val="left" w:pos="0"/>
        <w:tab w:val="left" w:pos="282"/>
        <w:tab w:val="left" w:pos="720"/>
      </w:tabs>
      <w:suppressAutoHyphens/>
      <w:jc w:val="center"/>
    </w:pPr>
    <w:rPr>
      <w:b/>
      <w:color w:val="FF6600"/>
      <w:szCs w:val="20"/>
    </w:rPr>
  </w:style>
  <w:style w:type="paragraph" w:styleId="Footer">
    <w:name w:val="footer"/>
    <w:basedOn w:val="Normal"/>
    <w:rsid w:val="00B7344A"/>
    <w:pPr>
      <w:tabs>
        <w:tab w:val="center" w:pos="4153"/>
        <w:tab w:val="right" w:pos="8306"/>
      </w:tabs>
    </w:pPr>
    <w:rPr>
      <w:szCs w:val="20"/>
      <w:lang w:val="en-GB"/>
    </w:rPr>
  </w:style>
  <w:style w:type="paragraph" w:styleId="Caption">
    <w:name w:val="caption"/>
    <w:basedOn w:val="Normal"/>
    <w:next w:val="Normal"/>
    <w:qFormat/>
    <w:rsid w:val="00B7344A"/>
    <w:pPr>
      <w:tabs>
        <w:tab w:val="left" w:pos="0"/>
        <w:tab w:val="left" w:pos="1416"/>
        <w:tab w:val="decimal" w:pos="4962"/>
        <w:tab w:val="decimal" w:pos="6521"/>
        <w:tab w:val="right" w:pos="7560"/>
        <w:tab w:val="decimal" w:pos="8220"/>
        <w:tab w:val="left" w:pos="8640"/>
        <w:tab w:val="right" w:pos="9000"/>
      </w:tabs>
      <w:suppressAutoHyphens/>
    </w:pPr>
    <w:rPr>
      <w:b/>
      <w:sz w:val="20"/>
      <w:szCs w:val="20"/>
      <w:lang w:val="el-GR" w:eastAsia="el-GR"/>
    </w:rPr>
  </w:style>
  <w:style w:type="paragraph" w:styleId="TOAHeading">
    <w:name w:val="toa heading"/>
    <w:basedOn w:val="Normal"/>
    <w:next w:val="Normal"/>
    <w:semiHidden/>
    <w:rsid w:val="00B7344A"/>
    <w:pPr>
      <w:tabs>
        <w:tab w:val="left" w:pos="9000"/>
        <w:tab w:val="right" w:pos="9360"/>
      </w:tabs>
      <w:suppressAutoHyphens/>
    </w:pPr>
    <w:rPr>
      <w:sz w:val="20"/>
      <w:szCs w:val="20"/>
    </w:rPr>
  </w:style>
  <w:style w:type="paragraph" w:styleId="BodyText">
    <w:name w:val="Body Text"/>
    <w:basedOn w:val="Normal"/>
    <w:rsid w:val="00B7344A"/>
    <w:pPr>
      <w:ind w:right="-250"/>
    </w:pPr>
    <w:rPr>
      <w:szCs w:val="20"/>
      <w:lang w:val="el-GR" w:eastAsia="el-GR"/>
    </w:rPr>
  </w:style>
  <w:style w:type="paragraph" w:styleId="BodyTextIndent">
    <w:name w:val="Body Text Indent"/>
    <w:basedOn w:val="Normal"/>
    <w:rsid w:val="00B7344A"/>
    <w:pPr>
      <w:numPr>
        <w:ilvl w:val="12"/>
      </w:numPr>
      <w:ind w:left="360"/>
      <w:jc w:val="both"/>
    </w:pPr>
    <w:rPr>
      <w:szCs w:val="20"/>
      <w:lang w:val="el-GR" w:eastAsia="el-GR"/>
    </w:rPr>
  </w:style>
  <w:style w:type="paragraph" w:styleId="BodyText3">
    <w:name w:val="Body Text 3"/>
    <w:basedOn w:val="Normal"/>
    <w:rsid w:val="00B7344A"/>
    <w:pPr>
      <w:tabs>
        <w:tab w:val="left" w:pos="0"/>
        <w:tab w:val="left" w:pos="1416"/>
        <w:tab w:val="decimal" w:pos="4962"/>
        <w:tab w:val="decimal" w:pos="6521"/>
        <w:tab w:val="right" w:pos="7560"/>
        <w:tab w:val="decimal" w:pos="8220"/>
        <w:tab w:val="left" w:pos="8640"/>
        <w:tab w:val="right" w:pos="9000"/>
      </w:tabs>
      <w:suppressAutoHyphens/>
      <w:jc w:val="right"/>
    </w:pPr>
    <w:rPr>
      <w:sz w:val="22"/>
      <w:szCs w:val="20"/>
      <w:lang w:val="el-GR" w:eastAsia="el-GR"/>
    </w:rPr>
  </w:style>
  <w:style w:type="character" w:styleId="PageNumber">
    <w:name w:val="page number"/>
    <w:basedOn w:val="DefaultParagraphFont"/>
    <w:rsid w:val="00B7344A"/>
  </w:style>
  <w:style w:type="paragraph" w:styleId="BodyTextIndent2">
    <w:name w:val="Body Text Indent 2"/>
    <w:basedOn w:val="Normal"/>
    <w:rsid w:val="00B7344A"/>
    <w:pPr>
      <w:tabs>
        <w:tab w:val="left" w:pos="360"/>
      </w:tabs>
      <w:suppressAutoHyphens/>
      <w:ind w:left="360"/>
      <w:jc w:val="both"/>
    </w:pPr>
    <w:rPr>
      <w:iCs/>
      <w:sz w:val="22"/>
    </w:rPr>
  </w:style>
  <w:style w:type="paragraph" w:styleId="BodyTextIndent3">
    <w:name w:val="Body Text Indent 3"/>
    <w:basedOn w:val="Normal"/>
    <w:rsid w:val="00B7344A"/>
    <w:pPr>
      <w:tabs>
        <w:tab w:val="left" w:pos="360"/>
      </w:tabs>
      <w:suppressAutoHyphens/>
      <w:ind w:left="284"/>
      <w:jc w:val="both"/>
    </w:pPr>
    <w:rPr>
      <w:iCs/>
      <w:sz w:val="22"/>
    </w:rPr>
  </w:style>
  <w:style w:type="paragraph" w:customStyle="1" w:styleId="Default">
    <w:name w:val="Default"/>
    <w:rsid w:val="00B734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semiHidden/>
    <w:rsid w:val="00B7344A"/>
    <w:rPr>
      <w:sz w:val="20"/>
      <w:szCs w:val="20"/>
      <w:lang w:val="en-GB"/>
    </w:rPr>
  </w:style>
  <w:style w:type="character" w:styleId="FootnoteReference">
    <w:name w:val="footnote reference"/>
    <w:semiHidden/>
    <w:rsid w:val="00B7344A"/>
    <w:rPr>
      <w:vertAlign w:val="superscript"/>
    </w:rPr>
  </w:style>
  <w:style w:type="paragraph" w:styleId="BodyText2">
    <w:name w:val="Body Text 2"/>
    <w:basedOn w:val="Normal"/>
    <w:link w:val="BodyText2Char"/>
    <w:rsid w:val="00B7344A"/>
    <w:pPr>
      <w:spacing w:after="120" w:line="480" w:lineRule="auto"/>
    </w:pPr>
  </w:style>
  <w:style w:type="character" w:styleId="Hyperlink">
    <w:name w:val="Hyperlink"/>
    <w:rsid w:val="00B7344A"/>
    <w:rPr>
      <w:color w:val="0000FF"/>
      <w:u w:val="single"/>
    </w:rPr>
  </w:style>
  <w:style w:type="paragraph" w:styleId="BalloonText">
    <w:name w:val="Balloon Text"/>
    <w:basedOn w:val="Normal"/>
    <w:semiHidden/>
    <w:rsid w:val="0024762B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link w:val="BodyText2"/>
    <w:locked/>
    <w:rsid w:val="00C0445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C6AA8"/>
    <w:pPr>
      <w:ind w:left="720"/>
      <w:contextualSpacing/>
    </w:pPr>
  </w:style>
  <w:style w:type="character" w:styleId="CommentReference">
    <w:name w:val="annotation reference"/>
    <w:basedOn w:val="DefaultParagraphFont"/>
    <w:rsid w:val="008220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20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22001"/>
  </w:style>
  <w:style w:type="paragraph" w:styleId="CommentSubject">
    <w:name w:val="annotation subject"/>
    <w:basedOn w:val="CommentText"/>
    <w:next w:val="CommentText"/>
    <w:link w:val="CommentSubjectChar"/>
    <w:rsid w:val="00822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220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nkofcyprus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yperlink" Target="http://www.bankofcyprus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ankofcyprus.com" TargetMode="Externa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2165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19/8 CF change</vt:lpstr>
    </vt:vector>
  </TitlesOfParts>
  <Company>BOC</Company>
  <LinksUpToDate>false</LinksUpToDate>
  <CharactersWithSpaces>2464</CharactersWithSpaces>
  <SharedDoc>false</SharedDoc>
  <HLinks>
    <vt:vector size="18" baseType="variant">
      <vt:variant>
        <vt:i4>4194378</vt:i4>
      </vt:variant>
      <vt:variant>
        <vt:i4>9</vt:i4>
      </vt:variant>
      <vt:variant>
        <vt:i4>0</vt:i4>
      </vt:variant>
      <vt:variant>
        <vt:i4>5</vt:i4>
      </vt:variant>
      <vt:variant>
        <vt:lpwstr>http://www.bankofcyprus.com/</vt:lpwstr>
      </vt:variant>
      <vt:variant>
        <vt:lpwstr/>
      </vt:variant>
      <vt:variant>
        <vt:i4>4194378</vt:i4>
      </vt:variant>
      <vt:variant>
        <vt:i4>6</vt:i4>
      </vt:variant>
      <vt:variant>
        <vt:i4>0</vt:i4>
      </vt:variant>
      <vt:variant>
        <vt:i4>5</vt:i4>
      </vt:variant>
      <vt:variant>
        <vt:lpwstr>http://www.bankofcyprus.com/</vt:lpwstr>
      </vt:variant>
      <vt:variant>
        <vt:lpwstr/>
      </vt:variant>
      <vt:variant>
        <vt:i4>4194378</vt:i4>
      </vt:variant>
      <vt:variant>
        <vt:i4>3</vt:i4>
      </vt:variant>
      <vt:variant>
        <vt:i4>0</vt:i4>
      </vt:variant>
      <vt:variant>
        <vt:i4>5</vt:i4>
      </vt:variant>
      <vt:variant>
        <vt:lpwstr>http://www.bankofcyprus.com/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19/8 CF change</dc:title>
  <dc:creator>DDamianou</dc:creator>
  <cp:lastModifiedBy>5282</cp:lastModifiedBy>
  <cp:revision>2</cp:revision>
  <cp:lastPrinted>2012-04-24T09:16:00Z</cp:lastPrinted>
  <dcterms:created xsi:type="dcterms:W3CDTF">2012-04-24T09:16:00Z</dcterms:created>
  <dcterms:modified xsi:type="dcterms:W3CDTF">2012-04-24T09:16:00Z</dcterms:modified>
</cp:coreProperties>
</file>