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CB2" w:rsidRPr="00E077E0" w:rsidRDefault="00D51CB2" w:rsidP="00D51CB2">
      <w:pPr>
        <w:spacing w:line="276" w:lineRule="auto"/>
        <w:ind w:left="360"/>
        <w:jc w:val="center"/>
        <w:rPr>
          <w:rFonts w:cs="Arial"/>
          <w:b/>
          <w:color w:val="000000"/>
          <w:sz w:val="24"/>
          <w:szCs w:val="24"/>
        </w:rPr>
      </w:pPr>
      <w:r w:rsidRPr="00E077E0">
        <w:rPr>
          <w:rFonts w:cs="Arial"/>
          <w:b/>
          <w:color w:val="000000"/>
          <w:sz w:val="24"/>
          <w:szCs w:val="24"/>
        </w:rPr>
        <w:t>ΑΝΑΚΟΙΝΩΣΗ ΣΤΟ Χ.Α.</w:t>
      </w:r>
    </w:p>
    <w:p w:rsidR="00D51CB2" w:rsidRPr="00E077E0" w:rsidRDefault="00D51CB2" w:rsidP="00D51CB2">
      <w:pPr>
        <w:spacing w:line="276" w:lineRule="auto"/>
        <w:ind w:left="360"/>
        <w:jc w:val="center"/>
        <w:rPr>
          <w:rFonts w:cs="Arial"/>
          <w:b/>
          <w:color w:val="000000"/>
          <w:sz w:val="24"/>
          <w:szCs w:val="24"/>
        </w:rPr>
      </w:pPr>
      <w:r w:rsidRPr="00E077E0">
        <w:rPr>
          <w:rFonts w:cs="Arial"/>
          <w:b/>
          <w:color w:val="000000"/>
          <w:sz w:val="24"/>
          <w:szCs w:val="24"/>
        </w:rPr>
        <w:t xml:space="preserve">ΑΠΟΦΑΣΕΙΣ ΤΗΣ </w:t>
      </w:r>
      <w:r w:rsidRPr="00E077E0">
        <w:rPr>
          <w:rFonts w:cs="Arial"/>
          <w:b/>
          <w:color w:val="000000"/>
          <w:sz w:val="24"/>
          <w:szCs w:val="24"/>
          <w:lang w:val="en-US"/>
        </w:rPr>
        <w:t>A</w:t>
      </w:r>
      <w:r w:rsidRPr="00E077E0">
        <w:rPr>
          <w:rFonts w:cs="Arial"/>
          <w:b/>
          <w:color w:val="000000"/>
          <w:sz w:val="24"/>
          <w:szCs w:val="24"/>
        </w:rPr>
        <w:t xml:space="preserve">’ ΕΠΑΝΑΛΗΠΤΙΚΗΣ ΕΚΤΑΚΤΗΣ </w:t>
      </w:r>
    </w:p>
    <w:p w:rsidR="00D51CB2" w:rsidRPr="00E077E0" w:rsidRDefault="00D51CB2" w:rsidP="00D51CB2">
      <w:pPr>
        <w:spacing w:line="276" w:lineRule="auto"/>
        <w:ind w:left="360"/>
        <w:jc w:val="center"/>
        <w:rPr>
          <w:rFonts w:cs="Arial"/>
          <w:b/>
          <w:color w:val="000000"/>
          <w:sz w:val="24"/>
          <w:szCs w:val="24"/>
        </w:rPr>
      </w:pPr>
      <w:r w:rsidRPr="00E077E0">
        <w:rPr>
          <w:rFonts w:cs="Arial"/>
          <w:b/>
          <w:color w:val="000000"/>
          <w:sz w:val="24"/>
          <w:szCs w:val="24"/>
        </w:rPr>
        <w:t>ΓΕΝΙΚΗΣ ΣΥΝΕΛΕΥΣΗΣ ΤΗΣ 20.01.2012</w:t>
      </w:r>
    </w:p>
    <w:p w:rsidR="00D51CB2" w:rsidRPr="00E077E0" w:rsidRDefault="00D51CB2" w:rsidP="00D51CB2">
      <w:pPr>
        <w:spacing w:line="276" w:lineRule="auto"/>
        <w:rPr>
          <w:sz w:val="24"/>
          <w:szCs w:val="24"/>
        </w:rPr>
      </w:pPr>
    </w:p>
    <w:p w:rsidR="00D51CB2" w:rsidRPr="00E077E0" w:rsidRDefault="00D51CB2" w:rsidP="00D51CB2">
      <w:pPr>
        <w:spacing w:line="276" w:lineRule="auto"/>
        <w:rPr>
          <w:sz w:val="24"/>
          <w:szCs w:val="24"/>
        </w:rPr>
      </w:pPr>
    </w:p>
    <w:p w:rsidR="00D51CB2" w:rsidRPr="00E077E0" w:rsidRDefault="00D51CB2" w:rsidP="00D51CB2">
      <w:pPr>
        <w:spacing w:line="276" w:lineRule="auto"/>
        <w:jc w:val="both"/>
        <w:rPr>
          <w:rFonts w:cs="Arial"/>
          <w:color w:val="000000"/>
          <w:sz w:val="24"/>
          <w:szCs w:val="24"/>
        </w:rPr>
      </w:pPr>
      <w:r w:rsidRPr="00E077E0">
        <w:rPr>
          <w:rFonts w:cs="Arial"/>
          <w:color w:val="000000"/>
          <w:sz w:val="24"/>
          <w:szCs w:val="24"/>
        </w:rPr>
        <w:t xml:space="preserve">Στις 20.01.2012 πραγματοποιήθηκε η Α΄ Επαναληπτική Έκτακτη Γενική Συνέλευση των Μετόχων (μετ’ αναβολή λόγω μη επίτευξης απαρτίας από την 09.01.2012) της εταιρείας με την επωνυμία </w:t>
      </w:r>
      <w:r w:rsidRPr="00E077E0">
        <w:rPr>
          <w:rFonts w:cs="Arial"/>
          <w:b/>
          <w:snapToGrid w:val="0"/>
          <w:color w:val="000000"/>
          <w:sz w:val="24"/>
          <w:szCs w:val="24"/>
        </w:rPr>
        <w:t xml:space="preserve">«Ανώνυμος Βιομηχανική και Εμπορική Εταιρεία Ειδών Αρτοποιίας - Ζαχαροπλαστικής - Τροφίμων Α.Β.Ε.Ε» </w:t>
      </w:r>
      <w:r w:rsidRPr="00E077E0">
        <w:rPr>
          <w:rFonts w:cs="Arial"/>
          <w:snapToGrid w:val="0"/>
          <w:color w:val="000000"/>
          <w:sz w:val="24"/>
          <w:szCs w:val="24"/>
        </w:rPr>
        <w:t>και το διακριτικό τίτλο</w:t>
      </w:r>
      <w:r w:rsidRPr="00E077E0">
        <w:rPr>
          <w:rFonts w:cs="Arial"/>
          <w:b/>
          <w:snapToGrid w:val="0"/>
          <w:color w:val="000000"/>
          <w:sz w:val="24"/>
          <w:szCs w:val="24"/>
        </w:rPr>
        <w:t xml:space="preserve"> «</w:t>
      </w:r>
      <w:r w:rsidRPr="00E077E0">
        <w:rPr>
          <w:rFonts w:cs="Arial"/>
          <w:b/>
          <w:snapToGrid w:val="0"/>
          <w:color w:val="000000"/>
          <w:sz w:val="24"/>
          <w:szCs w:val="24"/>
          <w:lang w:val="en-US"/>
        </w:rPr>
        <w:t>NUTRIART</w:t>
      </w:r>
      <w:r w:rsidRPr="00E077E0">
        <w:rPr>
          <w:rFonts w:cs="Arial"/>
          <w:b/>
          <w:snapToGrid w:val="0"/>
          <w:color w:val="000000"/>
          <w:sz w:val="24"/>
          <w:szCs w:val="24"/>
        </w:rPr>
        <w:t xml:space="preserve"> Α.Β.Ε.Ε»,</w:t>
      </w:r>
      <w:r w:rsidRPr="00E077E0">
        <w:rPr>
          <w:rFonts w:cs="Arial"/>
          <w:color w:val="000000"/>
          <w:sz w:val="24"/>
          <w:szCs w:val="24"/>
        </w:rPr>
        <w:t xml:space="preserve"> στα γραφεία της έδρας της, στο Λουτρό Αχαρνών. Η Γενική Συνέλευση βρέθηκε σε νόμιμη απαρτία καθότι παρευρέθηκαν μέτοχοι που εκπροσώπησαν 27.621.637 μετοχές επί συνόλου 42.501.273 μετοχών, οι οποίες αντιστοιχούν σε ποσοστό 64,99% επί του μετοχικού κεφαλαίου της Εταιρείας. </w:t>
      </w:r>
    </w:p>
    <w:p w:rsidR="00D51CB2" w:rsidRPr="00E077E0" w:rsidRDefault="00D51CB2" w:rsidP="00D51CB2">
      <w:pPr>
        <w:spacing w:line="276" w:lineRule="auto"/>
        <w:jc w:val="both"/>
        <w:rPr>
          <w:rFonts w:cs="Arial"/>
          <w:color w:val="000000"/>
          <w:sz w:val="24"/>
          <w:szCs w:val="24"/>
        </w:rPr>
      </w:pPr>
    </w:p>
    <w:p w:rsidR="00D51CB2" w:rsidRPr="00E077E0" w:rsidRDefault="00D51CB2" w:rsidP="00D51CB2">
      <w:pPr>
        <w:spacing w:line="276" w:lineRule="auto"/>
        <w:jc w:val="both"/>
        <w:rPr>
          <w:rFonts w:cs="Arial"/>
          <w:color w:val="000000"/>
          <w:sz w:val="24"/>
          <w:szCs w:val="24"/>
        </w:rPr>
      </w:pPr>
      <w:r w:rsidRPr="00E077E0">
        <w:rPr>
          <w:rFonts w:cs="Arial"/>
          <w:color w:val="000000"/>
          <w:sz w:val="24"/>
          <w:szCs w:val="24"/>
        </w:rPr>
        <w:t>Η Α΄ Επαναληπτική Έκτακτη Γενική Συνέλευση της Εταιρείας έλαβε με ομοφωνία (100%) των εκπροσωπούμενων μετόχων, δηλ. με 27.621.637 έγκυρες θετικές ψήφους που αντιστοιχούν σε ποσοστό 64,99% του μετοχικού κεφαλαίου της Εταιρείας, τις ακόλουθες αποφάσεις:</w:t>
      </w:r>
    </w:p>
    <w:p w:rsidR="00D51CB2" w:rsidRPr="00E077E0" w:rsidRDefault="00D51CB2" w:rsidP="00D51CB2">
      <w:pPr>
        <w:spacing w:line="276" w:lineRule="auto"/>
        <w:jc w:val="both"/>
        <w:rPr>
          <w:rFonts w:cs="Arial"/>
          <w:color w:val="000000"/>
          <w:sz w:val="24"/>
          <w:szCs w:val="24"/>
        </w:rPr>
      </w:pPr>
    </w:p>
    <w:p w:rsidR="00D51CB2" w:rsidRPr="00E077E0" w:rsidRDefault="00D51CB2" w:rsidP="00D51CB2">
      <w:pPr>
        <w:pStyle w:val="ListParagraph"/>
        <w:numPr>
          <w:ilvl w:val="0"/>
          <w:numId w:val="1"/>
        </w:numPr>
        <w:spacing w:line="276" w:lineRule="auto"/>
        <w:ind w:left="567" w:right="48" w:hanging="567"/>
        <w:jc w:val="both"/>
        <w:rPr>
          <w:rFonts w:cs="Arial"/>
          <w:color w:val="000000"/>
          <w:sz w:val="24"/>
          <w:szCs w:val="24"/>
          <w:lang w:eastAsia="en-US"/>
        </w:rPr>
      </w:pPr>
      <w:r w:rsidRPr="00E077E0">
        <w:rPr>
          <w:rFonts w:cs="Arial"/>
          <w:color w:val="000000"/>
          <w:sz w:val="24"/>
          <w:szCs w:val="24"/>
          <w:lang w:eastAsia="en-US"/>
        </w:rPr>
        <w:t>Μείωση του μετοχικού κεφαλαίου της Εταιρείας με μείωση της ονομαστικής αξίας της μετοχής από €0,96 σε €0,30 ανά μετοχή με σκοπό τον σχηματισμό ειδικού αποθεματικού βάσει του άρθρου 4 παρ. 4α του Κ.Ν. 2190/1920, ως ισχύει. Ειδικότερα, το μετοχικό κεφάλαιο μειώθηκε κατά το ποσό των €28.050.840,18 με σχηματισμό ισόποσου αποθεματικού.</w:t>
      </w:r>
    </w:p>
    <w:p w:rsidR="00D51CB2" w:rsidRPr="00E077E0" w:rsidRDefault="00D51CB2" w:rsidP="00D51CB2">
      <w:pPr>
        <w:pStyle w:val="ListParagraph"/>
        <w:spacing w:line="276" w:lineRule="auto"/>
        <w:ind w:left="567" w:right="48" w:hanging="567"/>
        <w:jc w:val="both"/>
        <w:rPr>
          <w:rFonts w:cs="Arial"/>
          <w:color w:val="000000"/>
          <w:sz w:val="24"/>
          <w:szCs w:val="24"/>
          <w:lang w:eastAsia="en-US"/>
        </w:rPr>
      </w:pPr>
    </w:p>
    <w:p w:rsidR="00D51CB2" w:rsidRPr="00E077E0" w:rsidRDefault="00D51CB2" w:rsidP="00D51CB2">
      <w:pPr>
        <w:pStyle w:val="ListParagraph"/>
        <w:numPr>
          <w:ilvl w:val="0"/>
          <w:numId w:val="1"/>
        </w:numPr>
        <w:spacing w:line="276" w:lineRule="auto"/>
        <w:ind w:left="567" w:right="48" w:hanging="567"/>
        <w:jc w:val="both"/>
        <w:rPr>
          <w:rFonts w:cs="Arial"/>
          <w:color w:val="000000"/>
          <w:sz w:val="24"/>
          <w:szCs w:val="24"/>
          <w:lang w:eastAsia="en-US"/>
        </w:rPr>
      </w:pPr>
      <w:r w:rsidRPr="00E077E0">
        <w:rPr>
          <w:rFonts w:cs="Arial"/>
          <w:color w:val="000000"/>
          <w:sz w:val="24"/>
          <w:szCs w:val="24"/>
          <w:lang w:eastAsia="en-US"/>
        </w:rPr>
        <w:t>Αύξηση του μετοχικού κεφαλαίου της Εταιρείας κατά το ποσό των €20.796.543,90 με την έκδοση έως 69.321.813 νέων κοινών μετά ψήφου μετοχών με τη νέα ονομαστική αξία €0,30 και με τιμή διάθεσης €0,30 ανά μετοχή, η οποία θα πραγματοποιηθεί με κατάργηση του δικαιώματος προτίμησης των παλαιών μετόχων, όπως προβλέπεται από το άρθρο 13 παρ. 10 του Κ.Ν.2190/1920 και εισφορά χρηματικών απαιτήσεων των τραπεζών-δανειστών της Εταιρείας που συμμετέχουν στην από 02.08.2011 Συμφωνία Χρηματοοικονομικής Αναδιάρθρωσης, όπως αυτή τροποποιήθηκε και ισχύει και υπό τους όρους και προϋποθέσεις αυτής. Περαιτέρω, η Γενική Συνέλευση ομόφωνα χορήγησε τις απαραίτητες εξουσιοδοτήσεις προς το Διοικητικό Συμβούλιο για την υλοποίηση της αύξησης.</w:t>
      </w:r>
    </w:p>
    <w:p w:rsidR="00D51CB2" w:rsidRPr="00E077E0" w:rsidRDefault="00D51CB2" w:rsidP="00D51CB2">
      <w:pPr>
        <w:pStyle w:val="ListParagraph"/>
        <w:rPr>
          <w:rFonts w:cs="Arial"/>
          <w:color w:val="000000"/>
          <w:sz w:val="24"/>
          <w:szCs w:val="24"/>
          <w:lang w:eastAsia="en-US"/>
        </w:rPr>
      </w:pPr>
    </w:p>
    <w:p w:rsidR="00D51CB2" w:rsidRPr="00E077E0" w:rsidRDefault="00D51CB2" w:rsidP="00D51CB2">
      <w:pPr>
        <w:pStyle w:val="ListParagraph"/>
        <w:numPr>
          <w:ilvl w:val="0"/>
          <w:numId w:val="1"/>
        </w:numPr>
        <w:spacing w:line="276" w:lineRule="auto"/>
        <w:ind w:left="567" w:right="48" w:hanging="567"/>
        <w:jc w:val="both"/>
        <w:rPr>
          <w:rFonts w:cs="Arial"/>
          <w:color w:val="000000"/>
          <w:sz w:val="24"/>
          <w:szCs w:val="24"/>
          <w:lang w:eastAsia="en-US"/>
        </w:rPr>
      </w:pPr>
      <w:r w:rsidRPr="00E077E0">
        <w:rPr>
          <w:rFonts w:cs="Arial"/>
          <w:color w:val="000000"/>
          <w:sz w:val="24"/>
          <w:szCs w:val="24"/>
          <w:lang w:eastAsia="en-US"/>
        </w:rPr>
        <w:t>Μετά από τη παραπάνω μείωση και αύξηση του μετοχικού κεφαλαίου, αυτό ανέρχεται σε €33.546.925,80 και διαιρείται σε 111.823.086 κοινές ονομαστικές μετά ψήφου μετοχές, ονομαστικής αξίας €0,30 η κάθε μια και τροποποιήθηκε αντίστοιχα το άρθρο 5 του Καταστατικού της Εταιρείας περί μετοχικού κεφαλαίου.</w:t>
      </w:r>
    </w:p>
    <w:p w:rsidR="00D51CB2" w:rsidRPr="00E077E0" w:rsidRDefault="00D51CB2" w:rsidP="00D51CB2">
      <w:pPr>
        <w:pStyle w:val="ListParagraph"/>
        <w:spacing w:line="276" w:lineRule="auto"/>
        <w:ind w:left="567" w:right="48"/>
        <w:jc w:val="both"/>
        <w:rPr>
          <w:rFonts w:cs="Arial"/>
          <w:color w:val="000000"/>
          <w:sz w:val="24"/>
          <w:szCs w:val="24"/>
          <w:lang w:eastAsia="en-US"/>
        </w:rPr>
      </w:pPr>
    </w:p>
    <w:p w:rsidR="00D51CB2" w:rsidRPr="00E077E0" w:rsidRDefault="00D51CB2" w:rsidP="00D51CB2">
      <w:pPr>
        <w:pStyle w:val="ListParagraph"/>
        <w:numPr>
          <w:ilvl w:val="0"/>
          <w:numId w:val="1"/>
        </w:numPr>
        <w:spacing w:line="276" w:lineRule="auto"/>
        <w:ind w:left="567" w:right="48" w:hanging="567"/>
        <w:jc w:val="both"/>
        <w:rPr>
          <w:iCs/>
          <w:snapToGrid w:val="0"/>
          <w:sz w:val="24"/>
          <w:szCs w:val="24"/>
        </w:rPr>
      </w:pPr>
      <w:r w:rsidRPr="00E077E0">
        <w:rPr>
          <w:iCs/>
          <w:snapToGrid w:val="0"/>
          <w:sz w:val="24"/>
          <w:szCs w:val="24"/>
        </w:rPr>
        <w:t>Έκδοση των μετατρέψιμων ομολογιακών δανείων που προβλέπονται στην από 02.08.2011 Συμφωνία Χρηματοοικονομικής Αναδιάρθρωσης</w:t>
      </w:r>
      <w:r w:rsidRPr="00E077E0">
        <w:rPr>
          <w:iCs/>
          <w:snapToGrid w:val="0"/>
          <w:color w:val="1F497D"/>
          <w:sz w:val="24"/>
          <w:szCs w:val="24"/>
        </w:rPr>
        <w:t>,</w:t>
      </w:r>
      <w:r w:rsidRPr="00E077E0">
        <w:rPr>
          <w:iCs/>
          <w:snapToGrid w:val="0"/>
          <w:sz w:val="24"/>
          <w:szCs w:val="24"/>
        </w:rPr>
        <w:t xml:space="preserve"> όπως τροποποιήθηκε με την από 07.11.2011 Πρόσθετη Πράξη, οι οποίες υπεγράφησαν μεταξύ άλλων από την Εταιρεία, τις δανείστριες τράπεζες  και το μέτοχο Τ</w:t>
      </w:r>
      <w:proofErr w:type="spellStart"/>
      <w:r w:rsidRPr="00E077E0">
        <w:rPr>
          <w:iCs/>
          <w:snapToGrid w:val="0"/>
          <w:sz w:val="24"/>
          <w:szCs w:val="24"/>
          <w:lang w:val="en-US"/>
        </w:rPr>
        <w:t>inola</w:t>
      </w:r>
      <w:proofErr w:type="spellEnd"/>
      <w:r w:rsidRPr="00E077E0">
        <w:rPr>
          <w:iCs/>
          <w:snapToGrid w:val="0"/>
          <w:sz w:val="24"/>
          <w:szCs w:val="24"/>
        </w:rPr>
        <w:t xml:space="preserve"> </w:t>
      </w:r>
      <w:r w:rsidRPr="00E077E0">
        <w:rPr>
          <w:iCs/>
          <w:snapToGrid w:val="0"/>
          <w:sz w:val="24"/>
          <w:szCs w:val="24"/>
          <w:lang w:val="en-US"/>
        </w:rPr>
        <w:t>Holdings</w:t>
      </w:r>
      <w:r w:rsidRPr="00E077E0">
        <w:rPr>
          <w:iCs/>
          <w:snapToGrid w:val="0"/>
          <w:sz w:val="24"/>
          <w:szCs w:val="24"/>
        </w:rPr>
        <w:t xml:space="preserve"> </w:t>
      </w:r>
      <w:r w:rsidRPr="00E077E0">
        <w:rPr>
          <w:iCs/>
          <w:snapToGrid w:val="0"/>
          <w:sz w:val="24"/>
          <w:szCs w:val="24"/>
          <w:lang w:val="en-US"/>
        </w:rPr>
        <w:t>S</w:t>
      </w:r>
      <w:r w:rsidRPr="00E077E0">
        <w:rPr>
          <w:iCs/>
          <w:snapToGrid w:val="0"/>
          <w:sz w:val="24"/>
          <w:szCs w:val="24"/>
        </w:rPr>
        <w:t>.</w:t>
      </w:r>
      <w:r w:rsidRPr="00E077E0">
        <w:rPr>
          <w:iCs/>
          <w:snapToGrid w:val="0"/>
          <w:sz w:val="24"/>
          <w:szCs w:val="24"/>
          <w:lang w:val="en-US"/>
        </w:rPr>
        <w:t>A</w:t>
      </w:r>
      <w:r w:rsidRPr="00E077E0">
        <w:rPr>
          <w:iCs/>
          <w:snapToGrid w:val="0"/>
          <w:sz w:val="24"/>
          <w:szCs w:val="24"/>
        </w:rPr>
        <w:t>., με κατάργηση του δικαιώματος προτίμησης των παλαιών μετόχων, και ειδικότερα: (</w:t>
      </w:r>
      <w:r w:rsidRPr="00E077E0">
        <w:rPr>
          <w:bCs/>
          <w:iCs/>
          <w:snapToGrid w:val="0"/>
          <w:sz w:val="24"/>
          <w:szCs w:val="24"/>
        </w:rPr>
        <w:t>α)</w:t>
      </w:r>
      <w:r w:rsidRPr="00E077E0">
        <w:rPr>
          <w:iCs/>
          <w:snapToGrid w:val="0"/>
          <w:sz w:val="24"/>
          <w:szCs w:val="24"/>
        </w:rPr>
        <w:t xml:space="preserve"> έκδοση ομολογιακού Δανείου Νέας Χρηματοδότησης, ύψους €13.923.000, με επιτόκιο </w:t>
      </w:r>
      <w:r w:rsidRPr="00E077E0">
        <w:rPr>
          <w:iCs/>
          <w:snapToGrid w:val="0"/>
          <w:sz w:val="24"/>
          <w:szCs w:val="24"/>
          <w:lang w:val="en-US"/>
        </w:rPr>
        <w:t>EURIBOR</w:t>
      </w:r>
      <w:r w:rsidRPr="00E077E0">
        <w:rPr>
          <w:iCs/>
          <w:snapToGrid w:val="0"/>
          <w:sz w:val="24"/>
          <w:szCs w:val="24"/>
        </w:rPr>
        <w:t xml:space="preserve"> πλέον περιθωρίου 5% ετησίως, </w:t>
      </w:r>
      <w:r w:rsidRPr="00E077E0">
        <w:rPr>
          <w:iCs/>
          <w:snapToGrid w:val="0"/>
          <w:sz w:val="24"/>
          <w:szCs w:val="24"/>
        </w:rPr>
        <w:lastRenderedPageBreak/>
        <w:t xml:space="preserve">μετατρέψιμου ως προς την Γ’ Σειρά σε μετοχές της Εταιρείας, σύμφωνα με το Ν. 3156/2003 και τον </w:t>
      </w:r>
      <w:r w:rsidRPr="00E077E0">
        <w:rPr>
          <w:rFonts w:cs="Arial"/>
          <w:color w:val="000000"/>
          <w:sz w:val="24"/>
          <w:szCs w:val="24"/>
        </w:rPr>
        <w:t xml:space="preserve">Κ.Ν. 2190/1920, το οποίο θα καλύψουν </w:t>
      </w:r>
      <w:r w:rsidRPr="00E077E0">
        <w:rPr>
          <w:iCs/>
          <w:snapToGrid w:val="0"/>
          <w:sz w:val="24"/>
          <w:szCs w:val="24"/>
        </w:rPr>
        <w:t xml:space="preserve">οι τράπεζες </w:t>
      </w:r>
      <w:r w:rsidRPr="00E077E0">
        <w:rPr>
          <w:iCs/>
          <w:snapToGrid w:val="0"/>
          <w:sz w:val="24"/>
          <w:szCs w:val="24"/>
          <w:lang w:val="en-US"/>
        </w:rPr>
        <w:t>EFG</w:t>
      </w:r>
      <w:r w:rsidRPr="00E077E0">
        <w:rPr>
          <w:iCs/>
          <w:snapToGrid w:val="0"/>
          <w:sz w:val="24"/>
          <w:szCs w:val="24"/>
        </w:rPr>
        <w:t xml:space="preserve"> </w:t>
      </w:r>
      <w:proofErr w:type="spellStart"/>
      <w:r w:rsidRPr="00E077E0">
        <w:rPr>
          <w:iCs/>
          <w:snapToGrid w:val="0"/>
          <w:sz w:val="24"/>
          <w:szCs w:val="24"/>
          <w:lang w:val="en-US"/>
        </w:rPr>
        <w:t>Eurobank</w:t>
      </w:r>
      <w:proofErr w:type="spellEnd"/>
      <w:r w:rsidRPr="00E077E0">
        <w:rPr>
          <w:iCs/>
          <w:snapToGrid w:val="0"/>
          <w:sz w:val="24"/>
          <w:szCs w:val="24"/>
        </w:rPr>
        <w:t xml:space="preserve"> </w:t>
      </w:r>
      <w:proofErr w:type="spellStart"/>
      <w:r w:rsidRPr="00E077E0">
        <w:rPr>
          <w:iCs/>
          <w:snapToGrid w:val="0"/>
          <w:sz w:val="24"/>
          <w:szCs w:val="24"/>
          <w:lang w:val="en-US"/>
        </w:rPr>
        <w:t>Ergasias</w:t>
      </w:r>
      <w:proofErr w:type="spellEnd"/>
      <w:r w:rsidRPr="00E077E0">
        <w:rPr>
          <w:iCs/>
          <w:snapToGrid w:val="0"/>
          <w:sz w:val="24"/>
          <w:szCs w:val="24"/>
        </w:rPr>
        <w:t>, Εθνική Τράπεζα της Ελλάδος, Εμπορική Τράπεζα της Ελλάδος, Α</w:t>
      </w:r>
      <w:proofErr w:type="spellStart"/>
      <w:r w:rsidRPr="00E077E0">
        <w:rPr>
          <w:iCs/>
          <w:snapToGrid w:val="0"/>
          <w:sz w:val="24"/>
          <w:szCs w:val="24"/>
          <w:lang w:val="en-US"/>
        </w:rPr>
        <w:t>lpha</w:t>
      </w:r>
      <w:proofErr w:type="spellEnd"/>
      <w:r w:rsidRPr="00E077E0">
        <w:rPr>
          <w:iCs/>
          <w:snapToGrid w:val="0"/>
          <w:sz w:val="24"/>
          <w:szCs w:val="24"/>
        </w:rPr>
        <w:t xml:space="preserve"> </w:t>
      </w:r>
      <w:r w:rsidRPr="00E077E0">
        <w:rPr>
          <w:iCs/>
          <w:snapToGrid w:val="0"/>
          <w:sz w:val="24"/>
          <w:szCs w:val="24"/>
          <w:lang w:val="en-US"/>
        </w:rPr>
        <w:t>Bank</w:t>
      </w:r>
      <w:r w:rsidRPr="00E077E0">
        <w:rPr>
          <w:iCs/>
          <w:snapToGrid w:val="0"/>
          <w:sz w:val="24"/>
          <w:szCs w:val="24"/>
        </w:rPr>
        <w:t xml:space="preserve">, Τράπεζα Πειραιώς, </w:t>
      </w:r>
      <w:r w:rsidRPr="00E077E0">
        <w:rPr>
          <w:iCs/>
          <w:snapToGrid w:val="0"/>
          <w:sz w:val="24"/>
          <w:szCs w:val="24"/>
          <w:lang w:val="en-US"/>
        </w:rPr>
        <w:t>HSBC</w:t>
      </w:r>
      <w:r w:rsidRPr="00E077E0">
        <w:rPr>
          <w:iCs/>
          <w:snapToGrid w:val="0"/>
          <w:sz w:val="24"/>
          <w:szCs w:val="24"/>
        </w:rPr>
        <w:t xml:space="preserve"> </w:t>
      </w:r>
      <w:r w:rsidRPr="00E077E0">
        <w:rPr>
          <w:iCs/>
          <w:snapToGrid w:val="0"/>
          <w:sz w:val="24"/>
          <w:szCs w:val="24"/>
          <w:lang w:val="en-US"/>
        </w:rPr>
        <w:t>Bank</w:t>
      </w:r>
      <w:r w:rsidRPr="00E077E0">
        <w:rPr>
          <w:iCs/>
          <w:snapToGrid w:val="0"/>
          <w:sz w:val="24"/>
          <w:szCs w:val="24"/>
        </w:rPr>
        <w:t xml:space="preserve"> </w:t>
      </w:r>
      <w:proofErr w:type="spellStart"/>
      <w:r w:rsidRPr="00E077E0">
        <w:rPr>
          <w:iCs/>
          <w:snapToGrid w:val="0"/>
          <w:sz w:val="24"/>
          <w:szCs w:val="24"/>
          <w:lang w:val="en-US"/>
        </w:rPr>
        <w:t>plc</w:t>
      </w:r>
      <w:proofErr w:type="spellEnd"/>
      <w:r w:rsidRPr="00E077E0">
        <w:rPr>
          <w:iCs/>
          <w:snapToGrid w:val="0"/>
          <w:sz w:val="24"/>
          <w:szCs w:val="24"/>
        </w:rPr>
        <w:t xml:space="preserve"> και </w:t>
      </w:r>
      <w:proofErr w:type="spellStart"/>
      <w:r w:rsidRPr="00E077E0">
        <w:rPr>
          <w:iCs/>
          <w:snapToGrid w:val="0"/>
          <w:sz w:val="24"/>
          <w:szCs w:val="24"/>
          <w:lang w:val="en-US"/>
        </w:rPr>
        <w:t>Marfin</w:t>
      </w:r>
      <w:proofErr w:type="spellEnd"/>
      <w:r w:rsidRPr="00E077E0">
        <w:rPr>
          <w:iCs/>
          <w:snapToGrid w:val="0"/>
          <w:sz w:val="24"/>
          <w:szCs w:val="24"/>
        </w:rPr>
        <w:t xml:space="preserve"> </w:t>
      </w:r>
      <w:r w:rsidRPr="00E077E0">
        <w:rPr>
          <w:iCs/>
          <w:snapToGrid w:val="0"/>
          <w:sz w:val="24"/>
          <w:szCs w:val="24"/>
          <w:lang w:val="en-US"/>
        </w:rPr>
        <w:t>Popular</w:t>
      </w:r>
      <w:r w:rsidRPr="00E077E0">
        <w:rPr>
          <w:iCs/>
          <w:snapToGrid w:val="0"/>
          <w:sz w:val="24"/>
          <w:szCs w:val="24"/>
        </w:rPr>
        <w:t xml:space="preserve"> </w:t>
      </w:r>
      <w:r w:rsidRPr="00E077E0">
        <w:rPr>
          <w:iCs/>
          <w:snapToGrid w:val="0"/>
          <w:sz w:val="24"/>
          <w:szCs w:val="24"/>
          <w:lang w:val="en-US"/>
        </w:rPr>
        <w:t>Bank</w:t>
      </w:r>
      <w:r w:rsidRPr="00E077E0">
        <w:rPr>
          <w:iCs/>
          <w:snapToGrid w:val="0"/>
          <w:sz w:val="24"/>
          <w:szCs w:val="24"/>
        </w:rPr>
        <w:t xml:space="preserve"> και ο </w:t>
      </w:r>
      <w:proofErr w:type="spellStart"/>
      <w:r w:rsidRPr="00E077E0">
        <w:rPr>
          <w:iCs/>
          <w:snapToGrid w:val="0"/>
          <w:sz w:val="24"/>
          <w:szCs w:val="24"/>
        </w:rPr>
        <w:t>μετόχος</w:t>
      </w:r>
      <w:proofErr w:type="spellEnd"/>
      <w:r w:rsidRPr="00E077E0">
        <w:rPr>
          <w:iCs/>
          <w:snapToGrid w:val="0"/>
          <w:sz w:val="24"/>
          <w:szCs w:val="24"/>
        </w:rPr>
        <w:t xml:space="preserve"> Τ</w:t>
      </w:r>
      <w:proofErr w:type="spellStart"/>
      <w:r w:rsidRPr="00E077E0">
        <w:rPr>
          <w:iCs/>
          <w:snapToGrid w:val="0"/>
          <w:sz w:val="24"/>
          <w:szCs w:val="24"/>
          <w:lang w:val="en-US"/>
        </w:rPr>
        <w:t>inola</w:t>
      </w:r>
      <w:proofErr w:type="spellEnd"/>
      <w:r w:rsidRPr="00E077E0">
        <w:rPr>
          <w:iCs/>
          <w:snapToGrid w:val="0"/>
          <w:sz w:val="24"/>
          <w:szCs w:val="24"/>
        </w:rPr>
        <w:t xml:space="preserve"> </w:t>
      </w:r>
      <w:r w:rsidRPr="00E077E0">
        <w:rPr>
          <w:iCs/>
          <w:snapToGrid w:val="0"/>
          <w:sz w:val="24"/>
          <w:szCs w:val="24"/>
          <w:lang w:val="en-US"/>
        </w:rPr>
        <w:t>Holding</w:t>
      </w:r>
      <w:r w:rsidRPr="00E077E0">
        <w:rPr>
          <w:iCs/>
          <w:snapToGrid w:val="0"/>
          <w:sz w:val="24"/>
          <w:szCs w:val="24"/>
        </w:rPr>
        <w:t xml:space="preserve"> </w:t>
      </w:r>
      <w:r w:rsidRPr="00E077E0">
        <w:rPr>
          <w:iCs/>
          <w:snapToGrid w:val="0"/>
          <w:sz w:val="24"/>
          <w:szCs w:val="24"/>
          <w:lang w:val="en-US"/>
        </w:rPr>
        <w:t>S</w:t>
      </w:r>
      <w:r w:rsidRPr="00E077E0">
        <w:rPr>
          <w:iCs/>
          <w:snapToGrid w:val="0"/>
          <w:sz w:val="24"/>
          <w:szCs w:val="24"/>
        </w:rPr>
        <w:t>.</w:t>
      </w:r>
      <w:r w:rsidRPr="00E077E0">
        <w:rPr>
          <w:iCs/>
          <w:snapToGrid w:val="0"/>
          <w:sz w:val="24"/>
          <w:szCs w:val="24"/>
          <w:lang w:val="en-US"/>
        </w:rPr>
        <w:t>A</w:t>
      </w:r>
      <w:r w:rsidRPr="00E077E0">
        <w:rPr>
          <w:iCs/>
          <w:snapToGrid w:val="0"/>
          <w:sz w:val="24"/>
          <w:szCs w:val="24"/>
        </w:rPr>
        <w:t>.,  (</w:t>
      </w:r>
      <w:r w:rsidRPr="00E077E0">
        <w:rPr>
          <w:bCs/>
          <w:iCs/>
          <w:snapToGrid w:val="0"/>
          <w:sz w:val="24"/>
          <w:szCs w:val="24"/>
        </w:rPr>
        <w:t>β)</w:t>
      </w:r>
      <w:r w:rsidRPr="00E077E0">
        <w:rPr>
          <w:iCs/>
          <w:snapToGrid w:val="0"/>
          <w:sz w:val="24"/>
          <w:szCs w:val="24"/>
        </w:rPr>
        <w:t xml:space="preserve"> έκδοση Μετατρέψιμου Ομολογιακού Δανείου ύψους έως €17.500.000, με επιτόκιο σταθερό και ίσο με 3% ετησίως, σύμφωνα με το Ν. 3156/2003 και τον </w:t>
      </w:r>
      <w:r w:rsidRPr="00E077E0">
        <w:rPr>
          <w:rFonts w:cs="Arial"/>
          <w:color w:val="000000"/>
          <w:sz w:val="24"/>
          <w:szCs w:val="24"/>
        </w:rPr>
        <w:t>Κ.Ν. 2190/1920, το οποίο θα καλύψει η</w:t>
      </w:r>
      <w:r w:rsidRPr="00E077E0">
        <w:rPr>
          <w:iCs/>
          <w:snapToGrid w:val="0"/>
          <w:sz w:val="24"/>
          <w:szCs w:val="24"/>
        </w:rPr>
        <w:t xml:space="preserve"> «Νέα </w:t>
      </w:r>
      <w:r w:rsidRPr="00E077E0">
        <w:rPr>
          <w:iCs/>
          <w:snapToGrid w:val="0"/>
          <w:sz w:val="24"/>
          <w:szCs w:val="24"/>
          <w:lang w:val="en-US"/>
        </w:rPr>
        <w:t>Proton</w:t>
      </w:r>
      <w:r w:rsidRPr="00E077E0">
        <w:rPr>
          <w:iCs/>
          <w:snapToGrid w:val="0"/>
          <w:sz w:val="24"/>
          <w:szCs w:val="24"/>
        </w:rPr>
        <w:t xml:space="preserve"> Τράπεζα Α.Ε.» με σκοπό την αναχρηματοδότηση εξ υφιστάμενης σύμβασης πίστωσης ποσού ύψους €13.308.000 πλέον τόκων και (</w:t>
      </w:r>
      <w:r w:rsidRPr="00E077E0">
        <w:rPr>
          <w:bCs/>
          <w:iCs/>
          <w:snapToGrid w:val="0"/>
          <w:sz w:val="24"/>
          <w:szCs w:val="24"/>
        </w:rPr>
        <w:t>γ)</w:t>
      </w:r>
      <w:r w:rsidRPr="00E077E0">
        <w:rPr>
          <w:iCs/>
          <w:snapToGrid w:val="0"/>
          <w:sz w:val="24"/>
          <w:szCs w:val="24"/>
        </w:rPr>
        <w:t xml:space="preserve"> έκδοση Μετατρέψιμου Ομολογιακού Δανείου, ύψους έως €16.250.000, με επιτόκιο σταθερό και ίσο με 3% ετησίως, σύμφωνα με το Ν. 3156/2003 και τον </w:t>
      </w:r>
      <w:r w:rsidRPr="00E077E0">
        <w:rPr>
          <w:rFonts w:cs="Arial"/>
          <w:color w:val="000000"/>
          <w:sz w:val="24"/>
          <w:szCs w:val="24"/>
          <w:lang w:eastAsia="en-US"/>
        </w:rPr>
        <w:t>Κ.Ν.2190/1920, το οποίο</w:t>
      </w:r>
      <w:r w:rsidRPr="00E077E0">
        <w:rPr>
          <w:iCs/>
          <w:snapToGrid w:val="0"/>
          <w:sz w:val="24"/>
          <w:szCs w:val="24"/>
        </w:rPr>
        <w:t xml:space="preserve"> θα καλύψουν οι τράπεζες Α</w:t>
      </w:r>
      <w:proofErr w:type="spellStart"/>
      <w:r w:rsidRPr="00E077E0">
        <w:rPr>
          <w:iCs/>
          <w:snapToGrid w:val="0"/>
          <w:sz w:val="24"/>
          <w:szCs w:val="24"/>
          <w:lang w:val="en-US"/>
        </w:rPr>
        <w:t>ttica</w:t>
      </w:r>
      <w:proofErr w:type="spellEnd"/>
      <w:r w:rsidRPr="00E077E0">
        <w:rPr>
          <w:iCs/>
          <w:snapToGrid w:val="0"/>
          <w:sz w:val="24"/>
          <w:szCs w:val="24"/>
        </w:rPr>
        <w:t xml:space="preserve"> </w:t>
      </w:r>
      <w:r w:rsidRPr="00E077E0">
        <w:rPr>
          <w:iCs/>
          <w:snapToGrid w:val="0"/>
          <w:sz w:val="24"/>
          <w:szCs w:val="24"/>
          <w:lang w:val="en-US"/>
        </w:rPr>
        <w:t>Bank</w:t>
      </w:r>
      <w:r w:rsidRPr="00E077E0">
        <w:rPr>
          <w:iCs/>
          <w:snapToGrid w:val="0"/>
          <w:sz w:val="24"/>
          <w:szCs w:val="24"/>
        </w:rPr>
        <w:t xml:space="preserve">, </w:t>
      </w:r>
      <w:r w:rsidRPr="00E077E0">
        <w:rPr>
          <w:iCs/>
          <w:snapToGrid w:val="0"/>
          <w:sz w:val="24"/>
          <w:szCs w:val="24"/>
          <w:lang w:val="en-US"/>
        </w:rPr>
        <w:t>HSBC</w:t>
      </w:r>
      <w:r w:rsidRPr="00E077E0">
        <w:rPr>
          <w:iCs/>
          <w:snapToGrid w:val="0"/>
          <w:sz w:val="24"/>
          <w:szCs w:val="24"/>
        </w:rPr>
        <w:t xml:space="preserve"> </w:t>
      </w:r>
      <w:r w:rsidRPr="00E077E0">
        <w:rPr>
          <w:iCs/>
          <w:snapToGrid w:val="0"/>
          <w:sz w:val="24"/>
          <w:szCs w:val="24"/>
          <w:lang w:val="en-US"/>
        </w:rPr>
        <w:t>Bank</w:t>
      </w:r>
      <w:r w:rsidRPr="00E077E0">
        <w:rPr>
          <w:iCs/>
          <w:snapToGrid w:val="0"/>
          <w:sz w:val="24"/>
          <w:szCs w:val="24"/>
        </w:rPr>
        <w:t xml:space="preserve"> </w:t>
      </w:r>
      <w:proofErr w:type="spellStart"/>
      <w:r w:rsidRPr="00E077E0">
        <w:rPr>
          <w:iCs/>
          <w:snapToGrid w:val="0"/>
          <w:sz w:val="24"/>
          <w:szCs w:val="24"/>
          <w:lang w:val="en-US"/>
        </w:rPr>
        <w:t>plc</w:t>
      </w:r>
      <w:proofErr w:type="spellEnd"/>
      <w:r w:rsidRPr="00E077E0">
        <w:rPr>
          <w:iCs/>
          <w:snapToGrid w:val="0"/>
          <w:sz w:val="24"/>
          <w:szCs w:val="24"/>
        </w:rPr>
        <w:t xml:space="preserve">, Εθνική Τράπεζα της Ελλάδος, Τράπεζα Πειραιώς, </w:t>
      </w:r>
      <w:r w:rsidRPr="00E077E0">
        <w:rPr>
          <w:iCs/>
          <w:snapToGrid w:val="0"/>
          <w:sz w:val="24"/>
          <w:szCs w:val="24"/>
          <w:lang w:val="en-US"/>
        </w:rPr>
        <w:t>FBB</w:t>
      </w:r>
      <w:r w:rsidRPr="00E077E0">
        <w:rPr>
          <w:iCs/>
          <w:snapToGrid w:val="0"/>
          <w:sz w:val="24"/>
          <w:szCs w:val="24"/>
        </w:rPr>
        <w:t xml:space="preserve">, </w:t>
      </w:r>
      <w:proofErr w:type="spellStart"/>
      <w:r w:rsidRPr="00E077E0">
        <w:rPr>
          <w:iCs/>
          <w:snapToGrid w:val="0"/>
          <w:sz w:val="24"/>
          <w:szCs w:val="24"/>
          <w:lang w:val="en-US"/>
        </w:rPr>
        <w:t>Marfin</w:t>
      </w:r>
      <w:proofErr w:type="spellEnd"/>
      <w:r w:rsidRPr="00E077E0">
        <w:rPr>
          <w:iCs/>
          <w:snapToGrid w:val="0"/>
          <w:sz w:val="24"/>
          <w:szCs w:val="24"/>
        </w:rPr>
        <w:t xml:space="preserve"> </w:t>
      </w:r>
      <w:r w:rsidRPr="00E077E0">
        <w:rPr>
          <w:iCs/>
          <w:snapToGrid w:val="0"/>
          <w:sz w:val="24"/>
          <w:szCs w:val="24"/>
          <w:lang w:val="en-US"/>
        </w:rPr>
        <w:t>Popular</w:t>
      </w:r>
      <w:r w:rsidRPr="00E077E0">
        <w:rPr>
          <w:iCs/>
          <w:snapToGrid w:val="0"/>
          <w:sz w:val="24"/>
          <w:szCs w:val="24"/>
        </w:rPr>
        <w:t xml:space="preserve"> </w:t>
      </w:r>
      <w:r w:rsidRPr="00E077E0">
        <w:rPr>
          <w:iCs/>
          <w:snapToGrid w:val="0"/>
          <w:sz w:val="24"/>
          <w:szCs w:val="24"/>
          <w:lang w:val="en-US"/>
        </w:rPr>
        <w:t>Bank</w:t>
      </w:r>
      <w:r w:rsidRPr="00E077E0">
        <w:rPr>
          <w:iCs/>
          <w:snapToGrid w:val="0"/>
          <w:sz w:val="24"/>
          <w:szCs w:val="24"/>
        </w:rPr>
        <w:t xml:space="preserve">, Εμπορική Τράπεζα της Ελλάδος, </w:t>
      </w:r>
      <w:r w:rsidRPr="00E077E0">
        <w:rPr>
          <w:iCs/>
          <w:snapToGrid w:val="0"/>
          <w:sz w:val="24"/>
          <w:szCs w:val="24"/>
          <w:lang w:val="en-US"/>
        </w:rPr>
        <w:t>EFG</w:t>
      </w:r>
      <w:r w:rsidRPr="00E077E0">
        <w:rPr>
          <w:iCs/>
          <w:snapToGrid w:val="0"/>
          <w:sz w:val="24"/>
          <w:szCs w:val="24"/>
        </w:rPr>
        <w:t xml:space="preserve"> </w:t>
      </w:r>
      <w:proofErr w:type="spellStart"/>
      <w:r w:rsidRPr="00E077E0">
        <w:rPr>
          <w:iCs/>
          <w:snapToGrid w:val="0"/>
          <w:sz w:val="24"/>
          <w:szCs w:val="24"/>
        </w:rPr>
        <w:t>Eurobank</w:t>
      </w:r>
      <w:proofErr w:type="spellEnd"/>
      <w:r w:rsidRPr="00E077E0">
        <w:rPr>
          <w:iCs/>
          <w:snapToGrid w:val="0"/>
          <w:sz w:val="24"/>
          <w:szCs w:val="24"/>
        </w:rPr>
        <w:t xml:space="preserve"> </w:t>
      </w:r>
      <w:proofErr w:type="spellStart"/>
      <w:r w:rsidRPr="00E077E0">
        <w:rPr>
          <w:iCs/>
          <w:snapToGrid w:val="0"/>
          <w:sz w:val="24"/>
          <w:szCs w:val="24"/>
        </w:rPr>
        <w:t>Ergasias</w:t>
      </w:r>
      <w:proofErr w:type="spellEnd"/>
      <w:r w:rsidRPr="00E077E0">
        <w:rPr>
          <w:iCs/>
          <w:snapToGrid w:val="0"/>
          <w:sz w:val="24"/>
          <w:szCs w:val="24"/>
        </w:rPr>
        <w:t xml:space="preserve">, </w:t>
      </w:r>
      <w:proofErr w:type="spellStart"/>
      <w:r w:rsidRPr="00E077E0">
        <w:rPr>
          <w:iCs/>
          <w:snapToGrid w:val="0"/>
          <w:sz w:val="24"/>
          <w:szCs w:val="24"/>
        </w:rPr>
        <w:t>Αlpha</w:t>
      </w:r>
      <w:proofErr w:type="spellEnd"/>
      <w:r w:rsidRPr="00E077E0">
        <w:rPr>
          <w:iCs/>
          <w:snapToGrid w:val="0"/>
          <w:sz w:val="24"/>
          <w:szCs w:val="24"/>
        </w:rPr>
        <w:t xml:space="preserve"> </w:t>
      </w:r>
      <w:proofErr w:type="spellStart"/>
      <w:r w:rsidRPr="00E077E0">
        <w:rPr>
          <w:iCs/>
          <w:snapToGrid w:val="0"/>
          <w:sz w:val="24"/>
          <w:szCs w:val="24"/>
        </w:rPr>
        <w:t>Bank</w:t>
      </w:r>
      <w:proofErr w:type="spellEnd"/>
      <w:r w:rsidRPr="00E077E0">
        <w:rPr>
          <w:iCs/>
          <w:snapToGrid w:val="0"/>
          <w:sz w:val="24"/>
          <w:szCs w:val="24"/>
        </w:rPr>
        <w:t xml:space="preserve"> και ο μέτοχος </w:t>
      </w:r>
      <w:proofErr w:type="spellStart"/>
      <w:r w:rsidRPr="00E077E0">
        <w:rPr>
          <w:iCs/>
          <w:snapToGrid w:val="0"/>
          <w:sz w:val="24"/>
          <w:szCs w:val="24"/>
        </w:rPr>
        <w:t>Τinola</w:t>
      </w:r>
      <w:proofErr w:type="spellEnd"/>
      <w:r w:rsidRPr="00E077E0">
        <w:rPr>
          <w:iCs/>
          <w:snapToGrid w:val="0"/>
          <w:sz w:val="24"/>
          <w:szCs w:val="24"/>
        </w:rPr>
        <w:t xml:space="preserve"> </w:t>
      </w:r>
      <w:proofErr w:type="spellStart"/>
      <w:r w:rsidRPr="00E077E0">
        <w:rPr>
          <w:iCs/>
          <w:snapToGrid w:val="0"/>
          <w:sz w:val="24"/>
          <w:szCs w:val="24"/>
        </w:rPr>
        <w:t>Holding</w:t>
      </w:r>
      <w:proofErr w:type="spellEnd"/>
      <w:r w:rsidRPr="00E077E0">
        <w:rPr>
          <w:iCs/>
          <w:snapToGrid w:val="0"/>
          <w:sz w:val="24"/>
          <w:szCs w:val="24"/>
        </w:rPr>
        <w:t xml:space="preserve"> S.A. με σκοπό την αναχρηματοδότηση υφιστάμενου δανεισμού (κατά κεφάλαιο και τόκους). </w:t>
      </w:r>
    </w:p>
    <w:p w:rsidR="00D51CB2" w:rsidRPr="00E077E0" w:rsidRDefault="00D51CB2" w:rsidP="00D51CB2">
      <w:pPr>
        <w:pStyle w:val="ListParagraph"/>
        <w:spacing w:line="276" w:lineRule="auto"/>
        <w:ind w:left="1134" w:right="48" w:hanging="567"/>
        <w:jc w:val="both"/>
        <w:rPr>
          <w:iCs/>
          <w:snapToGrid w:val="0"/>
          <w:sz w:val="24"/>
          <w:szCs w:val="24"/>
        </w:rPr>
      </w:pPr>
    </w:p>
    <w:p w:rsidR="00D51CB2" w:rsidRPr="00E077E0" w:rsidRDefault="00D51CB2" w:rsidP="00D51CB2">
      <w:pPr>
        <w:pStyle w:val="ListParagraph"/>
        <w:spacing w:line="276" w:lineRule="auto"/>
        <w:ind w:left="567" w:right="48"/>
        <w:jc w:val="both"/>
        <w:rPr>
          <w:iCs/>
          <w:sz w:val="24"/>
          <w:szCs w:val="24"/>
        </w:rPr>
      </w:pPr>
      <w:r w:rsidRPr="00E077E0">
        <w:rPr>
          <w:rFonts w:cs="Arial"/>
          <w:color w:val="000000"/>
          <w:sz w:val="24"/>
          <w:szCs w:val="24"/>
          <w:lang w:eastAsia="en-US"/>
        </w:rPr>
        <w:t xml:space="preserve">Περαιτέρω, η Γενική Συνέλευση ομόφωνα χορήγησε τις απαραίτητες εξουσιοδοτήσεις προς το Διοικητικό Συμβούλιο για την υλοποίηση των σχετικών αποφάσεων και ειδικότερα κάθε ειδικού θέματος, ποσών, προθεσμιών και αμοιβών και εξόδων </w:t>
      </w:r>
      <w:r w:rsidRPr="00E077E0">
        <w:rPr>
          <w:iCs/>
          <w:snapToGrid w:val="0"/>
          <w:sz w:val="24"/>
          <w:szCs w:val="24"/>
        </w:rPr>
        <w:t>σχετικά με την έκδοση των ως άνω μετατρέψιμων δανείων.</w:t>
      </w:r>
    </w:p>
    <w:p w:rsidR="00D51CB2" w:rsidRPr="00E077E0" w:rsidRDefault="00D51CB2" w:rsidP="00D51CB2">
      <w:pPr>
        <w:pStyle w:val="ListParagraph"/>
        <w:spacing w:line="276" w:lineRule="auto"/>
        <w:ind w:left="567" w:right="48" w:hanging="567"/>
        <w:jc w:val="both"/>
        <w:rPr>
          <w:iCs/>
          <w:sz w:val="24"/>
          <w:szCs w:val="24"/>
        </w:rPr>
      </w:pPr>
    </w:p>
    <w:p w:rsidR="00D51CB2" w:rsidRPr="00E077E0" w:rsidRDefault="00D51CB2" w:rsidP="00D51CB2">
      <w:pPr>
        <w:pStyle w:val="ListParagraph"/>
        <w:numPr>
          <w:ilvl w:val="0"/>
          <w:numId w:val="1"/>
        </w:numPr>
        <w:spacing w:line="276" w:lineRule="auto"/>
        <w:ind w:left="567" w:right="48" w:hanging="567"/>
        <w:jc w:val="both"/>
        <w:rPr>
          <w:rFonts w:cs="Arial"/>
          <w:color w:val="000000"/>
          <w:sz w:val="24"/>
          <w:szCs w:val="24"/>
          <w:lang w:eastAsia="en-US"/>
        </w:rPr>
      </w:pPr>
      <w:r w:rsidRPr="00E077E0">
        <w:rPr>
          <w:rFonts w:cs="Arial"/>
          <w:color w:val="000000"/>
          <w:sz w:val="24"/>
          <w:szCs w:val="24"/>
          <w:lang w:eastAsia="en-US"/>
        </w:rPr>
        <w:t xml:space="preserve">Εκλογή νέου Διοικητικού Συμβουλίου, το οποίο απαρτίζεται από τα ακόλουθα πρόσωπα: (α) </w:t>
      </w:r>
      <w:r w:rsidRPr="00E077E0">
        <w:rPr>
          <w:rFonts w:cs="Arial"/>
          <w:color w:val="000000"/>
          <w:sz w:val="24"/>
          <w:szCs w:val="24"/>
          <w:lang w:eastAsia="en-US"/>
        </w:rPr>
        <w:tab/>
        <w:t>Κωνσταντίνος Πετρόπουλος του Πέτρου, (β)</w:t>
      </w:r>
      <w:r w:rsidRPr="00E077E0">
        <w:rPr>
          <w:rFonts w:cs="Arial"/>
          <w:color w:val="000000"/>
          <w:sz w:val="24"/>
          <w:szCs w:val="24"/>
          <w:lang w:eastAsia="en-US"/>
        </w:rPr>
        <w:tab/>
        <w:t xml:space="preserve">Χαράλαμπος Δαυίδ του Γεωργίου, (γ) Μιχάλης </w:t>
      </w:r>
      <w:proofErr w:type="spellStart"/>
      <w:r w:rsidRPr="00E077E0">
        <w:rPr>
          <w:rFonts w:cs="Arial"/>
          <w:color w:val="000000"/>
          <w:sz w:val="24"/>
          <w:szCs w:val="24"/>
          <w:lang w:eastAsia="en-US"/>
        </w:rPr>
        <w:t>Οικονομάκης</w:t>
      </w:r>
      <w:proofErr w:type="spellEnd"/>
      <w:r w:rsidRPr="00E077E0">
        <w:rPr>
          <w:rFonts w:cs="Arial"/>
          <w:color w:val="000000"/>
          <w:sz w:val="24"/>
          <w:szCs w:val="24"/>
          <w:lang w:eastAsia="en-US"/>
        </w:rPr>
        <w:t xml:space="preserve"> του Ηλία, (δ) </w:t>
      </w:r>
      <w:r w:rsidRPr="00E077E0">
        <w:rPr>
          <w:rFonts w:cs="Arial"/>
          <w:color w:val="000000"/>
          <w:sz w:val="24"/>
          <w:szCs w:val="24"/>
          <w:lang w:eastAsia="en-US"/>
        </w:rPr>
        <w:tab/>
        <w:t xml:space="preserve">Αδαμάντιος </w:t>
      </w:r>
      <w:proofErr w:type="spellStart"/>
      <w:r w:rsidRPr="00E077E0">
        <w:rPr>
          <w:rFonts w:cs="Arial"/>
          <w:color w:val="000000"/>
          <w:sz w:val="24"/>
          <w:szCs w:val="24"/>
          <w:lang w:eastAsia="en-US"/>
        </w:rPr>
        <w:t>Λέντσιος</w:t>
      </w:r>
      <w:proofErr w:type="spellEnd"/>
      <w:r w:rsidRPr="00E077E0">
        <w:rPr>
          <w:rFonts w:cs="Arial"/>
          <w:color w:val="000000"/>
          <w:sz w:val="24"/>
          <w:szCs w:val="24"/>
          <w:lang w:eastAsia="en-US"/>
        </w:rPr>
        <w:t xml:space="preserve"> του Αθανασίου (ανεξάρτητος) και (ε) Νικόλαος Σοφοκλέους του Σοφοκλή (ανεξάρτητος). </w:t>
      </w:r>
    </w:p>
    <w:p w:rsidR="00D51CB2" w:rsidRPr="00E077E0" w:rsidRDefault="00D51CB2" w:rsidP="00D51CB2">
      <w:pPr>
        <w:pStyle w:val="ListParagraph"/>
        <w:spacing w:line="276" w:lineRule="auto"/>
        <w:ind w:left="0" w:right="48"/>
        <w:jc w:val="both"/>
        <w:rPr>
          <w:rFonts w:cs="Arial"/>
          <w:color w:val="000000"/>
          <w:sz w:val="24"/>
          <w:szCs w:val="24"/>
          <w:lang w:eastAsia="en-US"/>
        </w:rPr>
      </w:pPr>
    </w:p>
    <w:p w:rsidR="00D51CB2" w:rsidRPr="00E077E0" w:rsidRDefault="00D51CB2" w:rsidP="00D51CB2">
      <w:pPr>
        <w:pStyle w:val="ListParagraph"/>
        <w:spacing w:line="276" w:lineRule="auto"/>
        <w:ind w:left="567" w:right="48"/>
        <w:jc w:val="both"/>
        <w:rPr>
          <w:rFonts w:cs="Arial"/>
          <w:color w:val="000000"/>
          <w:sz w:val="24"/>
          <w:szCs w:val="24"/>
          <w:lang w:eastAsia="en-US"/>
        </w:rPr>
      </w:pPr>
      <w:r w:rsidRPr="00E077E0">
        <w:rPr>
          <w:rFonts w:cs="Arial"/>
          <w:color w:val="000000"/>
          <w:sz w:val="24"/>
          <w:szCs w:val="24"/>
          <w:lang w:eastAsia="en-US"/>
        </w:rPr>
        <w:t xml:space="preserve">Περαιτέρω, η Γενική Συνέλευση αποφάσισε ομόφωνα την εκλογή δύο αναπληρωματικών μελών του Διοικητικού Συμβουλίου σύμφωνα με το άρθρο 12 του Καταστατικού, ήτοι του Ανδρέα Λαμπρόπουλου του Αναστασίου και του Ευθύμιου </w:t>
      </w:r>
      <w:proofErr w:type="spellStart"/>
      <w:r w:rsidRPr="00E077E0">
        <w:rPr>
          <w:rFonts w:cs="Arial"/>
          <w:color w:val="000000"/>
          <w:sz w:val="24"/>
          <w:szCs w:val="24"/>
          <w:lang w:eastAsia="en-US"/>
        </w:rPr>
        <w:t>Μελισάρη</w:t>
      </w:r>
      <w:proofErr w:type="spellEnd"/>
      <w:r w:rsidRPr="00E077E0">
        <w:rPr>
          <w:rFonts w:cs="Arial"/>
          <w:color w:val="000000"/>
          <w:sz w:val="24"/>
          <w:szCs w:val="24"/>
          <w:lang w:eastAsia="en-US"/>
        </w:rPr>
        <w:t xml:space="preserve"> του Ευαγγέλου (ανεξάρτητος). Η θητεία του Διοικητικού Συμβουλίου είναι εξαετής, ήτοι μέχρι την 20.01.2018 δυνάμενη να παραταθεί μέχρι του χρόνου σύγκλησης της τακτικής γενικής συνέλευσης του έτους 2018.</w:t>
      </w:r>
    </w:p>
    <w:p w:rsidR="00D51CB2" w:rsidRPr="00E077E0" w:rsidRDefault="00D51CB2" w:rsidP="00D51CB2">
      <w:pPr>
        <w:pStyle w:val="ListParagraph"/>
        <w:spacing w:line="276" w:lineRule="auto"/>
        <w:ind w:left="567" w:right="48"/>
        <w:jc w:val="both"/>
        <w:rPr>
          <w:rFonts w:cs="Arial"/>
          <w:color w:val="000000"/>
          <w:sz w:val="24"/>
          <w:szCs w:val="24"/>
          <w:lang w:eastAsia="en-US"/>
        </w:rPr>
      </w:pPr>
    </w:p>
    <w:p w:rsidR="00D51CB2" w:rsidRPr="00E077E0" w:rsidRDefault="00D51CB2" w:rsidP="00D51CB2">
      <w:pPr>
        <w:pStyle w:val="ListParagraph"/>
        <w:spacing w:line="276" w:lineRule="auto"/>
        <w:ind w:left="567" w:right="48"/>
        <w:jc w:val="both"/>
        <w:rPr>
          <w:rFonts w:cs="Arial"/>
          <w:color w:val="000000"/>
          <w:sz w:val="24"/>
          <w:szCs w:val="24"/>
          <w:lang w:eastAsia="en-US"/>
        </w:rPr>
      </w:pPr>
      <w:r w:rsidRPr="00E077E0">
        <w:rPr>
          <w:rFonts w:cs="Arial"/>
          <w:color w:val="000000"/>
          <w:sz w:val="24"/>
          <w:szCs w:val="24"/>
          <w:lang w:eastAsia="en-US"/>
        </w:rPr>
        <w:t xml:space="preserve">Συνακόλουθα, η Γενική Συνέλευση προέβη στην εκλογή νέας Επιτροπής Ελέγχου, η οποία απαρτίζεται από τα δύο ανεξάρτητα και μη εκτελεστικά μέλη, Αδαμάντιο </w:t>
      </w:r>
      <w:proofErr w:type="spellStart"/>
      <w:r w:rsidRPr="00E077E0">
        <w:rPr>
          <w:rFonts w:cs="Arial"/>
          <w:color w:val="000000"/>
          <w:sz w:val="24"/>
          <w:szCs w:val="24"/>
          <w:lang w:eastAsia="en-US"/>
        </w:rPr>
        <w:t>Λέντσιο</w:t>
      </w:r>
      <w:proofErr w:type="spellEnd"/>
      <w:r w:rsidRPr="00E077E0">
        <w:rPr>
          <w:rFonts w:cs="Arial"/>
          <w:color w:val="000000"/>
          <w:sz w:val="24"/>
          <w:szCs w:val="24"/>
          <w:lang w:eastAsia="en-US"/>
        </w:rPr>
        <w:t xml:space="preserve"> του Αθανασίου και Νικόλαο Σοφοκλέους του Σοφοκλή και το μη εκτελεστικό μέλος  Χαράλαμπο Δαυίδ του Γεωργίου. Καθήκοντα Πρόεδρου της Επιτροπής Ελέγχου εκτελεί ο Αδαμάντιος </w:t>
      </w:r>
      <w:proofErr w:type="spellStart"/>
      <w:r w:rsidRPr="00E077E0">
        <w:rPr>
          <w:rFonts w:cs="Arial"/>
          <w:color w:val="000000"/>
          <w:sz w:val="24"/>
          <w:szCs w:val="24"/>
          <w:lang w:eastAsia="en-US"/>
        </w:rPr>
        <w:t>Λέντσιος</w:t>
      </w:r>
      <w:proofErr w:type="spellEnd"/>
      <w:r w:rsidRPr="00E077E0">
        <w:rPr>
          <w:rFonts w:cs="Arial"/>
          <w:color w:val="000000"/>
          <w:sz w:val="24"/>
          <w:szCs w:val="24"/>
          <w:lang w:eastAsia="en-US"/>
        </w:rPr>
        <w:t xml:space="preserve">, ο οποίος τα ασκούσε και μέχρι σήμερα. </w:t>
      </w:r>
    </w:p>
    <w:p w:rsidR="00D51CB2" w:rsidRPr="00E077E0" w:rsidRDefault="00D51CB2" w:rsidP="00D51CB2">
      <w:pPr>
        <w:spacing w:line="276" w:lineRule="auto"/>
        <w:jc w:val="both"/>
        <w:rPr>
          <w:rFonts w:cs="Arial"/>
          <w:color w:val="000000"/>
          <w:sz w:val="24"/>
          <w:szCs w:val="24"/>
        </w:rPr>
      </w:pPr>
    </w:p>
    <w:p w:rsidR="00D51CB2" w:rsidRPr="00E077E0" w:rsidRDefault="00D51CB2" w:rsidP="00D51CB2">
      <w:pPr>
        <w:spacing w:line="276" w:lineRule="auto"/>
        <w:jc w:val="both"/>
        <w:rPr>
          <w:rFonts w:cs="Arial"/>
          <w:color w:val="000000"/>
          <w:sz w:val="24"/>
          <w:szCs w:val="24"/>
        </w:rPr>
      </w:pPr>
      <w:r w:rsidRPr="00E077E0">
        <w:rPr>
          <w:rFonts w:cs="Arial"/>
          <w:color w:val="000000"/>
          <w:sz w:val="24"/>
          <w:szCs w:val="24"/>
        </w:rPr>
        <w:t xml:space="preserve">Τέλος, η Γενική Συνέλευση ενημερώθηκε για την πορεία της </w:t>
      </w:r>
      <w:r w:rsidRPr="00E077E0">
        <w:rPr>
          <w:iCs/>
          <w:snapToGrid w:val="0"/>
          <w:sz w:val="24"/>
          <w:szCs w:val="24"/>
        </w:rPr>
        <w:t xml:space="preserve">χρηματοοικονομικής και λειτουργικής αναδιάρθρωσης της Εταιρείας μέχρι σήμερα και παρείχε εντολή στο Διοικητικό Συμβούλιο για την ενσωμάτωση στο Καταστατικό των τροποποιήσεων που αποφασίστηκαν και την υποβολή του στις αρμόδιες αρχές και υπηρεσίες. </w:t>
      </w:r>
    </w:p>
    <w:p w:rsidR="00D51CB2" w:rsidRPr="00E077E0" w:rsidRDefault="00D51CB2" w:rsidP="00D51CB2">
      <w:pPr>
        <w:pStyle w:val="BodyText"/>
        <w:spacing w:line="276" w:lineRule="auto"/>
        <w:ind w:right="-13"/>
        <w:jc w:val="center"/>
        <w:rPr>
          <w:rStyle w:val="FontStyle13"/>
          <w:rFonts w:ascii="Calibri" w:hAnsi="Calibri" w:cs="Arial"/>
          <w:b w:val="0"/>
          <w:sz w:val="24"/>
          <w:szCs w:val="24"/>
        </w:rPr>
      </w:pPr>
      <w:r w:rsidRPr="00E077E0">
        <w:rPr>
          <w:rStyle w:val="FontStyle13"/>
          <w:rFonts w:ascii="Calibri" w:hAnsi="Calibri" w:cs="Arial"/>
          <w:b w:val="0"/>
          <w:sz w:val="24"/>
          <w:szCs w:val="24"/>
        </w:rPr>
        <w:t xml:space="preserve"> </w:t>
      </w:r>
    </w:p>
    <w:p w:rsidR="00D51CB2" w:rsidRPr="00E077E0" w:rsidRDefault="00D51CB2" w:rsidP="00D51CB2">
      <w:pPr>
        <w:pStyle w:val="BodyText"/>
        <w:spacing w:line="276" w:lineRule="auto"/>
        <w:ind w:right="-13"/>
        <w:jc w:val="center"/>
        <w:rPr>
          <w:rFonts w:ascii="Calibri" w:hAnsi="Calibri" w:cs="Arial"/>
          <w:sz w:val="24"/>
          <w:szCs w:val="24"/>
        </w:rPr>
      </w:pPr>
      <w:proofErr w:type="spellStart"/>
      <w:r w:rsidRPr="00E077E0">
        <w:rPr>
          <w:rStyle w:val="FontStyle13"/>
          <w:rFonts w:ascii="Calibri" w:hAnsi="Calibri" w:cs="Arial"/>
          <w:b w:val="0"/>
          <w:sz w:val="24"/>
          <w:szCs w:val="24"/>
        </w:rPr>
        <w:t>Αχαρνές</w:t>
      </w:r>
      <w:proofErr w:type="spellEnd"/>
      <w:r w:rsidRPr="00E077E0">
        <w:rPr>
          <w:rStyle w:val="FontStyle13"/>
          <w:rFonts w:ascii="Calibri" w:hAnsi="Calibri" w:cs="Arial"/>
          <w:b w:val="0"/>
          <w:sz w:val="24"/>
          <w:szCs w:val="24"/>
        </w:rPr>
        <w:t>, 20 Ιανουαρίου 2012</w:t>
      </w:r>
    </w:p>
    <w:p w:rsidR="00C71F9D" w:rsidRDefault="00C71F9D">
      <w:bookmarkStart w:id="0" w:name="_GoBack"/>
      <w:bookmarkEnd w:id="0"/>
    </w:p>
    <w:sectPr w:rsidR="00C71F9D" w:rsidSect="00E077E0">
      <w:footerReference w:type="even" r:id="rId6"/>
      <w:footerReference w:type="first" r:id="rId7"/>
      <w:pgSz w:w="11906" w:h="16838" w:code="9"/>
      <w:pgMar w:top="1021" w:right="1134" w:bottom="1021"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FF1" w:rsidRPr="00DC62AB" w:rsidRDefault="00D51CB2" w:rsidP="00E72888">
    <w:pPr>
      <w:pStyle w:val="Footer"/>
      <w:rPr>
        <w:rFonts w:ascii="Tahoma" w:hAnsi="Tahoma" w:cs="Tahoma"/>
        <w:noProof/>
        <w:color w:val="404040"/>
        <w:sz w:val="16"/>
        <w:lang w:val="en-US"/>
      </w:rPr>
    </w:pPr>
    <w:r w:rsidRPr="00DC62AB">
      <w:rPr>
        <w:rFonts w:ascii="Tahoma" w:hAnsi="Tahoma" w:cs="Tahoma"/>
        <w:noProof/>
        <w:color w:val="404040"/>
        <w:sz w:val="16"/>
        <w:lang w:val="en-US"/>
      </w:rPr>
      <w:fldChar w:fldCharType="begin"/>
    </w:r>
    <w:r w:rsidRPr="00DC62AB">
      <w:rPr>
        <w:rFonts w:ascii="Tahoma" w:hAnsi="Tahoma" w:cs="Tahoma"/>
        <w:noProof/>
        <w:color w:val="404040"/>
        <w:sz w:val="16"/>
        <w:lang w:val="en-US"/>
      </w:rPr>
      <w:instrText xml:space="preserve"> DOCPROPERTY "wsKGDI"  \* MERGEFORMAT </w:instrText>
    </w:r>
    <w:r w:rsidRPr="00DC62AB">
      <w:rPr>
        <w:rFonts w:ascii="Tahoma" w:hAnsi="Tahoma" w:cs="Tahoma"/>
        <w:noProof/>
        <w:color w:val="404040"/>
        <w:sz w:val="16"/>
        <w:lang w:val="en-US"/>
      </w:rPr>
      <w:fldChar w:fldCharType="separate"/>
    </w:r>
    <w:r>
      <w:rPr>
        <w:rFonts w:ascii="Tahoma" w:hAnsi="Tahoma" w:cs="Tahoma"/>
        <w:noProof/>
        <w:color w:val="404040"/>
        <w:sz w:val="16"/>
        <w:lang w:val="en-US"/>
      </w:rPr>
      <w:t>KGDI Law Firm Ref. Num.: 2578106v1</w:t>
    </w:r>
    <w:r w:rsidRPr="00DC62AB">
      <w:rPr>
        <w:rFonts w:ascii="Tahoma" w:hAnsi="Tahoma" w:cs="Tahoma"/>
        <w:noProof/>
        <w:color w:val="404040"/>
        <w:sz w:val="16"/>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FF1" w:rsidRPr="00DC62AB" w:rsidRDefault="00D51CB2" w:rsidP="00E72888">
    <w:pPr>
      <w:pStyle w:val="Footer"/>
      <w:rPr>
        <w:rFonts w:ascii="Tahoma" w:hAnsi="Tahoma" w:cs="Tahoma"/>
        <w:noProof/>
        <w:color w:val="404040"/>
        <w:sz w:val="16"/>
        <w:lang w:val="en-US"/>
      </w:rPr>
    </w:pPr>
    <w:r w:rsidRPr="00DC62AB">
      <w:rPr>
        <w:rFonts w:ascii="Tahoma" w:hAnsi="Tahoma" w:cs="Tahoma"/>
        <w:noProof/>
        <w:color w:val="404040"/>
        <w:sz w:val="16"/>
        <w:lang w:val="en-US"/>
      </w:rPr>
      <w:fldChar w:fldCharType="begin"/>
    </w:r>
    <w:r w:rsidRPr="00DC62AB">
      <w:rPr>
        <w:rFonts w:ascii="Tahoma" w:hAnsi="Tahoma" w:cs="Tahoma"/>
        <w:noProof/>
        <w:color w:val="404040"/>
        <w:sz w:val="16"/>
        <w:lang w:val="en-US"/>
      </w:rPr>
      <w:instrText xml:space="preserve"> DOCPROPERTY "wsKGDI"  \* MERGEFORMAT </w:instrText>
    </w:r>
    <w:r w:rsidRPr="00DC62AB">
      <w:rPr>
        <w:rFonts w:ascii="Tahoma" w:hAnsi="Tahoma" w:cs="Tahoma"/>
        <w:noProof/>
        <w:color w:val="404040"/>
        <w:sz w:val="16"/>
        <w:lang w:val="en-US"/>
      </w:rPr>
      <w:fldChar w:fldCharType="separate"/>
    </w:r>
    <w:r>
      <w:rPr>
        <w:rFonts w:ascii="Tahoma" w:hAnsi="Tahoma" w:cs="Tahoma"/>
        <w:noProof/>
        <w:color w:val="404040"/>
        <w:sz w:val="16"/>
        <w:lang w:val="en-US"/>
      </w:rPr>
      <w:t>KGDI Law Firm Ref. Num.: 2578106v1</w:t>
    </w:r>
    <w:r w:rsidRPr="00DC62AB">
      <w:rPr>
        <w:rFonts w:ascii="Tahoma" w:hAnsi="Tahoma" w:cs="Tahoma"/>
        <w:noProof/>
        <w:color w:val="404040"/>
        <w:sz w:val="16"/>
        <w:lang w:val="en-US"/>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93A66"/>
    <w:multiLevelType w:val="hybridMultilevel"/>
    <w:tmpl w:val="25BA9CB2"/>
    <w:lvl w:ilvl="0" w:tplc="E4FEA7B4">
      <w:start w:val="1"/>
      <w:numFmt w:val="decimal"/>
      <w:lvlText w:val="%1."/>
      <w:lvlJc w:val="left"/>
      <w:pPr>
        <w:ind w:left="927" w:hanging="360"/>
      </w:pPr>
      <w:rPr>
        <w:rFonts w:cs="Arial"/>
        <w:b w:val="0"/>
      </w:rPr>
    </w:lvl>
    <w:lvl w:ilvl="1" w:tplc="04080019">
      <w:start w:val="1"/>
      <w:numFmt w:val="decimal"/>
      <w:lvlText w:val="%2."/>
      <w:lvlJc w:val="left"/>
      <w:pPr>
        <w:tabs>
          <w:tab w:val="num" w:pos="1647"/>
        </w:tabs>
        <w:ind w:left="1647" w:hanging="360"/>
      </w:pPr>
      <w:rPr>
        <w:rFonts w:cs="Times New Roman"/>
      </w:rPr>
    </w:lvl>
    <w:lvl w:ilvl="2" w:tplc="0408001B">
      <w:start w:val="1"/>
      <w:numFmt w:val="decimal"/>
      <w:lvlText w:val="%3."/>
      <w:lvlJc w:val="left"/>
      <w:pPr>
        <w:tabs>
          <w:tab w:val="num" w:pos="2367"/>
        </w:tabs>
        <w:ind w:left="2367" w:hanging="360"/>
      </w:pPr>
      <w:rPr>
        <w:rFonts w:cs="Times New Roman"/>
      </w:rPr>
    </w:lvl>
    <w:lvl w:ilvl="3" w:tplc="0408000F">
      <w:start w:val="1"/>
      <w:numFmt w:val="decimal"/>
      <w:lvlText w:val="%4."/>
      <w:lvlJc w:val="left"/>
      <w:pPr>
        <w:tabs>
          <w:tab w:val="num" w:pos="3087"/>
        </w:tabs>
        <w:ind w:left="3087" w:hanging="360"/>
      </w:pPr>
      <w:rPr>
        <w:rFonts w:cs="Times New Roman"/>
      </w:rPr>
    </w:lvl>
    <w:lvl w:ilvl="4" w:tplc="04080019">
      <w:start w:val="1"/>
      <w:numFmt w:val="decimal"/>
      <w:lvlText w:val="%5."/>
      <w:lvlJc w:val="left"/>
      <w:pPr>
        <w:tabs>
          <w:tab w:val="num" w:pos="3807"/>
        </w:tabs>
        <w:ind w:left="3807" w:hanging="360"/>
      </w:pPr>
      <w:rPr>
        <w:rFonts w:cs="Times New Roman"/>
      </w:rPr>
    </w:lvl>
    <w:lvl w:ilvl="5" w:tplc="0408001B">
      <w:start w:val="1"/>
      <w:numFmt w:val="decimal"/>
      <w:lvlText w:val="%6."/>
      <w:lvlJc w:val="left"/>
      <w:pPr>
        <w:tabs>
          <w:tab w:val="num" w:pos="4527"/>
        </w:tabs>
        <w:ind w:left="4527" w:hanging="360"/>
      </w:pPr>
      <w:rPr>
        <w:rFonts w:cs="Times New Roman"/>
      </w:rPr>
    </w:lvl>
    <w:lvl w:ilvl="6" w:tplc="0408000F">
      <w:start w:val="1"/>
      <w:numFmt w:val="decimal"/>
      <w:lvlText w:val="%7."/>
      <w:lvlJc w:val="left"/>
      <w:pPr>
        <w:tabs>
          <w:tab w:val="num" w:pos="5247"/>
        </w:tabs>
        <w:ind w:left="5247" w:hanging="360"/>
      </w:pPr>
      <w:rPr>
        <w:rFonts w:cs="Times New Roman"/>
      </w:rPr>
    </w:lvl>
    <w:lvl w:ilvl="7" w:tplc="04080019">
      <w:start w:val="1"/>
      <w:numFmt w:val="decimal"/>
      <w:lvlText w:val="%8."/>
      <w:lvlJc w:val="left"/>
      <w:pPr>
        <w:tabs>
          <w:tab w:val="num" w:pos="5967"/>
        </w:tabs>
        <w:ind w:left="5967" w:hanging="360"/>
      </w:pPr>
      <w:rPr>
        <w:rFonts w:cs="Times New Roman"/>
      </w:rPr>
    </w:lvl>
    <w:lvl w:ilvl="8" w:tplc="0408001B">
      <w:start w:val="1"/>
      <w:numFmt w:val="decimal"/>
      <w:lvlText w:val="%9."/>
      <w:lvlJc w:val="left"/>
      <w:pPr>
        <w:tabs>
          <w:tab w:val="num" w:pos="6687"/>
        </w:tabs>
        <w:ind w:left="6687"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CB2"/>
    <w:rsid w:val="00C71F9D"/>
    <w:rsid w:val="00D51CB2"/>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CB2"/>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51CB2"/>
    <w:pPr>
      <w:tabs>
        <w:tab w:val="center" w:pos="4153"/>
        <w:tab w:val="right" w:pos="8306"/>
      </w:tabs>
    </w:pPr>
  </w:style>
  <w:style w:type="character" w:customStyle="1" w:styleId="FooterChar">
    <w:name w:val="Footer Char"/>
    <w:basedOn w:val="DefaultParagraphFont"/>
    <w:link w:val="Footer"/>
    <w:uiPriority w:val="99"/>
    <w:semiHidden/>
    <w:rsid w:val="00D51CB2"/>
    <w:rPr>
      <w:rFonts w:ascii="Calibri" w:eastAsia="Times New Roman" w:hAnsi="Calibri" w:cs="Times New Roman"/>
    </w:rPr>
  </w:style>
  <w:style w:type="paragraph" w:styleId="BodyText">
    <w:name w:val="Body Text"/>
    <w:basedOn w:val="Normal"/>
    <w:link w:val="BodyTextChar"/>
    <w:uiPriority w:val="99"/>
    <w:rsid w:val="00D51CB2"/>
    <w:pPr>
      <w:widowControl w:val="0"/>
      <w:snapToGrid w:val="0"/>
      <w:ind w:right="576"/>
    </w:pPr>
    <w:rPr>
      <w:rFonts w:ascii="Arial" w:hAnsi="Arial"/>
      <w:sz w:val="20"/>
      <w:szCs w:val="20"/>
      <w:lang w:eastAsia="el-GR"/>
    </w:rPr>
  </w:style>
  <w:style w:type="character" w:customStyle="1" w:styleId="BodyTextChar">
    <w:name w:val="Body Text Char"/>
    <w:basedOn w:val="DefaultParagraphFont"/>
    <w:link w:val="BodyText"/>
    <w:uiPriority w:val="99"/>
    <w:rsid w:val="00D51CB2"/>
    <w:rPr>
      <w:rFonts w:ascii="Arial" w:eastAsia="Times New Roman" w:hAnsi="Arial" w:cs="Times New Roman"/>
      <w:sz w:val="20"/>
      <w:szCs w:val="20"/>
      <w:lang w:eastAsia="el-GR"/>
    </w:rPr>
  </w:style>
  <w:style w:type="character" w:customStyle="1" w:styleId="FontStyle13">
    <w:name w:val="Font Style13"/>
    <w:basedOn w:val="DefaultParagraphFont"/>
    <w:rsid w:val="00D51CB2"/>
    <w:rPr>
      <w:rFonts w:ascii="Book Antiqua" w:hAnsi="Book Antiqua" w:cs="Book Antiqua"/>
      <w:b/>
      <w:bCs/>
      <w:sz w:val="22"/>
      <w:szCs w:val="22"/>
    </w:rPr>
  </w:style>
  <w:style w:type="paragraph" w:styleId="ListParagraph">
    <w:name w:val="List Paragraph"/>
    <w:basedOn w:val="Normal"/>
    <w:uiPriority w:val="34"/>
    <w:qFormat/>
    <w:rsid w:val="00D51CB2"/>
    <w:pPr>
      <w:ind w:left="720"/>
    </w:pPr>
    <w:rPr>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CB2"/>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51CB2"/>
    <w:pPr>
      <w:tabs>
        <w:tab w:val="center" w:pos="4153"/>
        <w:tab w:val="right" w:pos="8306"/>
      </w:tabs>
    </w:pPr>
  </w:style>
  <w:style w:type="character" w:customStyle="1" w:styleId="FooterChar">
    <w:name w:val="Footer Char"/>
    <w:basedOn w:val="DefaultParagraphFont"/>
    <w:link w:val="Footer"/>
    <w:uiPriority w:val="99"/>
    <w:semiHidden/>
    <w:rsid w:val="00D51CB2"/>
    <w:rPr>
      <w:rFonts w:ascii="Calibri" w:eastAsia="Times New Roman" w:hAnsi="Calibri" w:cs="Times New Roman"/>
    </w:rPr>
  </w:style>
  <w:style w:type="paragraph" w:styleId="BodyText">
    <w:name w:val="Body Text"/>
    <w:basedOn w:val="Normal"/>
    <w:link w:val="BodyTextChar"/>
    <w:uiPriority w:val="99"/>
    <w:rsid w:val="00D51CB2"/>
    <w:pPr>
      <w:widowControl w:val="0"/>
      <w:snapToGrid w:val="0"/>
      <w:ind w:right="576"/>
    </w:pPr>
    <w:rPr>
      <w:rFonts w:ascii="Arial" w:hAnsi="Arial"/>
      <w:sz w:val="20"/>
      <w:szCs w:val="20"/>
      <w:lang w:eastAsia="el-GR"/>
    </w:rPr>
  </w:style>
  <w:style w:type="character" w:customStyle="1" w:styleId="BodyTextChar">
    <w:name w:val="Body Text Char"/>
    <w:basedOn w:val="DefaultParagraphFont"/>
    <w:link w:val="BodyText"/>
    <w:uiPriority w:val="99"/>
    <w:rsid w:val="00D51CB2"/>
    <w:rPr>
      <w:rFonts w:ascii="Arial" w:eastAsia="Times New Roman" w:hAnsi="Arial" w:cs="Times New Roman"/>
      <w:sz w:val="20"/>
      <w:szCs w:val="20"/>
      <w:lang w:eastAsia="el-GR"/>
    </w:rPr>
  </w:style>
  <w:style w:type="character" w:customStyle="1" w:styleId="FontStyle13">
    <w:name w:val="Font Style13"/>
    <w:basedOn w:val="DefaultParagraphFont"/>
    <w:rsid w:val="00D51CB2"/>
    <w:rPr>
      <w:rFonts w:ascii="Book Antiqua" w:hAnsi="Book Antiqua" w:cs="Book Antiqua"/>
      <w:b/>
      <w:bCs/>
      <w:sz w:val="22"/>
      <w:szCs w:val="22"/>
    </w:rPr>
  </w:style>
  <w:style w:type="paragraph" w:styleId="ListParagraph">
    <w:name w:val="List Paragraph"/>
    <w:basedOn w:val="Normal"/>
    <w:uiPriority w:val="34"/>
    <w:qFormat/>
    <w:rsid w:val="00D51CB2"/>
    <w:pPr>
      <w:ind w:left="720"/>
    </w:pPr>
    <w:rPr>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Μωραίτη Μαρία</dc:creator>
  <cp:lastModifiedBy>Μωραίτη Μαρία</cp:lastModifiedBy>
  <cp:revision>1</cp:revision>
  <dcterms:created xsi:type="dcterms:W3CDTF">2012-01-20T14:30:00Z</dcterms:created>
  <dcterms:modified xsi:type="dcterms:W3CDTF">2012-01-20T14:30:00Z</dcterms:modified>
</cp:coreProperties>
</file>