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67" w:rsidRDefault="004C6867" w:rsidP="004C6867">
      <w:pPr>
        <w:jc w:val="center"/>
        <w:outlineLvl w:val="0"/>
        <w:rPr>
          <w:rFonts w:ascii="Century Gothic" w:eastAsia="Arial Unicode MS" w:hAnsi="Century Gothic" w:cs="Arial Unicode MS"/>
          <w:b/>
          <w:sz w:val="20"/>
          <w:u w:val="single"/>
          <w:lang w:val="en-US"/>
        </w:rPr>
      </w:pPr>
    </w:p>
    <w:p w:rsidR="004C6867" w:rsidRDefault="004C6867" w:rsidP="004C6867">
      <w:pPr>
        <w:jc w:val="center"/>
        <w:outlineLvl w:val="0"/>
        <w:rPr>
          <w:rFonts w:ascii="Century Gothic" w:eastAsia="Arial Unicode MS" w:hAnsi="Century Gothic" w:cs="Arial Unicode MS"/>
          <w:b/>
          <w:sz w:val="20"/>
          <w:u w:val="single"/>
          <w:lang w:val="en-US"/>
        </w:rPr>
      </w:pPr>
    </w:p>
    <w:p w:rsidR="004C6867" w:rsidRPr="001E1D2A" w:rsidRDefault="00105F14" w:rsidP="004C6867">
      <w:pPr>
        <w:jc w:val="center"/>
        <w:outlineLvl w:val="0"/>
        <w:rPr>
          <w:rFonts w:ascii="Century Gothic" w:eastAsia="Arial Unicode MS" w:hAnsi="Century Gothic" w:cs="Arial Unicode MS"/>
          <w:sz w:val="20"/>
        </w:rPr>
      </w:pPr>
      <w:r>
        <w:rPr>
          <w:rFonts w:ascii="Century Gothic" w:eastAsia="Arial Unicode MS" w:hAnsi="Century Gothic" w:cs="Arial Unicode MS"/>
          <w:b/>
          <w:sz w:val="20"/>
          <w:u w:val="single"/>
        </w:rPr>
        <w:t xml:space="preserve">ΟΡΙΣΤΙΚΟΠΟΙΗΣΗ </w:t>
      </w:r>
      <w:r w:rsidR="004C6867" w:rsidRPr="00947BF6">
        <w:rPr>
          <w:rFonts w:ascii="Century Gothic" w:eastAsia="Arial Unicode MS" w:hAnsi="Century Gothic" w:cs="Arial Unicode MS"/>
          <w:b/>
          <w:sz w:val="20"/>
          <w:u w:val="single"/>
        </w:rPr>
        <w:t>ΑΠΟΤΕΛΕΣΜ</w:t>
      </w:r>
      <w:r>
        <w:rPr>
          <w:rFonts w:ascii="Century Gothic" w:eastAsia="Arial Unicode MS" w:hAnsi="Century Gothic" w:cs="Arial Unicode MS"/>
          <w:b/>
          <w:sz w:val="20"/>
          <w:u w:val="single"/>
        </w:rPr>
        <w:t>ΑΤΩΝ</w:t>
      </w:r>
      <w:r w:rsidR="004C6867" w:rsidRPr="00947BF6">
        <w:rPr>
          <w:rFonts w:ascii="Century Gothic" w:eastAsia="Arial Unicode MS" w:hAnsi="Century Gothic" w:cs="Arial Unicode MS"/>
          <w:b/>
          <w:sz w:val="20"/>
          <w:u w:val="single"/>
        </w:rPr>
        <w:t xml:space="preserve"> </w:t>
      </w:r>
      <w:r w:rsidR="004C6867">
        <w:rPr>
          <w:rFonts w:ascii="Century Gothic" w:eastAsia="Arial Unicode MS" w:hAnsi="Century Gothic" w:cs="Arial Unicode MS"/>
          <w:b/>
          <w:sz w:val="20"/>
          <w:u w:val="single"/>
          <w:lang w:val="en-US"/>
        </w:rPr>
        <w:t>TAKTIKOY</w:t>
      </w:r>
      <w:r w:rsidR="004C6867" w:rsidRPr="00BE28EB">
        <w:rPr>
          <w:rFonts w:ascii="Century Gothic" w:eastAsia="Arial Unicode MS" w:hAnsi="Century Gothic" w:cs="Arial Unicode MS"/>
          <w:b/>
          <w:sz w:val="20"/>
          <w:u w:val="single"/>
        </w:rPr>
        <w:t xml:space="preserve"> </w:t>
      </w:r>
      <w:r w:rsidR="004C6867" w:rsidRPr="00947BF6">
        <w:rPr>
          <w:rFonts w:ascii="Century Gothic" w:eastAsia="Arial Unicode MS" w:hAnsi="Century Gothic" w:cs="Arial Unicode MS"/>
          <w:b/>
          <w:sz w:val="20"/>
          <w:u w:val="single"/>
        </w:rPr>
        <w:t xml:space="preserve">ΦΟΡΟΛΟΓΙΚΟΥ ΕΛΕΓΧΟΥ </w:t>
      </w:r>
      <w:r w:rsidR="004C6867">
        <w:rPr>
          <w:rFonts w:ascii="Century Gothic" w:eastAsia="Arial Unicode MS" w:hAnsi="Century Gothic" w:cs="Arial Unicode MS"/>
          <w:b/>
          <w:sz w:val="20"/>
          <w:u w:val="single"/>
        </w:rPr>
        <w:t xml:space="preserve">ΧΡΗΣΕΩΝ </w:t>
      </w:r>
      <w:r w:rsidR="004C6867" w:rsidRPr="002C46CB">
        <w:rPr>
          <w:rFonts w:ascii="Century Gothic" w:eastAsia="Arial Unicode MS" w:hAnsi="Century Gothic" w:cs="Arial Unicode MS"/>
          <w:b/>
          <w:sz w:val="20"/>
          <w:u w:val="single"/>
        </w:rPr>
        <w:t>200</w:t>
      </w:r>
      <w:r w:rsidR="004C6867">
        <w:rPr>
          <w:rFonts w:ascii="Century Gothic" w:eastAsia="Arial Unicode MS" w:hAnsi="Century Gothic" w:cs="Arial Unicode MS"/>
          <w:b/>
          <w:sz w:val="20"/>
          <w:u w:val="single"/>
        </w:rPr>
        <w:t>8-2009</w:t>
      </w:r>
    </w:p>
    <w:p w:rsidR="004C6867" w:rsidRDefault="004C6867" w:rsidP="004C6867">
      <w:pPr>
        <w:jc w:val="both"/>
        <w:rPr>
          <w:rFonts w:ascii="Century Gothic" w:eastAsia="Arial Unicode MS" w:hAnsi="Century Gothic" w:cs="Arial Unicode MS"/>
          <w:sz w:val="20"/>
        </w:rPr>
      </w:pPr>
    </w:p>
    <w:p w:rsidR="003A139C" w:rsidRDefault="004C6867" w:rsidP="00CE4560">
      <w:p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Η </w:t>
      </w:r>
      <w:r w:rsidRPr="00AE2902">
        <w:rPr>
          <w:rFonts w:ascii="Century Gothic" w:hAnsi="Century Gothic"/>
          <w:sz w:val="20"/>
          <w:szCs w:val="20"/>
        </w:rPr>
        <w:t>ΑΕΓΕΚ</w:t>
      </w:r>
      <w:r>
        <w:rPr>
          <w:rFonts w:ascii="Century Gothic" w:hAnsi="Century Gothic"/>
          <w:sz w:val="20"/>
          <w:szCs w:val="20"/>
        </w:rPr>
        <w:t xml:space="preserve">, </w:t>
      </w:r>
      <w:r w:rsidRPr="00D83ACD">
        <w:rPr>
          <w:rFonts w:ascii="Century Gothic" w:hAnsi="Century Gothic"/>
          <w:i/>
          <w:sz w:val="20"/>
          <w:szCs w:val="20"/>
        </w:rPr>
        <w:t>σύμφωνα με τις διατάξεις τη</w:t>
      </w:r>
      <w:r w:rsidR="00010A7B">
        <w:rPr>
          <w:rFonts w:ascii="Century Gothic" w:hAnsi="Century Gothic"/>
          <w:i/>
          <w:sz w:val="20"/>
          <w:szCs w:val="20"/>
        </w:rPr>
        <w:t xml:space="preserve">ς παραγράφου 4.1.3.1, εδάφιο ιβ’ </w:t>
      </w:r>
      <w:r w:rsidRPr="00D83ACD">
        <w:rPr>
          <w:rFonts w:ascii="Century Gothic" w:hAnsi="Century Gothic"/>
          <w:i/>
          <w:sz w:val="20"/>
          <w:szCs w:val="20"/>
        </w:rPr>
        <w:t xml:space="preserve">του </w:t>
      </w:r>
      <w:r w:rsidR="00CE4560">
        <w:rPr>
          <w:rFonts w:ascii="Century Gothic" w:hAnsi="Century Gothic"/>
          <w:i/>
          <w:sz w:val="20"/>
          <w:szCs w:val="20"/>
        </w:rPr>
        <w:t>Κ</w:t>
      </w:r>
      <w:r>
        <w:rPr>
          <w:rFonts w:ascii="Century Gothic" w:hAnsi="Century Gothic"/>
          <w:i/>
          <w:sz w:val="20"/>
          <w:szCs w:val="20"/>
        </w:rPr>
        <w:t>ανονισμού</w:t>
      </w:r>
      <w:r w:rsidRPr="00D83ACD">
        <w:rPr>
          <w:rFonts w:ascii="Century Gothic" w:hAnsi="Century Gothic"/>
          <w:i/>
          <w:sz w:val="20"/>
          <w:szCs w:val="20"/>
        </w:rPr>
        <w:t xml:space="preserve"> του Χ.Α.</w:t>
      </w:r>
      <w:r>
        <w:rPr>
          <w:rFonts w:ascii="Century Gothic" w:hAnsi="Century Gothic"/>
          <w:sz w:val="20"/>
          <w:szCs w:val="20"/>
        </w:rPr>
        <w:t>,</w:t>
      </w:r>
      <w:r w:rsidRPr="00AE2902">
        <w:rPr>
          <w:rFonts w:ascii="Century Gothic" w:hAnsi="Century Gothic"/>
          <w:sz w:val="20"/>
          <w:szCs w:val="20"/>
        </w:rPr>
        <w:t xml:space="preserve"> </w:t>
      </w:r>
      <w:r w:rsidR="00CE4560" w:rsidRPr="003A139C">
        <w:rPr>
          <w:rFonts w:ascii="Century Gothic" w:hAnsi="Century Gothic"/>
          <w:i/>
          <w:sz w:val="20"/>
          <w:szCs w:val="20"/>
        </w:rPr>
        <w:t xml:space="preserve">και σε συνέχεια σχετικής ανακοίνωσης </w:t>
      </w:r>
      <w:r w:rsidR="008028DC">
        <w:rPr>
          <w:rFonts w:ascii="Century Gothic" w:hAnsi="Century Gothic"/>
          <w:i/>
          <w:sz w:val="20"/>
          <w:szCs w:val="20"/>
        </w:rPr>
        <w:t>για την</w:t>
      </w:r>
      <w:r w:rsidR="00CE4560" w:rsidRPr="003A139C">
        <w:rPr>
          <w:rFonts w:ascii="Century Gothic" w:hAnsi="Century Gothic"/>
          <w:i/>
          <w:sz w:val="20"/>
          <w:szCs w:val="20"/>
        </w:rPr>
        <w:t xml:space="preserve"> ολοκλήρωση του τακτικού </w:t>
      </w:r>
      <w:r w:rsidR="008028DC">
        <w:rPr>
          <w:rFonts w:ascii="Century Gothic" w:hAnsi="Century Gothic"/>
          <w:i/>
          <w:sz w:val="20"/>
          <w:szCs w:val="20"/>
        </w:rPr>
        <w:t xml:space="preserve">φορολογικού </w:t>
      </w:r>
      <w:r w:rsidR="00CE4560" w:rsidRPr="003A139C">
        <w:rPr>
          <w:rFonts w:ascii="Century Gothic" w:hAnsi="Century Gothic"/>
          <w:i/>
          <w:sz w:val="20"/>
          <w:szCs w:val="20"/>
        </w:rPr>
        <w:t>ελέγχου των χρήσεων 2008 – 2009 που δημοσιεύθηκε στο δικτυακό χώρο της εταιρίας και του Χρηματιστηρίου Αθηνών στις 04.04.2011</w:t>
      </w:r>
      <w:r w:rsidR="001C2883">
        <w:rPr>
          <w:rFonts w:ascii="Century Gothic" w:hAnsi="Century Gothic"/>
          <w:sz w:val="20"/>
          <w:szCs w:val="20"/>
        </w:rPr>
        <w:t>,</w:t>
      </w:r>
      <w:r w:rsidR="00CE4560" w:rsidRPr="00CE456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ενημερώνει το επενδυτικό κοινό ότι </w:t>
      </w:r>
      <w:r w:rsidR="003A139C">
        <w:rPr>
          <w:rFonts w:ascii="Century Gothic" w:hAnsi="Century Gothic"/>
          <w:sz w:val="20"/>
          <w:szCs w:val="20"/>
        </w:rPr>
        <w:t>επήλθε διοικητική επίλυση της εκκρεμούσας διαφοράς με τις φορολογικές αρχές</w:t>
      </w:r>
      <w:r w:rsidR="00010A7B">
        <w:rPr>
          <w:rFonts w:ascii="Century Gothic" w:hAnsi="Century Gothic"/>
          <w:sz w:val="20"/>
          <w:szCs w:val="20"/>
        </w:rPr>
        <w:t xml:space="preserve">, </w:t>
      </w:r>
      <w:r w:rsidR="00936546">
        <w:rPr>
          <w:rFonts w:ascii="Century Gothic" w:hAnsi="Century Gothic"/>
          <w:sz w:val="20"/>
          <w:szCs w:val="20"/>
        </w:rPr>
        <w:t xml:space="preserve">με </w:t>
      </w:r>
      <w:r w:rsidR="00E65A9D">
        <w:rPr>
          <w:rFonts w:ascii="Century Gothic" w:hAnsi="Century Gothic"/>
          <w:sz w:val="20"/>
          <w:szCs w:val="20"/>
        </w:rPr>
        <w:t>πρακτικό</w:t>
      </w:r>
      <w:r w:rsidR="00936546">
        <w:rPr>
          <w:rFonts w:ascii="Century Gothic" w:hAnsi="Century Gothic"/>
          <w:sz w:val="20"/>
          <w:szCs w:val="20"/>
        </w:rPr>
        <w:t xml:space="preserve"> της Επιτροπής του</w:t>
      </w:r>
      <w:r w:rsidR="00010A7B">
        <w:rPr>
          <w:rFonts w:ascii="Century Gothic" w:hAnsi="Century Gothic"/>
          <w:sz w:val="20"/>
          <w:szCs w:val="20"/>
        </w:rPr>
        <w:t xml:space="preserve"> άρθρο</w:t>
      </w:r>
      <w:r w:rsidR="00936546">
        <w:rPr>
          <w:rFonts w:ascii="Century Gothic" w:hAnsi="Century Gothic"/>
          <w:sz w:val="20"/>
          <w:szCs w:val="20"/>
        </w:rPr>
        <w:t>υ</w:t>
      </w:r>
      <w:r w:rsidR="00010A7B">
        <w:rPr>
          <w:rFonts w:ascii="Century Gothic" w:hAnsi="Century Gothic"/>
          <w:sz w:val="20"/>
          <w:szCs w:val="20"/>
        </w:rPr>
        <w:t xml:space="preserve"> 70</w:t>
      </w:r>
      <w:r w:rsidR="00010A7B" w:rsidRPr="00010A7B">
        <w:rPr>
          <w:rFonts w:ascii="Century Gothic" w:hAnsi="Century Gothic"/>
          <w:sz w:val="20"/>
          <w:szCs w:val="20"/>
          <w:vertAlign w:val="superscript"/>
        </w:rPr>
        <w:t>Α</w:t>
      </w:r>
      <w:r w:rsidR="00010A7B">
        <w:rPr>
          <w:rFonts w:ascii="Century Gothic" w:hAnsi="Century Gothic"/>
          <w:sz w:val="20"/>
          <w:szCs w:val="20"/>
        </w:rPr>
        <w:t xml:space="preserve"> </w:t>
      </w:r>
      <w:r w:rsidR="00C849E0">
        <w:rPr>
          <w:rFonts w:ascii="Century Gothic" w:hAnsi="Century Gothic"/>
          <w:sz w:val="20"/>
          <w:szCs w:val="20"/>
        </w:rPr>
        <w:t xml:space="preserve">του </w:t>
      </w:r>
      <w:r w:rsidR="00010A7B">
        <w:rPr>
          <w:rFonts w:ascii="Century Gothic" w:hAnsi="Century Gothic"/>
          <w:sz w:val="20"/>
          <w:szCs w:val="20"/>
        </w:rPr>
        <w:t>Κ.Φ.Ε.</w:t>
      </w:r>
      <w:r w:rsidR="003A139C">
        <w:rPr>
          <w:rFonts w:ascii="Century Gothic" w:hAnsi="Century Gothic"/>
          <w:sz w:val="20"/>
          <w:szCs w:val="20"/>
        </w:rPr>
        <w:t xml:space="preserve"> </w:t>
      </w:r>
    </w:p>
    <w:p w:rsidR="003A139C" w:rsidRDefault="003A139C" w:rsidP="00CE4560">
      <w:p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</w:p>
    <w:p w:rsidR="003A139C" w:rsidRPr="003A139C" w:rsidRDefault="003A139C" w:rsidP="003A139C">
      <w:p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Συγκεκριμένα σ</w:t>
      </w:r>
      <w:r w:rsidR="00CE4560" w:rsidRPr="00CE4560">
        <w:rPr>
          <w:rFonts w:ascii="Century Gothic" w:hAnsi="Century Gothic"/>
          <w:sz w:val="20"/>
          <w:szCs w:val="20"/>
        </w:rPr>
        <w:t xml:space="preserve">το πλαίσιο τακτικού φορολογικού ελέγχου </w:t>
      </w:r>
      <w:r w:rsidR="00732F7B">
        <w:rPr>
          <w:rFonts w:ascii="Century Gothic" w:hAnsi="Century Gothic"/>
          <w:sz w:val="20"/>
          <w:szCs w:val="20"/>
        </w:rPr>
        <w:t xml:space="preserve">της εταιρίας </w:t>
      </w:r>
      <w:r w:rsidR="00CE4560" w:rsidRPr="00CE4560">
        <w:rPr>
          <w:rFonts w:ascii="Century Gothic" w:hAnsi="Century Gothic"/>
          <w:sz w:val="20"/>
          <w:szCs w:val="20"/>
        </w:rPr>
        <w:t xml:space="preserve">για τις χρήσεις 2008 και 2009, </w:t>
      </w:r>
      <w:r w:rsidR="00732F7B">
        <w:rPr>
          <w:rFonts w:ascii="Century Gothic" w:hAnsi="Century Gothic"/>
          <w:sz w:val="20"/>
          <w:szCs w:val="20"/>
        </w:rPr>
        <w:t xml:space="preserve">που ολοκληρώθηκε τον Απρίλιο 2011, από το συνολικό καταλογισθέν </w:t>
      </w:r>
      <w:r>
        <w:rPr>
          <w:rFonts w:ascii="Century Gothic" w:hAnsi="Century Gothic"/>
          <w:sz w:val="20"/>
          <w:szCs w:val="20"/>
        </w:rPr>
        <w:t xml:space="preserve">(με τις προσαυξήσεις) </w:t>
      </w:r>
      <w:r w:rsidR="00732F7B" w:rsidRPr="00F903E1">
        <w:rPr>
          <w:rFonts w:ascii="Century Gothic" w:hAnsi="Century Gothic"/>
          <w:sz w:val="20"/>
          <w:szCs w:val="20"/>
        </w:rPr>
        <w:t xml:space="preserve">ποσό των </w:t>
      </w:r>
      <w:r w:rsidR="00732F7B" w:rsidRPr="007E1FD7">
        <w:rPr>
          <w:rFonts w:ascii="Century Gothic" w:hAnsi="Century Gothic"/>
          <w:sz w:val="20"/>
          <w:szCs w:val="20"/>
        </w:rPr>
        <w:t>8.404.910,56</w:t>
      </w:r>
      <w:r w:rsidR="00732F7B" w:rsidRPr="00F2650E">
        <w:rPr>
          <w:rFonts w:ascii="Century Gothic" w:hAnsi="Century Gothic"/>
          <w:sz w:val="20"/>
          <w:szCs w:val="20"/>
        </w:rPr>
        <w:t xml:space="preserve"> ευρώ</w:t>
      </w:r>
      <w:r>
        <w:rPr>
          <w:rFonts w:ascii="Century Gothic" w:hAnsi="Century Gothic"/>
          <w:sz w:val="20"/>
          <w:szCs w:val="20"/>
        </w:rPr>
        <w:t>, για μέρος αυτού ανερχόμενο σε</w:t>
      </w:r>
      <w:r w:rsidR="009A5112">
        <w:rPr>
          <w:rFonts w:ascii="Century Gothic" w:hAnsi="Century Gothic"/>
          <w:sz w:val="20"/>
          <w:szCs w:val="20"/>
        </w:rPr>
        <w:t xml:space="preserve"> </w:t>
      </w:r>
      <w:r w:rsidRPr="00CE4560">
        <w:rPr>
          <w:rFonts w:ascii="Century Gothic" w:hAnsi="Century Gothic"/>
          <w:sz w:val="20"/>
          <w:szCs w:val="20"/>
        </w:rPr>
        <w:t>7.765.368,40 ευρώ</w:t>
      </w:r>
      <w:r w:rsidR="009A5112">
        <w:rPr>
          <w:rFonts w:ascii="Century Gothic" w:hAnsi="Century Gothic"/>
          <w:sz w:val="20"/>
          <w:szCs w:val="20"/>
        </w:rPr>
        <w:t xml:space="preserve"> (ποσό </w:t>
      </w:r>
      <w:r w:rsidR="009A5112" w:rsidRPr="00CE4560">
        <w:rPr>
          <w:rFonts w:ascii="Century Gothic" w:hAnsi="Century Gothic"/>
          <w:sz w:val="20"/>
          <w:szCs w:val="20"/>
        </w:rPr>
        <w:t>5.298.051,96 ευρώ, μετά προσαυξήσεων και λοιπών τελών, ύψους 2.467.316,44 ευρώ</w:t>
      </w:r>
      <w:r w:rsidR="009A5112"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>, οφειλόμενου σε διαφορές φόρου εισοδήματος</w:t>
      </w:r>
      <w:r w:rsidR="005917EB">
        <w:rPr>
          <w:rFonts w:ascii="Century Gothic" w:hAnsi="Century Gothic"/>
          <w:sz w:val="20"/>
          <w:szCs w:val="20"/>
        </w:rPr>
        <w:t xml:space="preserve"> οικονομικού έτους 2009</w:t>
      </w:r>
      <w:r w:rsidR="005F7841">
        <w:rPr>
          <w:rFonts w:ascii="Century Gothic" w:hAnsi="Century Gothic"/>
          <w:sz w:val="20"/>
          <w:szCs w:val="20"/>
        </w:rPr>
        <w:t xml:space="preserve">, επήλθε διοικητική επίλυση της διαφοράς </w:t>
      </w:r>
      <w:r w:rsidR="005917EB">
        <w:rPr>
          <w:rFonts w:ascii="Century Gothic" w:hAnsi="Century Gothic"/>
          <w:sz w:val="20"/>
          <w:szCs w:val="20"/>
        </w:rPr>
        <w:t>και προσδιορίσθηκε αναλογούν φόρος προς καταβολή ποσού 150.98</w:t>
      </w:r>
      <w:r w:rsidR="00E66F01">
        <w:rPr>
          <w:rFonts w:ascii="Century Gothic" w:hAnsi="Century Gothic"/>
          <w:sz w:val="20"/>
          <w:szCs w:val="20"/>
        </w:rPr>
        <w:t>3</w:t>
      </w:r>
      <w:r w:rsidR="005917EB">
        <w:rPr>
          <w:rFonts w:ascii="Century Gothic" w:hAnsi="Century Gothic"/>
          <w:sz w:val="20"/>
          <w:szCs w:val="20"/>
        </w:rPr>
        <w:t>,20</w:t>
      </w:r>
      <w:r w:rsidRPr="00CE4560">
        <w:rPr>
          <w:rFonts w:ascii="Century Gothic" w:hAnsi="Century Gothic"/>
          <w:sz w:val="20"/>
          <w:szCs w:val="20"/>
        </w:rPr>
        <w:t xml:space="preserve"> </w:t>
      </w:r>
      <w:r w:rsidR="005917EB">
        <w:rPr>
          <w:rFonts w:ascii="Century Gothic" w:hAnsi="Century Gothic"/>
          <w:sz w:val="20"/>
          <w:szCs w:val="20"/>
        </w:rPr>
        <w:t>ευρώ.</w:t>
      </w:r>
      <w:r w:rsidR="004D33A4">
        <w:rPr>
          <w:rFonts w:ascii="Century Gothic" w:hAnsi="Century Gothic"/>
          <w:sz w:val="20"/>
          <w:szCs w:val="20"/>
        </w:rPr>
        <w:t xml:space="preserve"> Βάσει της ίδιας διοικητική επίλυσης πραγματοποιήθηκε περιορισμένη μεταβολή των καταλογισθέντων ποσών η οποία ανέρχεται συνολικά στο ποσό των  6.785,05 ευρώ.</w:t>
      </w:r>
    </w:p>
    <w:p w:rsidR="004D33A4" w:rsidRDefault="004D33A4" w:rsidP="004D33A4">
      <w:p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</w:p>
    <w:p w:rsidR="004D33A4" w:rsidRDefault="004D33A4" w:rsidP="004D33A4">
      <w:p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  <w:r w:rsidRPr="004D33A4">
        <w:rPr>
          <w:rFonts w:ascii="Century Gothic" w:hAnsi="Century Gothic"/>
          <w:sz w:val="20"/>
          <w:szCs w:val="20"/>
        </w:rPr>
        <w:t>Το σύνολο των φόρων που προέκυψε κατά τον εν λόγω έλεγχο, με τις επ</w:t>
      </w:r>
      <w:r>
        <w:rPr>
          <w:rFonts w:ascii="Century Gothic" w:hAnsi="Century Gothic"/>
          <w:sz w:val="20"/>
          <w:szCs w:val="20"/>
        </w:rPr>
        <w:t>’</w:t>
      </w:r>
      <w:r w:rsidRPr="004D33A4">
        <w:rPr>
          <w:rFonts w:ascii="Century Gothic" w:hAnsi="Century Gothic"/>
          <w:sz w:val="20"/>
          <w:szCs w:val="20"/>
        </w:rPr>
        <w:t xml:space="preserve"> αυτού προσαυξήσεις, ανέρχεται στο ποσό των </w:t>
      </w:r>
      <w:r>
        <w:rPr>
          <w:rFonts w:ascii="Century Gothic" w:hAnsi="Century Gothic"/>
          <w:sz w:val="20"/>
          <w:szCs w:val="20"/>
        </w:rPr>
        <w:t xml:space="preserve">669.142,93 ευρώ μειωμένο κατά 7.735.767,63 ευρώ σε σχέση με το αρχικώς καταλογισθέν ποσό των </w:t>
      </w:r>
      <w:r w:rsidRPr="004D33A4">
        <w:rPr>
          <w:rFonts w:ascii="Century Gothic" w:hAnsi="Century Gothic"/>
          <w:sz w:val="20"/>
          <w:szCs w:val="20"/>
        </w:rPr>
        <w:t>8.404.910,56 ευρώ, όπως αναλυτικά παρατίθεται στους ακόλουθους πίνακες (ποσά σε ευρώ):</w:t>
      </w:r>
    </w:p>
    <w:p w:rsidR="004D33A4" w:rsidRPr="004D33A4" w:rsidRDefault="004D33A4" w:rsidP="004D33A4">
      <w:pPr>
        <w:tabs>
          <w:tab w:val="left" w:pos="0"/>
        </w:tabs>
        <w:jc w:val="both"/>
        <w:rPr>
          <w:rFonts w:ascii="Century Gothic" w:hAnsi="Century Gothic"/>
          <w:sz w:val="20"/>
          <w:szCs w:val="20"/>
        </w:rPr>
      </w:pPr>
    </w:p>
    <w:tbl>
      <w:tblPr>
        <w:tblW w:w="10866" w:type="dxa"/>
        <w:tblInd w:w="-1026" w:type="dxa"/>
        <w:tblCellMar>
          <w:left w:w="0" w:type="dxa"/>
          <w:right w:w="0" w:type="dxa"/>
        </w:tblCellMar>
        <w:tblLook w:val="04A0"/>
      </w:tblPr>
      <w:tblGrid>
        <w:gridCol w:w="1101"/>
        <w:gridCol w:w="1408"/>
        <w:gridCol w:w="1318"/>
        <w:gridCol w:w="1418"/>
        <w:gridCol w:w="1741"/>
        <w:gridCol w:w="1242"/>
        <w:gridCol w:w="1245"/>
        <w:gridCol w:w="1393"/>
      </w:tblGrid>
      <w:tr w:rsidR="002F7694" w:rsidRPr="004D33A4" w:rsidTr="00CA6528">
        <w:trPr>
          <w:trHeight w:val="20"/>
        </w:trPr>
        <w:tc>
          <w:tcPr>
            <w:tcW w:w="108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694" w:rsidRPr="004D33A4" w:rsidRDefault="002F7694" w:rsidP="004D33A4">
            <w:pPr>
              <w:spacing w:before="100" w:beforeAutospacing="1" w:after="100" w:afterAutospacing="1" w:line="20" w:lineRule="atLeast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ΦΟΡΟΣ ΕΙΣΟΔΗΜΑΤΟΣ</w:t>
            </w:r>
          </w:p>
        </w:tc>
      </w:tr>
      <w:tr w:rsidR="002F7694" w:rsidRPr="004D33A4" w:rsidTr="00CA6528">
        <w:trPr>
          <w:trHeight w:val="2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4D33A4" w:rsidRDefault="002F7694" w:rsidP="004D33A4">
            <w:pPr>
              <w:rPr>
                <w:sz w:val="2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4D33A4" w:rsidRDefault="002F7694" w:rsidP="002F7694">
            <w:pPr>
              <w:spacing w:before="100" w:beforeAutospacing="1" w:after="100" w:afterAutospacing="1" w:line="20" w:lineRule="atLeast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ΛΟΓΙΣΤΙΚΕΣ ΔΙΑΦΟΡΕΣ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2F7694" w:rsidP="002F7694">
            <w:pPr>
              <w:spacing w:before="100" w:beforeAutospacing="1" w:after="100" w:afterAutospacing="1" w:line="20" w:lineRule="atLeast"/>
              <w:jc w:val="center"/>
            </w:pPr>
            <w:r w:rsidRPr="000E7D09">
              <w:rPr>
                <w:rFonts w:ascii="Verdana" w:hAnsi="Verdana"/>
                <w:b/>
                <w:bCs/>
                <w:sz w:val="16"/>
                <w:szCs w:val="16"/>
              </w:rPr>
              <w:t>ΥΠΟΛΟΙΠΟ ΦΟΡΟΥ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A40932" w:rsidP="00A40932">
            <w:pPr>
              <w:spacing w:before="100" w:beforeAutospacing="1" w:after="100" w:afterAutospacing="1" w:line="20" w:lineRule="atLeast"/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ΣΥΜΠΛΗΡ. ΦΟΡΟΣ 3%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2F7694" w:rsidP="002F7694">
            <w:pPr>
              <w:spacing w:before="100" w:beforeAutospacing="1" w:after="100" w:afterAutospacing="1" w:line="20" w:lineRule="atLeast"/>
              <w:jc w:val="center"/>
            </w:pPr>
            <w:r w:rsidRPr="000E7D09">
              <w:rPr>
                <w:rFonts w:ascii="Verdana" w:hAnsi="Verdana"/>
                <w:b/>
                <w:bCs/>
                <w:sz w:val="16"/>
                <w:szCs w:val="16"/>
              </w:rPr>
              <w:t>ΠΡΟΣΘΕΤΟ ΠΟΣΟΣΤΟ ΦΟΡΟΥ ΛΟΓΩ ΑΝΑΚΡΙΒΕΙΑΣ, ΣΤΗ ΔΙΑΦΟΡΑ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2F7694" w:rsidP="002F7694">
            <w:pPr>
              <w:spacing w:before="100" w:beforeAutospacing="1" w:after="100" w:afterAutospacing="1" w:line="20" w:lineRule="atLeast"/>
              <w:jc w:val="center"/>
            </w:pPr>
            <w:r w:rsidRPr="000E7D09">
              <w:rPr>
                <w:rFonts w:ascii="Verdana" w:hAnsi="Verdana"/>
                <w:b/>
                <w:bCs/>
                <w:sz w:val="16"/>
                <w:szCs w:val="16"/>
              </w:rPr>
              <w:t>ΣΥΝΟΛΙΚΗ ΑΞΙΑ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94" w:rsidRPr="004D33A4" w:rsidRDefault="002F7694" w:rsidP="002F7694">
            <w:pPr>
              <w:spacing w:before="100" w:beforeAutospacing="1" w:after="100" w:afterAutospacing="1" w:line="20" w:lineRule="atLeast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ΣΥΝΟΛΙΚΗ ΑΞΙΑ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4/4/2011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94" w:rsidRPr="004D33A4" w:rsidRDefault="002F7694" w:rsidP="002F7694">
            <w:pPr>
              <w:spacing w:before="100" w:beforeAutospacing="1" w:after="100" w:afterAutospacing="1" w:line="2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ΔΙΑΦΟΡΑ ΔΙΟΙΚΗΤΙΚΗΣ ΕΠΙΛΥΣΗΣ</w:t>
            </w:r>
          </w:p>
        </w:tc>
      </w:tr>
      <w:tr w:rsidR="002F7694" w:rsidRPr="004D33A4" w:rsidTr="00CA6528">
        <w:trPr>
          <w:trHeight w:val="33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4D33A4" w:rsidRDefault="002F7694" w:rsidP="00CA6528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sz w:val="16"/>
                <w:szCs w:val="16"/>
              </w:rPr>
              <w:t>2008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4D33A4" w:rsidRDefault="002F7694" w:rsidP="00CA6528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630.466,15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CB6489" w:rsidP="00CA6528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627,26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A40932" w:rsidP="00CA6528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25.177,12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22357E" w:rsidP="00CA6528">
            <w:pPr>
              <w:spacing w:before="100" w:beforeAutospacing="1" w:after="100" w:afterAutospacing="1"/>
              <w:jc w:val="right"/>
            </w:pPr>
            <w:r w:rsidRPr="000E7D09">
              <w:rPr>
                <w:rFonts w:ascii="Verdana" w:hAnsi="Verdana"/>
                <w:sz w:val="16"/>
                <w:szCs w:val="16"/>
              </w:rPr>
              <w:t>12.695,75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2F7694" w:rsidP="00CA6528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0E7D09">
              <w:rPr>
                <w:rFonts w:ascii="Verdana" w:hAnsi="Verdana"/>
                <w:sz w:val="16"/>
                <w:szCs w:val="16"/>
              </w:rPr>
              <w:t>38.500,13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94" w:rsidRPr="004D33A4" w:rsidRDefault="002F7694" w:rsidP="00CA6528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4D33A4">
              <w:rPr>
                <w:rFonts w:ascii="Verdana" w:hAnsi="Verdana"/>
                <w:sz w:val="16"/>
                <w:szCs w:val="16"/>
              </w:rPr>
              <w:t>7.765.368,40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94" w:rsidRPr="004D33A4" w:rsidRDefault="002F7694" w:rsidP="00CA6528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-7.726.868,27</w:t>
            </w:r>
          </w:p>
        </w:tc>
      </w:tr>
      <w:tr w:rsidR="002F7694" w:rsidRPr="004D33A4" w:rsidTr="00CA6528">
        <w:trPr>
          <w:trHeight w:val="33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4D33A4" w:rsidRDefault="002F7694" w:rsidP="00CA6528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sz w:val="16"/>
                <w:szCs w:val="16"/>
              </w:rPr>
              <w:t>2009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4D33A4" w:rsidRDefault="002F7694" w:rsidP="00CA6528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280.570,93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55632B" w:rsidP="00CA6528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53.783,19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55632B" w:rsidP="00CA6528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29.661,23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22357E" w:rsidP="00CA6528">
            <w:pPr>
              <w:spacing w:before="100" w:beforeAutospacing="1" w:after="100" w:afterAutospacing="1"/>
              <w:jc w:val="right"/>
            </w:pPr>
            <w:r w:rsidRPr="000E7D09">
              <w:rPr>
                <w:rFonts w:ascii="Verdana" w:hAnsi="Verdana"/>
                <w:sz w:val="16"/>
                <w:szCs w:val="16"/>
              </w:rPr>
              <w:t>29.038,65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2F7694" w:rsidP="00CA6528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0E7D09">
              <w:rPr>
                <w:rFonts w:ascii="Verdana" w:hAnsi="Verdana"/>
                <w:sz w:val="16"/>
                <w:szCs w:val="16"/>
              </w:rPr>
              <w:t>112.483,07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94" w:rsidRPr="004D33A4" w:rsidRDefault="002F7694" w:rsidP="00CA6528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4D33A4">
              <w:rPr>
                <w:rFonts w:ascii="Verdana" w:hAnsi="Verdana"/>
                <w:sz w:val="16"/>
                <w:szCs w:val="16"/>
              </w:rPr>
              <w:t>128.167,48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94" w:rsidRPr="004D33A4" w:rsidRDefault="002F7694" w:rsidP="00CA6528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-15.684,41</w:t>
            </w:r>
          </w:p>
        </w:tc>
      </w:tr>
      <w:tr w:rsidR="002F7694" w:rsidRPr="004D33A4" w:rsidTr="00CA6528">
        <w:trPr>
          <w:trHeight w:val="345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4D33A4" w:rsidRDefault="002F7694" w:rsidP="00CA652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D33A4">
              <w:rPr>
                <w:rFonts w:ascii="Verdana" w:hAnsi="Verdana"/>
                <w:b/>
                <w:sz w:val="16"/>
                <w:szCs w:val="16"/>
              </w:rPr>
              <w:t>ΣΥΝΟΛΟ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4D33A4" w:rsidRDefault="00A566E7" w:rsidP="00CA6528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2F7694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=SUM(ABOVE)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2F769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911.037,08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936FF2" w:rsidRDefault="00936FF2" w:rsidP="00CA6528">
            <w:pPr>
              <w:spacing w:before="100" w:beforeAutospacing="1" w:after="100" w:afterAutospacing="1"/>
              <w:jc w:val="right"/>
              <w:rPr>
                <w:b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54.410.45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A566E7" w:rsidP="00CA6528">
            <w:pPr>
              <w:spacing w:before="100" w:beforeAutospacing="1" w:after="100" w:afterAutospacing="1"/>
              <w:jc w:val="right"/>
              <w:rPr>
                <w:b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55632B">
              <w:rPr>
                <w:rFonts w:ascii="Verdana" w:hAnsi="Verdana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55632B">
              <w:rPr>
                <w:rFonts w:ascii="Verdana" w:hAnsi="Verdana"/>
                <w:b/>
                <w:noProof/>
                <w:sz w:val="16"/>
                <w:szCs w:val="16"/>
              </w:rPr>
              <w:t>54.838,35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22357E" w:rsidP="00CA6528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0E7D09">
              <w:rPr>
                <w:rFonts w:ascii="Verdana" w:hAnsi="Verdana"/>
                <w:b/>
                <w:sz w:val="16"/>
                <w:szCs w:val="16"/>
              </w:rPr>
              <w:t>41.734,40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4" w:rsidRPr="000E7D09" w:rsidRDefault="00A566E7" w:rsidP="00CA6528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0E7D0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2F7694" w:rsidRPr="000E7D09">
              <w:rPr>
                <w:rFonts w:ascii="Verdana" w:hAnsi="Verdana"/>
                <w:b/>
                <w:sz w:val="16"/>
                <w:szCs w:val="16"/>
              </w:rPr>
              <w:instrText xml:space="preserve"> =SUM(ABOVE) </w:instrText>
            </w:r>
            <w:r w:rsidRPr="000E7D0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2F7694" w:rsidRPr="000E7D09">
              <w:rPr>
                <w:rFonts w:ascii="Verdana" w:hAnsi="Verdana"/>
                <w:b/>
                <w:noProof/>
                <w:sz w:val="16"/>
                <w:szCs w:val="16"/>
              </w:rPr>
              <w:t>150.983,2</w:t>
            </w:r>
            <w:r w:rsidRPr="000E7D0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2F7694" w:rsidRPr="000E7D09">
              <w:rPr>
                <w:rFonts w:ascii="Verdana" w:hAnsi="Verdana"/>
                <w:b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94" w:rsidRPr="004D33A4" w:rsidRDefault="002F7694" w:rsidP="00CA6528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4D33A4">
              <w:rPr>
                <w:rFonts w:ascii="Verdana" w:hAnsi="Verdana"/>
                <w:b/>
                <w:sz w:val="16"/>
                <w:szCs w:val="16"/>
              </w:rPr>
              <w:t>7.893.535,88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94" w:rsidRPr="004D33A4" w:rsidRDefault="00A566E7" w:rsidP="00CA6528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2F7694">
              <w:rPr>
                <w:rFonts w:ascii="Verdana" w:hAnsi="Verdana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2F7694">
              <w:rPr>
                <w:rFonts w:ascii="Verdana" w:hAnsi="Verdana"/>
                <w:b/>
                <w:noProof/>
                <w:sz w:val="16"/>
                <w:szCs w:val="16"/>
              </w:rPr>
              <w:t>-7.742.552,68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</w:tbl>
    <w:p w:rsidR="004D33A4" w:rsidRPr="004D33A4" w:rsidRDefault="004D33A4" w:rsidP="004D33A4">
      <w:pPr>
        <w:rPr>
          <w:rFonts w:ascii="Verdana" w:hAnsi="Verdana"/>
          <w:vanish/>
          <w:color w:val="00376B"/>
          <w:sz w:val="14"/>
          <w:szCs w:val="14"/>
        </w:rPr>
      </w:pPr>
    </w:p>
    <w:tbl>
      <w:tblPr>
        <w:tblW w:w="9787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992"/>
        <w:gridCol w:w="2069"/>
        <w:gridCol w:w="1333"/>
        <w:gridCol w:w="1561"/>
        <w:gridCol w:w="1179"/>
        <w:gridCol w:w="1372"/>
        <w:gridCol w:w="1281"/>
      </w:tblGrid>
      <w:tr w:rsidR="00CA6528" w:rsidRPr="004D33A4" w:rsidTr="00CA6528">
        <w:trPr>
          <w:trHeight w:val="306"/>
        </w:trPr>
        <w:tc>
          <w:tcPr>
            <w:tcW w:w="9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4D33A4">
            <w:pPr>
              <w:spacing w:before="100" w:beforeAutospacing="1" w:after="100" w:afterAutospacing="1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ΤΕΛΗ ΧΑΡΤΟΣΗΜΟΥ</w:t>
            </w:r>
          </w:p>
        </w:tc>
      </w:tr>
      <w:tr w:rsidR="00CA6528" w:rsidRPr="004D33A4" w:rsidTr="00CA6528">
        <w:trPr>
          <w:trHeight w:val="964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4D33A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ΤΑΜΕΙΑΚΕΣ ΔΙΕΥΚΟΛΥΝΣΕΙΣ ΠΟΥ ΥΠΟΚΕΙΝΤΑΙ ΣΕ ΤΕΛΗ ΧΑΡΤ/ΜΟΥ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ΧΑΡ/ΜΟ &amp; ΟΓΑ ΧΑΡ/ΜΟΥ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ΠΡΟΣΑΥΞΗΣΗ ΧΑΡ/ΜΟΥ &amp; ΟΓΑ ΧΑΡ/ΜΟΥ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8" w:rsidRPr="004D33A4" w:rsidRDefault="00CA6528" w:rsidP="00CA6528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ΣΥΝΟΛΙΚΗ ΑΞΙΑ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ΣΥΝΟΛΙΚΗ ΑΞΙΑ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4/4/2011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6528" w:rsidRPr="004D33A4" w:rsidRDefault="00CA6528" w:rsidP="00CA6528">
            <w:pPr>
              <w:spacing w:before="100" w:beforeAutospacing="1" w:after="100" w:afterAutospacing="1" w:line="2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ΔΙΑΦΟΡΑ ΔΙΟΙΚΗΤΙΚΗΣ ΕΠΙΛΥΣΗΣ</w:t>
            </w:r>
          </w:p>
        </w:tc>
      </w:tr>
      <w:tr w:rsidR="00CA6528" w:rsidRPr="004D33A4" w:rsidTr="00CA6528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F579D7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sz w:val="16"/>
                <w:szCs w:val="16"/>
              </w:rPr>
              <w:t>2008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sz w:val="16"/>
                <w:szCs w:val="16"/>
              </w:rPr>
              <w:t>4.872.459,43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sz w:val="16"/>
                <w:szCs w:val="16"/>
              </w:rPr>
              <w:t>58.469,51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42.098,05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100.567,56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sz w:val="16"/>
                <w:szCs w:val="16"/>
              </w:rPr>
              <w:t>104.359,57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-3.792,01</w:t>
            </w:r>
          </w:p>
        </w:tc>
      </w:tr>
      <w:tr w:rsidR="00CA6528" w:rsidRPr="004D33A4" w:rsidTr="00CA6528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F579D7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sz w:val="16"/>
                <w:szCs w:val="16"/>
              </w:rPr>
              <w:t>2009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sz w:val="16"/>
                <w:szCs w:val="16"/>
              </w:rPr>
              <w:t>3.125.853,43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sz w:val="16"/>
                <w:szCs w:val="16"/>
              </w:rPr>
              <w:t>37.510,24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14.286,90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51.797,14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sz w:val="16"/>
                <w:szCs w:val="16"/>
              </w:rPr>
              <w:t>55.693,45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-3.896,31</w:t>
            </w:r>
          </w:p>
        </w:tc>
      </w:tr>
      <w:tr w:rsidR="00CA6528" w:rsidRPr="004D33A4" w:rsidTr="00CA6528">
        <w:trPr>
          <w:trHeight w:val="34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F579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D33A4">
              <w:rPr>
                <w:rFonts w:ascii="Verdana" w:hAnsi="Verdana"/>
                <w:b/>
                <w:sz w:val="16"/>
                <w:szCs w:val="16"/>
              </w:rPr>
              <w:t>ΣΥΝΟΛΟ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7.998.312,86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95.979,75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A566E7" w:rsidP="00CA6528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CA6528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=SUM(ABOVE)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CA6528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56.384,95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8" w:rsidRPr="004D33A4" w:rsidRDefault="00A566E7" w:rsidP="00CA6528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CA6528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=SUM(ABOVE)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CA6528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152.364,7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CA6528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528" w:rsidRPr="004D33A4" w:rsidRDefault="00CA6528" w:rsidP="00CA6528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160.053,02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6528" w:rsidRPr="004D33A4" w:rsidRDefault="00A566E7" w:rsidP="00CA6528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CA6528">
              <w:rPr>
                <w:rFonts w:ascii="Verdana" w:hAnsi="Verdana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CA6528">
              <w:rPr>
                <w:rFonts w:ascii="Verdana" w:hAnsi="Verdana"/>
                <w:b/>
                <w:noProof/>
                <w:sz w:val="16"/>
                <w:szCs w:val="16"/>
              </w:rPr>
              <w:t>-7.688,32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</w:tbl>
    <w:p w:rsidR="00FA7D1B" w:rsidRDefault="00FA7D1B">
      <w:pPr>
        <w:spacing w:after="200" w:line="276" w:lineRule="auto"/>
        <w:rPr>
          <w:rFonts w:ascii="Verdana" w:hAnsi="Verdana"/>
          <w:vanish/>
          <w:color w:val="00376B"/>
          <w:sz w:val="14"/>
          <w:szCs w:val="14"/>
        </w:rPr>
      </w:pPr>
      <w:r>
        <w:rPr>
          <w:rFonts w:ascii="Verdana" w:hAnsi="Verdana"/>
          <w:vanish/>
          <w:color w:val="00376B"/>
          <w:sz w:val="14"/>
          <w:szCs w:val="14"/>
        </w:rPr>
        <w:br w:type="page"/>
      </w:r>
    </w:p>
    <w:p w:rsidR="004D33A4" w:rsidRPr="004D33A4" w:rsidRDefault="004D33A4" w:rsidP="004D33A4">
      <w:pPr>
        <w:rPr>
          <w:rFonts w:ascii="Verdana" w:hAnsi="Verdana"/>
          <w:vanish/>
          <w:color w:val="00376B"/>
          <w:sz w:val="14"/>
          <w:szCs w:val="14"/>
        </w:rPr>
      </w:pPr>
    </w:p>
    <w:tbl>
      <w:tblPr>
        <w:tblW w:w="8531" w:type="dxa"/>
        <w:tblInd w:w="403" w:type="dxa"/>
        <w:tblCellMar>
          <w:left w:w="0" w:type="dxa"/>
          <w:right w:w="0" w:type="dxa"/>
        </w:tblCellMar>
        <w:tblLook w:val="04A0"/>
      </w:tblPr>
      <w:tblGrid>
        <w:gridCol w:w="1242"/>
        <w:gridCol w:w="1474"/>
        <w:gridCol w:w="1645"/>
        <w:gridCol w:w="1417"/>
        <w:gridCol w:w="1276"/>
        <w:gridCol w:w="1477"/>
      </w:tblGrid>
      <w:tr w:rsidR="00FA7D1B" w:rsidRPr="004D33A4" w:rsidTr="00FA7D1B">
        <w:trPr>
          <w:trHeight w:val="248"/>
        </w:trPr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4D33A4">
            <w:pPr>
              <w:spacing w:before="100" w:beforeAutospacing="1" w:after="100" w:afterAutospacing="1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ΧΑΡΤΟΣΗΜΟ ΑΜΟΙΒΩΝ Δ.Σ.</w:t>
            </w:r>
          </w:p>
        </w:tc>
      </w:tr>
      <w:tr w:rsidR="00FA7D1B" w:rsidRPr="004D33A4" w:rsidTr="00FA7D1B">
        <w:trPr>
          <w:trHeight w:val="964"/>
        </w:trPr>
        <w:tc>
          <w:tcPr>
            <w:tcW w:w="12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A7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A7D1B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ΔΙΑΦΟΡΑ ΤΕΛΩΝ ΧΑΡΤΟΣΗΜΟΥ &amp; Ο.Γ.Α.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A7D1B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ΠΡΟΣΘΕΤΑ ΤΕΛΗ ΧΑΡΤΟΣΗΜΟΥ &amp; Ο.Γ.Α.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1B" w:rsidRPr="004D33A4" w:rsidRDefault="00FA7D1B" w:rsidP="00F579D7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ΣΥΝΟΛΙΚΗ ΑΞΙΑ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1B" w:rsidRPr="004D33A4" w:rsidRDefault="00FA7D1B" w:rsidP="00F579D7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ΣΥΝΟΛΙΚΗ ΑΞΙΑ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4/4/2011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579D7">
            <w:pPr>
              <w:spacing w:before="100" w:beforeAutospacing="1" w:after="100" w:afterAutospacing="1" w:line="2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ΔΙΑΦΟΡΑ ΔΙΟΙΚΗΤΙΚΗΣ ΕΠΙΛΥΣΗΣ</w:t>
            </w:r>
          </w:p>
        </w:tc>
      </w:tr>
      <w:tr w:rsidR="00FA7D1B" w:rsidRPr="004D33A4" w:rsidTr="00FA7D1B">
        <w:trPr>
          <w:trHeight w:val="33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579D7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sz w:val="16"/>
                <w:szCs w:val="16"/>
              </w:rPr>
              <w:t>2008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4D33A4">
              <w:rPr>
                <w:rFonts w:ascii="Verdana" w:hAnsi="Verdana"/>
                <w:sz w:val="16"/>
                <w:szCs w:val="16"/>
              </w:rPr>
              <w:t>1.797,93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1B" w:rsidRPr="004D33A4" w:rsidRDefault="00FA7D1B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2.725,66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1B" w:rsidRPr="004D33A4" w:rsidRDefault="00FA7D1B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4D33A4">
              <w:rPr>
                <w:rFonts w:ascii="Verdana" w:hAnsi="Verdana"/>
                <w:sz w:val="16"/>
                <w:szCs w:val="16"/>
              </w:rPr>
              <w:t>2.696,89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28,77</w:t>
            </w:r>
          </w:p>
        </w:tc>
      </w:tr>
      <w:tr w:rsidR="00FA7D1B" w:rsidRPr="004D33A4" w:rsidTr="00FA7D1B">
        <w:trPr>
          <w:trHeight w:val="33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579D7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sz w:val="16"/>
                <w:szCs w:val="16"/>
              </w:rPr>
              <w:t>2009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4D33A4">
              <w:rPr>
                <w:rFonts w:ascii="Verdana" w:hAnsi="Verdana"/>
                <w:sz w:val="16"/>
                <w:szCs w:val="16"/>
              </w:rPr>
              <w:t>526,75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1B" w:rsidRPr="004D33A4" w:rsidRDefault="00FA7D1B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1B" w:rsidRPr="004D33A4" w:rsidRDefault="00FA7D1B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4D33A4">
              <w:rPr>
                <w:rFonts w:ascii="Verdana" w:hAnsi="Verdana"/>
                <w:sz w:val="16"/>
                <w:szCs w:val="16"/>
              </w:rPr>
              <w:t>663,71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58,99</w:t>
            </w:r>
          </w:p>
        </w:tc>
      </w:tr>
      <w:tr w:rsidR="00FA7D1B" w:rsidRPr="004D33A4" w:rsidTr="00FA7D1B">
        <w:trPr>
          <w:trHeight w:val="34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579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D33A4">
              <w:rPr>
                <w:rFonts w:ascii="Verdana" w:hAnsi="Verdana"/>
                <w:b/>
                <w:sz w:val="16"/>
                <w:szCs w:val="16"/>
              </w:rPr>
              <w:lastRenderedPageBreak/>
              <w:t>ΣΥΝΟΛΟ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FA7D1B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4D33A4">
              <w:rPr>
                <w:rFonts w:ascii="Verdana" w:hAnsi="Verdana"/>
                <w:b/>
                <w:sz w:val="16"/>
                <w:szCs w:val="16"/>
              </w:rPr>
              <w:t>2.324,68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A566E7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FA7D1B">
              <w:rPr>
                <w:rFonts w:ascii="Verdana" w:hAnsi="Verdana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FA7D1B">
              <w:rPr>
                <w:rFonts w:ascii="Verdana" w:hAnsi="Verdana"/>
                <w:b/>
                <w:noProof/>
                <w:sz w:val="16"/>
                <w:szCs w:val="16"/>
              </w:rPr>
              <w:t>1.123,68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1B" w:rsidRPr="004D33A4" w:rsidRDefault="00A566E7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FA7D1B">
              <w:rPr>
                <w:rFonts w:ascii="Verdana" w:hAnsi="Verdana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FA7D1B">
              <w:rPr>
                <w:rFonts w:ascii="Verdana" w:hAnsi="Verdana"/>
                <w:b/>
                <w:noProof/>
                <w:sz w:val="16"/>
                <w:szCs w:val="16"/>
              </w:rPr>
              <w:t>3.448,36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1B" w:rsidRPr="004D33A4" w:rsidRDefault="00FA7D1B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4D33A4">
              <w:rPr>
                <w:rFonts w:ascii="Verdana" w:hAnsi="Verdana"/>
                <w:b/>
                <w:sz w:val="16"/>
                <w:szCs w:val="16"/>
              </w:rPr>
              <w:t>3.360,60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7D1B" w:rsidRPr="004D33A4" w:rsidRDefault="00A566E7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FA7D1B">
              <w:rPr>
                <w:rFonts w:ascii="Verdana" w:hAnsi="Verdana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FA7D1B">
              <w:rPr>
                <w:rFonts w:ascii="Verdana" w:hAnsi="Verdana"/>
                <w:b/>
                <w:noProof/>
                <w:sz w:val="16"/>
                <w:szCs w:val="16"/>
              </w:rPr>
              <w:t>87,76</w:t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</w:tbl>
    <w:p w:rsidR="004D33A4" w:rsidRPr="004D33A4" w:rsidRDefault="004D33A4" w:rsidP="004D33A4">
      <w:pPr>
        <w:rPr>
          <w:rFonts w:ascii="Verdana" w:hAnsi="Verdana"/>
          <w:vanish/>
          <w:color w:val="00376B"/>
          <w:sz w:val="14"/>
          <w:szCs w:val="14"/>
        </w:rPr>
      </w:pPr>
    </w:p>
    <w:tbl>
      <w:tblPr>
        <w:tblW w:w="9464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2"/>
        <w:gridCol w:w="1349"/>
        <w:gridCol w:w="1276"/>
        <w:gridCol w:w="1559"/>
        <w:gridCol w:w="1276"/>
        <w:gridCol w:w="1276"/>
        <w:gridCol w:w="1526"/>
      </w:tblGrid>
      <w:tr w:rsidR="00337C1F" w:rsidRPr="004D33A4" w:rsidTr="008B7142">
        <w:trPr>
          <w:trHeight w:val="340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337C1F" w:rsidRDefault="00337C1F" w:rsidP="00337C1F"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ΑΠΟΔΟΣΗ ΜΕΡΙΣΜΑΤΩΝ ΥΠΕΡ ΔΗΜΟΣΙΟΥ ΛΟΓΩ ΠΑΡΟΔΟΥ 5ΕΤΙΑΣ</w:t>
            </w:r>
          </w:p>
        </w:tc>
      </w:tr>
      <w:tr w:rsidR="00337C1F" w:rsidRPr="004D33A4" w:rsidTr="008B7142">
        <w:trPr>
          <w:trHeight w:val="340"/>
        </w:trPr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33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337C1F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ΜΕΡΙΣΜΑΤΑ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337C1F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ΠΡΟΣΤΙΜΟ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337C1F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ΤΟΚΟΙ ΥΠΕΡΗΜΕΡΙΑΣ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4D33A4" w:rsidRDefault="00337C1F" w:rsidP="00F579D7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ΣΥΝΟΛΙΚΗ ΑΞΙΑ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4D33A4" w:rsidRDefault="00337C1F" w:rsidP="00F579D7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ΣΥΝΟΛΙΚΗ ΑΞΙΑ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4/4/2011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579D7">
            <w:pPr>
              <w:spacing w:before="100" w:beforeAutospacing="1" w:after="100" w:afterAutospacing="1" w:line="2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ΔΙΑΦΟΡΑ ΔΙΟΙΚΗΤΙΚΗΣ ΕΠΙΛΥΣΗΣ</w:t>
            </w:r>
          </w:p>
        </w:tc>
      </w:tr>
      <w:tr w:rsidR="00337C1F" w:rsidRPr="004D33A4" w:rsidTr="008B7142">
        <w:trPr>
          <w:trHeight w:val="330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579D7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sz w:val="16"/>
                <w:szCs w:val="16"/>
              </w:rPr>
              <w:t>2008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4D33A4">
              <w:rPr>
                <w:rFonts w:ascii="Verdana" w:hAnsi="Verdana"/>
                <w:sz w:val="16"/>
                <w:szCs w:val="16"/>
              </w:rPr>
              <w:t>127.811,26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4D33A4">
              <w:rPr>
                <w:rFonts w:ascii="Verdana" w:hAnsi="Verdana"/>
                <w:sz w:val="16"/>
                <w:szCs w:val="16"/>
              </w:rPr>
              <w:t>63.905,63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44.733,85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4D33A4" w:rsidRDefault="00337C1F" w:rsidP="00F579D7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236.450,74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4D33A4" w:rsidRDefault="00337C1F" w:rsidP="00F579D7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4D33A4">
              <w:rPr>
                <w:rFonts w:ascii="Verdana" w:hAnsi="Verdana"/>
                <w:sz w:val="16"/>
                <w:szCs w:val="16"/>
              </w:rPr>
              <w:t>226.797,95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579D7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9.652,79</w:t>
            </w:r>
          </w:p>
        </w:tc>
      </w:tr>
      <w:tr w:rsidR="00337C1F" w:rsidRPr="004D33A4" w:rsidTr="008B7142">
        <w:trPr>
          <w:trHeight w:val="330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579D7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sz w:val="16"/>
                <w:szCs w:val="16"/>
              </w:rPr>
              <w:t>2009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4D33A4">
              <w:rPr>
                <w:rFonts w:ascii="Verdana" w:hAnsi="Verdana"/>
                <w:sz w:val="16"/>
                <w:szCs w:val="16"/>
              </w:rPr>
              <w:t>59.624,95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4D33A4">
              <w:rPr>
                <w:rFonts w:ascii="Verdana" w:hAnsi="Verdana"/>
                <w:sz w:val="16"/>
                <w:szCs w:val="16"/>
              </w:rPr>
              <w:t>29.812,47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14.906,00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4D33A4" w:rsidRDefault="00337C1F" w:rsidP="00F579D7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104.343,42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4D33A4" w:rsidRDefault="00337C1F" w:rsidP="00F579D7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 w:rsidRPr="004D33A4">
              <w:rPr>
                <w:rFonts w:ascii="Verdana" w:hAnsi="Verdana"/>
                <w:sz w:val="16"/>
                <w:szCs w:val="16"/>
              </w:rPr>
              <w:t>99.238,06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579D7">
            <w:pPr>
              <w:spacing w:before="100" w:beforeAutospacing="1" w:after="100" w:afterAutospacing="1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5.105,36</w:t>
            </w:r>
          </w:p>
        </w:tc>
      </w:tr>
      <w:tr w:rsidR="00337C1F" w:rsidRPr="004D33A4" w:rsidTr="008B7142">
        <w:trPr>
          <w:trHeight w:val="345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579D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D33A4">
              <w:rPr>
                <w:rFonts w:ascii="Verdana" w:hAnsi="Verdana"/>
                <w:b/>
                <w:sz w:val="16"/>
                <w:szCs w:val="16"/>
              </w:rPr>
              <w:t>ΣΥΝΟΛΟ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4D33A4">
              <w:rPr>
                <w:rFonts w:ascii="Verdana" w:hAnsi="Verdana"/>
                <w:b/>
                <w:sz w:val="16"/>
                <w:szCs w:val="16"/>
              </w:rPr>
              <w:t>187.436,21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337C1F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4D33A4">
              <w:rPr>
                <w:rFonts w:ascii="Verdana" w:hAnsi="Verdana"/>
                <w:b/>
                <w:sz w:val="16"/>
                <w:szCs w:val="16"/>
              </w:rPr>
              <w:t>93.718,10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A566E7" w:rsidP="00FA7D1B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37C1F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337C1F" w:rsidRPr="00337C1F">
              <w:rPr>
                <w:rFonts w:ascii="Verdana" w:hAnsi="Verdana"/>
                <w:b/>
                <w:sz w:val="16"/>
                <w:szCs w:val="16"/>
              </w:rPr>
              <w:instrText xml:space="preserve"> =SUM(ABOVE) </w:instrText>
            </w:r>
            <w:r w:rsidRPr="00337C1F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337C1F" w:rsidRPr="00337C1F">
              <w:rPr>
                <w:rFonts w:ascii="Verdana" w:hAnsi="Verdana"/>
                <w:b/>
                <w:noProof/>
                <w:sz w:val="16"/>
                <w:szCs w:val="16"/>
              </w:rPr>
              <w:t>59.639,85</w:t>
            </w:r>
            <w:r w:rsidRPr="00337C1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4D33A4" w:rsidRDefault="00A566E7" w:rsidP="00F579D7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37C1F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337C1F" w:rsidRPr="00337C1F">
              <w:rPr>
                <w:rFonts w:ascii="Verdana" w:hAnsi="Verdana"/>
                <w:b/>
                <w:sz w:val="16"/>
                <w:szCs w:val="16"/>
              </w:rPr>
              <w:instrText xml:space="preserve"> =SUM(ABOVE) </w:instrText>
            </w:r>
            <w:r w:rsidRPr="00337C1F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337C1F" w:rsidRPr="00337C1F">
              <w:rPr>
                <w:rFonts w:ascii="Verdana" w:hAnsi="Verdana"/>
                <w:b/>
                <w:noProof/>
                <w:sz w:val="16"/>
                <w:szCs w:val="16"/>
              </w:rPr>
              <w:t>340.794,16</w:t>
            </w:r>
            <w:r w:rsidRPr="00337C1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C1F" w:rsidRPr="004D33A4" w:rsidRDefault="00337C1F" w:rsidP="00F579D7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4D33A4">
              <w:rPr>
                <w:rFonts w:ascii="Verdana" w:hAnsi="Verdana"/>
                <w:b/>
                <w:sz w:val="16"/>
                <w:szCs w:val="16"/>
              </w:rPr>
              <w:t>326.036,01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C1F" w:rsidRPr="004D33A4" w:rsidRDefault="00A566E7" w:rsidP="00F579D7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37C1F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337C1F" w:rsidRPr="00337C1F">
              <w:rPr>
                <w:rFonts w:ascii="Verdana" w:hAnsi="Verdana"/>
                <w:b/>
                <w:sz w:val="16"/>
                <w:szCs w:val="16"/>
              </w:rPr>
              <w:instrText xml:space="preserve"> =SUM(ABOVE) </w:instrText>
            </w:r>
            <w:r w:rsidRPr="00337C1F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337C1F" w:rsidRPr="00337C1F">
              <w:rPr>
                <w:rFonts w:ascii="Verdana" w:hAnsi="Verdana"/>
                <w:b/>
                <w:noProof/>
                <w:sz w:val="16"/>
                <w:szCs w:val="16"/>
              </w:rPr>
              <w:t>14.758,15</w:t>
            </w:r>
            <w:r w:rsidRPr="00337C1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</w:tbl>
    <w:p w:rsidR="00C849E0" w:rsidRDefault="00C849E0" w:rsidP="00CE456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767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2"/>
        <w:gridCol w:w="1478"/>
        <w:gridCol w:w="1559"/>
        <w:gridCol w:w="1417"/>
        <w:gridCol w:w="1276"/>
        <w:gridCol w:w="1276"/>
        <w:gridCol w:w="1559"/>
      </w:tblGrid>
      <w:tr w:rsidR="008B7142" w:rsidRPr="004D33A4" w:rsidTr="008B7142">
        <w:trPr>
          <w:trHeight w:val="159"/>
        </w:trPr>
        <w:tc>
          <w:tcPr>
            <w:tcW w:w="9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7142" w:rsidRPr="004D33A4" w:rsidRDefault="008B7142" w:rsidP="00F579D7">
            <w:pPr>
              <w:spacing w:before="100" w:beforeAutospacing="1" w:after="100" w:afterAutospacing="1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ΕΝΙΑΙΟ ΤΕΛΟΣ ΑΚΙΝΗΤΗΣ ΠΕΡΙΟΥΣΙΑΣ</w:t>
            </w:r>
          </w:p>
        </w:tc>
      </w:tr>
      <w:tr w:rsidR="008B7142" w:rsidRPr="004D33A4" w:rsidTr="008B7142">
        <w:trPr>
          <w:trHeight w:val="454"/>
        </w:trPr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ΔΙΑΦΟΡΑ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ΔΙΑΦΟΡΑ ΦΟΡΟΥ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ΠΡΟΣΘΕΤΟΣ ΦΟΡΟΣ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42" w:rsidRPr="004D33A4" w:rsidRDefault="008B7142" w:rsidP="00F579D7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ΣΥΝΟΛΙΚΗ ΑΞΙΑ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42" w:rsidRPr="004D33A4" w:rsidRDefault="008B7142" w:rsidP="00F579D7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ΣΥΝΟΛΙΚΗ ΑΞΙΑ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4/4/2011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F579D7">
            <w:pPr>
              <w:spacing w:before="100" w:beforeAutospacing="1" w:after="100" w:afterAutospacing="1" w:line="20" w:lineRule="atLeast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ΔΙΑΦΟΡΑ ΔΙΟΙΚΗΤΙΚΗΣ ΕΠΙΛΥΣΗΣ</w:t>
            </w:r>
          </w:p>
        </w:tc>
      </w:tr>
      <w:tr w:rsidR="008B7142" w:rsidRPr="004D33A4" w:rsidTr="008B7142">
        <w:trPr>
          <w:trHeight w:val="330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sz w:val="16"/>
                <w:szCs w:val="16"/>
              </w:rPr>
              <w:t>01.01.2008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sz w:val="16"/>
                <w:szCs w:val="16"/>
              </w:rPr>
              <w:t>875.184,64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sz w:val="16"/>
                <w:szCs w:val="16"/>
              </w:rPr>
              <w:t>7.282,44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5.879,54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13.071,98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sz w:val="16"/>
                <w:szCs w:val="16"/>
              </w:rPr>
              <w:t>13.654,57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-582,59</w:t>
            </w:r>
          </w:p>
        </w:tc>
      </w:tr>
      <w:tr w:rsidR="008B7142" w:rsidRPr="004D33A4" w:rsidTr="008B7142">
        <w:trPr>
          <w:trHeight w:val="330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center"/>
            </w:pPr>
            <w:r w:rsidRPr="004D33A4">
              <w:rPr>
                <w:rFonts w:ascii="Verdana" w:hAnsi="Verdana"/>
                <w:sz w:val="16"/>
                <w:szCs w:val="16"/>
              </w:rPr>
              <w:t>01.01.2009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sz w:val="16"/>
                <w:szCs w:val="16"/>
              </w:rPr>
              <w:t>875.184,64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sz w:val="16"/>
                <w:szCs w:val="16"/>
              </w:rPr>
              <w:t>5.251,10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3.229,43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8.480,53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sz w:val="16"/>
                <w:szCs w:val="16"/>
              </w:rPr>
              <w:t>8.270,48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210,05</w:t>
            </w:r>
          </w:p>
        </w:tc>
      </w:tr>
      <w:tr w:rsidR="008B7142" w:rsidRPr="004D33A4" w:rsidTr="008B7142">
        <w:trPr>
          <w:trHeight w:val="345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D33A4">
              <w:rPr>
                <w:rFonts w:ascii="Verdana" w:hAnsi="Verdana"/>
                <w:b/>
                <w:sz w:val="16"/>
                <w:szCs w:val="16"/>
              </w:rPr>
              <w:t>ΣΥΝΟΛΟ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1.750.369,28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12.533,54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A566E7" w:rsidP="008B7142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8B7142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=SUM(ABOVE)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8B7142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9.108,97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42" w:rsidRPr="004D33A4" w:rsidRDefault="00A566E7" w:rsidP="008B7142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8B7142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=SUM(ABOVE)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8B7142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21.552,51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42" w:rsidRPr="004D33A4" w:rsidRDefault="008B7142" w:rsidP="008B7142">
            <w:pPr>
              <w:spacing w:before="100" w:beforeAutospacing="1" w:after="100" w:afterAutospacing="1"/>
              <w:jc w:val="right"/>
            </w:pPr>
            <w:r w:rsidRPr="004D33A4">
              <w:rPr>
                <w:rFonts w:ascii="Verdana" w:hAnsi="Verdana"/>
                <w:b/>
                <w:bCs/>
                <w:sz w:val="16"/>
                <w:szCs w:val="16"/>
              </w:rPr>
              <w:t>21.925,05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42" w:rsidRPr="004D33A4" w:rsidRDefault="00A566E7" w:rsidP="008B7142">
            <w:pPr>
              <w:spacing w:before="100" w:beforeAutospacing="1" w:after="100" w:afterAutospacing="1"/>
              <w:jc w:val="right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8B7142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=SUM(ABOVE)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8B7142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-372,54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:rsidR="00C849E0" w:rsidRDefault="00C849E0" w:rsidP="00CE4560">
      <w:pPr>
        <w:jc w:val="both"/>
        <w:rPr>
          <w:rFonts w:ascii="Century Gothic" w:hAnsi="Century Gothic"/>
          <w:sz w:val="20"/>
          <w:szCs w:val="20"/>
        </w:rPr>
      </w:pPr>
    </w:p>
    <w:p w:rsidR="00337C1F" w:rsidRDefault="00337C1F" w:rsidP="00CE4560">
      <w:pPr>
        <w:jc w:val="both"/>
        <w:rPr>
          <w:rFonts w:ascii="Century Gothic" w:hAnsi="Century Gothic"/>
          <w:sz w:val="20"/>
          <w:szCs w:val="20"/>
        </w:rPr>
      </w:pPr>
    </w:p>
    <w:p w:rsidR="007404FB" w:rsidRDefault="007404FB" w:rsidP="00CE4560">
      <w:pPr>
        <w:jc w:val="both"/>
        <w:rPr>
          <w:rFonts w:ascii="Century Gothic" w:hAnsi="Century Gothic"/>
          <w:sz w:val="20"/>
          <w:szCs w:val="20"/>
        </w:rPr>
      </w:pPr>
    </w:p>
    <w:p w:rsidR="006B18EC" w:rsidRDefault="005917EB" w:rsidP="00CE456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Ε</w:t>
      </w:r>
      <w:r w:rsidR="006B18EC" w:rsidRPr="00AB79A0">
        <w:rPr>
          <w:rFonts w:ascii="Century Gothic" w:hAnsi="Century Gothic"/>
          <w:i/>
          <w:sz w:val="20"/>
          <w:szCs w:val="20"/>
        </w:rPr>
        <w:t>ξαιρουμένου του φόρου εισοδήμα</w:t>
      </w:r>
      <w:r>
        <w:rPr>
          <w:rFonts w:ascii="Century Gothic" w:hAnsi="Century Gothic"/>
          <w:i/>
          <w:sz w:val="20"/>
          <w:szCs w:val="20"/>
        </w:rPr>
        <w:t>τος</w:t>
      </w:r>
      <w:r w:rsidR="00654F7D">
        <w:rPr>
          <w:rFonts w:ascii="Century Gothic" w:hAnsi="Century Gothic"/>
          <w:i/>
          <w:sz w:val="20"/>
          <w:szCs w:val="20"/>
        </w:rPr>
        <w:t xml:space="preserve"> για τον</w:t>
      </w:r>
      <w:r w:rsidR="003235AE">
        <w:rPr>
          <w:rFonts w:ascii="Century Gothic" w:hAnsi="Century Gothic"/>
          <w:i/>
          <w:sz w:val="20"/>
          <w:szCs w:val="20"/>
        </w:rPr>
        <w:t xml:space="preserve"> οποίο προβλεπόταν η συνέχιση υπάρξεως φορολογικών ζημιών</w:t>
      </w:r>
      <w:r w:rsidR="007404FB">
        <w:rPr>
          <w:rFonts w:ascii="Century Gothic" w:hAnsi="Century Gothic"/>
          <w:i/>
          <w:sz w:val="20"/>
          <w:szCs w:val="20"/>
        </w:rPr>
        <w:t xml:space="preserve">, </w:t>
      </w:r>
      <w:r>
        <w:rPr>
          <w:rFonts w:ascii="Century Gothic" w:hAnsi="Century Gothic"/>
          <w:i/>
          <w:sz w:val="20"/>
          <w:szCs w:val="20"/>
        </w:rPr>
        <w:t>και λαμβάνοντας υπόψη ότι στις οικονομικές καταστάσεις της εταιρίας χρήσεων</w:t>
      </w:r>
      <w:r w:rsidRPr="00FF0062">
        <w:rPr>
          <w:rFonts w:ascii="Century Gothic" w:hAnsi="Century Gothic"/>
          <w:i/>
          <w:sz w:val="20"/>
          <w:szCs w:val="20"/>
        </w:rPr>
        <w:t xml:space="preserve"> 200</w:t>
      </w:r>
      <w:r>
        <w:rPr>
          <w:rFonts w:ascii="Century Gothic" w:hAnsi="Century Gothic"/>
          <w:i/>
          <w:sz w:val="20"/>
          <w:szCs w:val="20"/>
        </w:rPr>
        <w:t>8 και 2009, στο λογαριασμό ‘Β</w:t>
      </w:r>
      <w:r w:rsidR="006B18EC" w:rsidRPr="00AB79A0">
        <w:rPr>
          <w:rFonts w:ascii="Century Gothic" w:hAnsi="Century Gothic"/>
          <w:i/>
          <w:sz w:val="20"/>
          <w:szCs w:val="20"/>
        </w:rPr>
        <w:t>ραχυπρόθεσμες υποχρεώσεις</w:t>
      </w:r>
      <w:r>
        <w:rPr>
          <w:rFonts w:ascii="Century Gothic" w:hAnsi="Century Gothic"/>
          <w:i/>
          <w:sz w:val="20"/>
          <w:szCs w:val="20"/>
        </w:rPr>
        <w:t xml:space="preserve"> -</w:t>
      </w:r>
      <w:r w:rsidR="006B18EC" w:rsidRPr="00AB79A0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i/>
          <w:sz w:val="20"/>
          <w:szCs w:val="20"/>
        </w:rPr>
        <w:t>Μερίσματα πληρωτέα’, περιλαμβ</w:t>
      </w:r>
      <w:r w:rsidR="00654F7D">
        <w:rPr>
          <w:rFonts w:ascii="Century Gothic" w:hAnsi="Century Gothic"/>
          <w:i/>
          <w:sz w:val="20"/>
          <w:szCs w:val="20"/>
        </w:rPr>
        <w:t xml:space="preserve">ανόταν </w:t>
      </w:r>
      <w:r w:rsidR="006B18EC" w:rsidRPr="00AB79A0">
        <w:rPr>
          <w:rFonts w:ascii="Century Gothic" w:hAnsi="Century Gothic"/>
          <w:i/>
          <w:sz w:val="20"/>
          <w:szCs w:val="20"/>
        </w:rPr>
        <w:t>ποσ</w:t>
      </w:r>
      <w:r>
        <w:rPr>
          <w:rFonts w:ascii="Century Gothic" w:hAnsi="Century Gothic"/>
          <w:i/>
          <w:sz w:val="20"/>
          <w:szCs w:val="20"/>
        </w:rPr>
        <w:t>ό</w:t>
      </w:r>
      <w:r w:rsidR="006B18EC" w:rsidRPr="00AB79A0">
        <w:rPr>
          <w:rFonts w:ascii="Century Gothic" w:hAnsi="Century Gothic"/>
          <w:i/>
          <w:sz w:val="20"/>
          <w:szCs w:val="20"/>
        </w:rPr>
        <w:t xml:space="preserve"> </w:t>
      </w:r>
      <w:r w:rsidR="006B18EC" w:rsidRPr="00654F7D">
        <w:rPr>
          <w:rFonts w:ascii="Century Gothic" w:hAnsi="Century Gothic"/>
          <w:i/>
          <w:sz w:val="20"/>
          <w:szCs w:val="20"/>
        </w:rPr>
        <w:t>187.436,21</w:t>
      </w:r>
      <w:r w:rsidR="006B18EC" w:rsidRPr="00AB79A0">
        <w:rPr>
          <w:rFonts w:ascii="Century Gothic" w:hAnsi="Century Gothic"/>
          <w:i/>
          <w:sz w:val="20"/>
          <w:szCs w:val="20"/>
        </w:rPr>
        <w:t xml:space="preserve"> ευρ</w:t>
      </w:r>
      <w:r w:rsidR="006B18EC">
        <w:rPr>
          <w:rFonts w:ascii="Century Gothic" w:hAnsi="Century Gothic"/>
          <w:i/>
          <w:sz w:val="20"/>
          <w:szCs w:val="20"/>
        </w:rPr>
        <w:t>ώ,</w:t>
      </w:r>
      <w:r w:rsidR="006B18EC">
        <w:rPr>
          <w:rFonts w:ascii="Century Gothic" w:hAnsi="Century Gothic"/>
          <w:sz w:val="20"/>
          <w:szCs w:val="20"/>
        </w:rPr>
        <w:t xml:space="preserve"> αναφορικά με τα υπόλοιπα </w:t>
      </w:r>
      <w:r w:rsidR="00654F7D">
        <w:rPr>
          <w:rFonts w:ascii="Century Gothic" w:hAnsi="Century Gothic"/>
          <w:sz w:val="20"/>
          <w:szCs w:val="20"/>
        </w:rPr>
        <w:t xml:space="preserve">οριστικά </w:t>
      </w:r>
      <w:r w:rsidR="006B18EC">
        <w:rPr>
          <w:rFonts w:ascii="Century Gothic" w:hAnsi="Century Gothic"/>
          <w:sz w:val="20"/>
          <w:szCs w:val="20"/>
        </w:rPr>
        <w:t xml:space="preserve">πορίσματα του διενεργηθέντος ελέγχου χρήσεων 2008 και 2009, η πρόβλεψη που </w:t>
      </w:r>
      <w:r>
        <w:rPr>
          <w:rFonts w:ascii="Century Gothic" w:hAnsi="Century Gothic"/>
          <w:sz w:val="20"/>
          <w:szCs w:val="20"/>
        </w:rPr>
        <w:t>είχε</w:t>
      </w:r>
      <w:r w:rsidR="006B18EC">
        <w:rPr>
          <w:rFonts w:ascii="Century Gothic" w:hAnsi="Century Gothic"/>
          <w:sz w:val="20"/>
          <w:szCs w:val="20"/>
        </w:rPr>
        <w:t xml:space="preserve"> σχηματίσει η εταιρία για κάλυψη διαφορών φορολογικών ελέγχων των υπόψη χρήσεων, </w:t>
      </w:r>
      <w:r w:rsidR="006B18EC" w:rsidRPr="00654F7D">
        <w:rPr>
          <w:rFonts w:ascii="Century Gothic" w:hAnsi="Century Gothic"/>
          <w:sz w:val="20"/>
          <w:szCs w:val="20"/>
        </w:rPr>
        <w:t>ποσού 250.000,00 ευρώ,</w:t>
      </w:r>
      <w:r w:rsidR="006B18E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ήταν</w:t>
      </w:r>
      <w:r w:rsidR="006B18EC">
        <w:rPr>
          <w:rFonts w:ascii="Century Gothic" w:hAnsi="Century Gothic"/>
          <w:sz w:val="20"/>
          <w:szCs w:val="20"/>
        </w:rPr>
        <w:t xml:space="preserve"> επαρκής, δοθέντος ότι η σχετική συνολική πρόσθετη επιβάρυνση </w:t>
      </w:r>
      <w:r w:rsidR="00A37819">
        <w:rPr>
          <w:rFonts w:ascii="Century Gothic" w:hAnsi="Century Gothic"/>
          <w:sz w:val="20"/>
          <w:szCs w:val="20"/>
        </w:rPr>
        <w:t xml:space="preserve">ανήλθε τελικώς σε </w:t>
      </w:r>
      <w:r w:rsidR="00654F7D">
        <w:rPr>
          <w:rFonts w:ascii="Century Gothic" w:hAnsi="Century Gothic"/>
          <w:sz w:val="20"/>
          <w:szCs w:val="20"/>
        </w:rPr>
        <w:t>80.723,52</w:t>
      </w:r>
      <w:r w:rsidR="006B18EC">
        <w:rPr>
          <w:rFonts w:ascii="Century Gothic" w:hAnsi="Century Gothic"/>
          <w:sz w:val="20"/>
          <w:szCs w:val="20"/>
        </w:rPr>
        <w:t xml:space="preserve"> ευρώ</w:t>
      </w:r>
      <w:r w:rsidR="00654F7D">
        <w:rPr>
          <w:rFonts w:ascii="Century Gothic" w:hAnsi="Century Gothic"/>
          <w:sz w:val="20"/>
          <w:szCs w:val="20"/>
        </w:rPr>
        <w:t>, εκ των οποίων 6.785,05 ευρώ θα βαρύνουν την τρέχουσα χρήση</w:t>
      </w:r>
      <w:r w:rsidR="006B18EC">
        <w:rPr>
          <w:rFonts w:ascii="Century Gothic" w:hAnsi="Century Gothic"/>
          <w:sz w:val="20"/>
          <w:szCs w:val="20"/>
        </w:rPr>
        <w:t>.</w:t>
      </w:r>
    </w:p>
    <w:p w:rsidR="00237443" w:rsidRDefault="00237443" w:rsidP="00CE4560">
      <w:pPr>
        <w:jc w:val="both"/>
        <w:rPr>
          <w:rFonts w:ascii="Century Gothic" w:hAnsi="Century Gothic"/>
          <w:sz w:val="20"/>
          <w:szCs w:val="20"/>
        </w:rPr>
      </w:pPr>
    </w:p>
    <w:p w:rsidR="00237443" w:rsidRDefault="00237443" w:rsidP="00CE4560">
      <w:pPr>
        <w:jc w:val="both"/>
        <w:rPr>
          <w:rFonts w:ascii="Century Gothic" w:hAnsi="Century Gothic"/>
          <w:sz w:val="20"/>
          <w:szCs w:val="20"/>
        </w:rPr>
      </w:pPr>
      <w:r w:rsidRPr="000E7D09">
        <w:rPr>
          <w:rFonts w:ascii="Century Gothic" w:hAnsi="Century Gothic"/>
          <w:sz w:val="20"/>
          <w:szCs w:val="20"/>
        </w:rPr>
        <w:t xml:space="preserve">Σχετικές ενημερώσεις για όλα τα ανωτέρω περιλαμβάνονται στις ετήσιες και περιοδικές οικονομικές καταστάσεις της εταιρίας, στις σημειώσεις 9.16 ‘Αναβαλλόμενη φορολογική υποχρέωση και συμφωνία φόρου’ και </w:t>
      </w:r>
      <w:r w:rsidR="000D3B9D" w:rsidRPr="000E7D09">
        <w:rPr>
          <w:rFonts w:ascii="Century Gothic" w:hAnsi="Century Gothic"/>
          <w:sz w:val="20"/>
          <w:szCs w:val="20"/>
        </w:rPr>
        <w:t xml:space="preserve">11.4 ‘ </w:t>
      </w:r>
      <w:r w:rsidR="00B07181" w:rsidRPr="000E7D09">
        <w:rPr>
          <w:rFonts w:ascii="Century Gothic" w:eastAsia="Arial Unicode MS" w:hAnsi="Century Gothic" w:cs="Arial Unicode MS"/>
          <w:sz w:val="20"/>
          <w:szCs w:val="20"/>
        </w:rPr>
        <w:t>Ενδεχόμενες απαιτήσεις –</w:t>
      </w:r>
      <w:r w:rsidR="00B07181" w:rsidRPr="00B07181">
        <w:rPr>
          <w:rFonts w:ascii="Century Gothic" w:eastAsia="Arial Unicode MS" w:hAnsi="Century Gothic" w:cs="Arial Unicode MS"/>
          <w:sz w:val="20"/>
          <w:szCs w:val="20"/>
        </w:rPr>
        <w:t xml:space="preserve"> υποχρεώσεις</w:t>
      </w:r>
      <w:r w:rsidR="000D3B9D" w:rsidRPr="000E7D09">
        <w:rPr>
          <w:rFonts w:ascii="Century Gothic" w:hAnsi="Century Gothic"/>
          <w:sz w:val="20"/>
          <w:szCs w:val="20"/>
        </w:rPr>
        <w:t>‘</w:t>
      </w:r>
      <w:r w:rsidR="00D47913">
        <w:rPr>
          <w:rFonts w:ascii="Century Gothic" w:hAnsi="Century Gothic"/>
          <w:sz w:val="20"/>
          <w:szCs w:val="20"/>
        </w:rPr>
        <w:t>.</w:t>
      </w:r>
    </w:p>
    <w:p w:rsidR="00D47913" w:rsidRDefault="00D47913" w:rsidP="00CE4560">
      <w:pPr>
        <w:jc w:val="both"/>
        <w:rPr>
          <w:rFonts w:ascii="Century Gothic" w:hAnsi="Century Gothic"/>
          <w:sz w:val="20"/>
          <w:szCs w:val="20"/>
        </w:rPr>
      </w:pPr>
    </w:p>
    <w:p w:rsidR="007E2FA7" w:rsidRPr="002F409C" w:rsidRDefault="002A2C86" w:rsidP="00CE4560">
      <w:pPr>
        <w:jc w:val="both"/>
        <w:rPr>
          <w:rFonts w:ascii="Century Gothic" w:hAnsi="Century Gothic"/>
          <w:sz w:val="20"/>
          <w:szCs w:val="20"/>
        </w:rPr>
      </w:pPr>
      <w:r w:rsidRPr="000E7D09">
        <w:rPr>
          <w:rFonts w:ascii="Century Gothic" w:hAnsi="Century Gothic"/>
          <w:sz w:val="20"/>
          <w:szCs w:val="20"/>
        </w:rPr>
        <w:t>Με</w:t>
      </w:r>
      <w:r w:rsidR="00FE7B7A" w:rsidRPr="000E7D09">
        <w:rPr>
          <w:rFonts w:ascii="Century Gothic" w:hAnsi="Century Gothic"/>
          <w:sz w:val="20"/>
          <w:szCs w:val="20"/>
        </w:rPr>
        <w:t>τά</w:t>
      </w:r>
      <w:r w:rsidRPr="000E7D09">
        <w:rPr>
          <w:rFonts w:ascii="Century Gothic" w:hAnsi="Century Gothic"/>
          <w:sz w:val="20"/>
          <w:szCs w:val="20"/>
        </w:rPr>
        <w:t xml:space="preserve"> την ανωτέρω οριστικοποίηση του τακτικού ελέγχου των χρήσεων 2008 και 2009, , δεν έχουν οριστικοποιηθεί οι φορολογικές υποχρεώσεις για τη χρήση 2010, έναντι των </w:t>
      </w:r>
      <w:r w:rsidR="00434C43" w:rsidRPr="000E7D09">
        <w:rPr>
          <w:rFonts w:ascii="Century Gothic" w:hAnsi="Century Gothic"/>
          <w:sz w:val="20"/>
          <w:szCs w:val="20"/>
        </w:rPr>
        <w:t xml:space="preserve">οποίων υφίσταται </w:t>
      </w:r>
      <w:r w:rsidRPr="000E7D09">
        <w:rPr>
          <w:rFonts w:ascii="Century Gothic" w:hAnsi="Century Gothic"/>
          <w:sz w:val="20"/>
          <w:szCs w:val="20"/>
        </w:rPr>
        <w:t>σχηματισμένη πρόβλεψη 100.000,00 ευρώ.</w:t>
      </w:r>
    </w:p>
    <w:p w:rsidR="002F409C" w:rsidRPr="002F409C" w:rsidRDefault="002F409C" w:rsidP="00CE4560">
      <w:pPr>
        <w:jc w:val="both"/>
        <w:rPr>
          <w:rFonts w:ascii="Century Gothic" w:hAnsi="Century Gothic"/>
          <w:sz w:val="20"/>
          <w:szCs w:val="20"/>
        </w:rPr>
      </w:pPr>
    </w:p>
    <w:p w:rsidR="007E2FA7" w:rsidRPr="000E7D09" w:rsidRDefault="00B07181" w:rsidP="00CE4560">
      <w:pPr>
        <w:jc w:val="both"/>
        <w:rPr>
          <w:rFonts w:ascii="Century Gothic" w:hAnsi="Century Gothic"/>
          <w:sz w:val="20"/>
          <w:szCs w:val="20"/>
        </w:rPr>
      </w:pPr>
      <w:r w:rsidRPr="000E7D09">
        <w:rPr>
          <w:rFonts w:ascii="Century Gothic" w:hAnsi="Century Gothic"/>
          <w:sz w:val="20"/>
          <w:szCs w:val="20"/>
        </w:rPr>
        <w:t xml:space="preserve">Περαιτέρω, σύμφωνα με το άρθρο 82 παρ. 5 του ν. 2238/1994, όπως τροποποιήθηκε και ισχύει με το άρθρο 21 παρ. 10β του ν. 3943/2011, εκδόθηκε από τον Τακτικό Ορκωτό Ελεγκτή της εταιρείας το ετήσιο πιστοποιητικό αναφορικά με τον έλεγχο εφαρμογής των φορολογικών διατάξεων για τη χρήση 2011, χωρίς επιφύλαξη. </w:t>
      </w:r>
    </w:p>
    <w:p w:rsidR="004862EA" w:rsidRDefault="004862EA" w:rsidP="00CE4560">
      <w:pPr>
        <w:jc w:val="both"/>
        <w:rPr>
          <w:rFonts w:ascii="Century Gothic" w:hAnsi="Century Gothic"/>
          <w:sz w:val="20"/>
          <w:szCs w:val="20"/>
          <w:lang w:val="en-US"/>
        </w:rPr>
      </w:pPr>
    </w:p>
    <w:p w:rsidR="007E2FA7" w:rsidRPr="004862EA" w:rsidRDefault="007E2FA7" w:rsidP="00CE4560">
      <w:pPr>
        <w:jc w:val="both"/>
        <w:rPr>
          <w:rFonts w:ascii="Century Gothic" w:hAnsi="Century Gothic"/>
          <w:sz w:val="20"/>
          <w:szCs w:val="20"/>
          <w:lang w:val="en-US"/>
        </w:rPr>
      </w:pPr>
      <w:r w:rsidRPr="000E7D09">
        <w:rPr>
          <w:rFonts w:ascii="Century Gothic" w:hAnsi="Century Gothic"/>
          <w:sz w:val="20"/>
          <w:szCs w:val="20"/>
        </w:rPr>
        <w:t xml:space="preserve">Μαρούσι, </w:t>
      </w:r>
      <w:r w:rsidR="004862EA">
        <w:rPr>
          <w:rFonts w:ascii="Century Gothic" w:hAnsi="Century Gothic"/>
          <w:sz w:val="20"/>
          <w:szCs w:val="20"/>
          <w:lang w:val="en-US"/>
        </w:rPr>
        <w:t>20/09/2012</w:t>
      </w:r>
    </w:p>
    <w:p w:rsidR="007E2FA7" w:rsidRPr="00CE4560" w:rsidRDefault="007E2FA7" w:rsidP="00CE456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ΤΟ ΔΙΟΙΚΗΤΙΚΟ ΣΥΜΒΟΥΛΙΟ</w:t>
      </w:r>
    </w:p>
    <w:sectPr w:rsidR="007E2FA7" w:rsidRPr="00CE4560" w:rsidSect="00CA65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8EA" w:rsidRDefault="00BD28EA" w:rsidP="004C6867">
      <w:r>
        <w:separator/>
      </w:r>
    </w:p>
  </w:endnote>
  <w:endnote w:type="continuationSeparator" w:id="0">
    <w:p w:rsidR="00BD28EA" w:rsidRDefault="00BD28EA" w:rsidP="004C6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8EA" w:rsidRDefault="00BD28EA" w:rsidP="004C6867">
      <w:r>
        <w:separator/>
      </w:r>
    </w:p>
  </w:footnote>
  <w:footnote w:type="continuationSeparator" w:id="0">
    <w:p w:rsidR="00BD28EA" w:rsidRDefault="00BD28EA" w:rsidP="004C6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17B24"/>
    <w:multiLevelType w:val="multilevel"/>
    <w:tmpl w:val="E0CC8F12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867"/>
    <w:rsid w:val="00010A7B"/>
    <w:rsid w:val="00092780"/>
    <w:rsid w:val="000D3B9D"/>
    <w:rsid w:val="000E7D09"/>
    <w:rsid w:val="00105F14"/>
    <w:rsid w:val="001C2883"/>
    <w:rsid w:val="00222866"/>
    <w:rsid w:val="0022357E"/>
    <w:rsid w:val="00237443"/>
    <w:rsid w:val="002A2C86"/>
    <w:rsid w:val="002A4930"/>
    <w:rsid w:val="002F409C"/>
    <w:rsid w:val="002F7694"/>
    <w:rsid w:val="003235AE"/>
    <w:rsid w:val="00337C1F"/>
    <w:rsid w:val="003A139C"/>
    <w:rsid w:val="003B3CE2"/>
    <w:rsid w:val="00424F0C"/>
    <w:rsid w:val="00434C43"/>
    <w:rsid w:val="004862EA"/>
    <w:rsid w:val="0049270A"/>
    <w:rsid w:val="004C6867"/>
    <w:rsid w:val="004D33A4"/>
    <w:rsid w:val="0055632B"/>
    <w:rsid w:val="005917EB"/>
    <w:rsid w:val="005F656C"/>
    <w:rsid w:val="005F7841"/>
    <w:rsid w:val="00654F7D"/>
    <w:rsid w:val="00662FA1"/>
    <w:rsid w:val="006B18EC"/>
    <w:rsid w:val="006B6FF1"/>
    <w:rsid w:val="006E2E1B"/>
    <w:rsid w:val="00707DFF"/>
    <w:rsid w:val="007126EF"/>
    <w:rsid w:val="007256C0"/>
    <w:rsid w:val="00732F7B"/>
    <w:rsid w:val="007404FB"/>
    <w:rsid w:val="007574C6"/>
    <w:rsid w:val="00783512"/>
    <w:rsid w:val="007E2FA7"/>
    <w:rsid w:val="008028DC"/>
    <w:rsid w:val="008561C0"/>
    <w:rsid w:val="008B7142"/>
    <w:rsid w:val="00936546"/>
    <w:rsid w:val="00936FF2"/>
    <w:rsid w:val="0093781B"/>
    <w:rsid w:val="0096338D"/>
    <w:rsid w:val="00980527"/>
    <w:rsid w:val="009A5112"/>
    <w:rsid w:val="00A37819"/>
    <w:rsid w:val="00A40932"/>
    <w:rsid w:val="00A566E7"/>
    <w:rsid w:val="00B07181"/>
    <w:rsid w:val="00BD28EA"/>
    <w:rsid w:val="00C00C09"/>
    <w:rsid w:val="00C47E55"/>
    <w:rsid w:val="00C849E0"/>
    <w:rsid w:val="00CA6528"/>
    <w:rsid w:val="00CB6489"/>
    <w:rsid w:val="00CC41E0"/>
    <w:rsid w:val="00CE385D"/>
    <w:rsid w:val="00CE4560"/>
    <w:rsid w:val="00D47913"/>
    <w:rsid w:val="00D9254F"/>
    <w:rsid w:val="00DB66B6"/>
    <w:rsid w:val="00E23279"/>
    <w:rsid w:val="00E524CE"/>
    <w:rsid w:val="00E65A9D"/>
    <w:rsid w:val="00E66A00"/>
    <w:rsid w:val="00E66F01"/>
    <w:rsid w:val="00F16A92"/>
    <w:rsid w:val="00F3479B"/>
    <w:rsid w:val="00F3779F"/>
    <w:rsid w:val="00FA7D1B"/>
    <w:rsid w:val="00FC3883"/>
    <w:rsid w:val="00FE7B7A"/>
    <w:rsid w:val="00FF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C68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86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4C68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86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0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ECA26-914A-40E6-97F1-8C86AFCF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AEGEK S.A.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SachnikF</dc:creator>
  <cp:lastModifiedBy>stavrogiannim</cp:lastModifiedBy>
  <cp:revision>2</cp:revision>
  <cp:lastPrinted>2012-09-20T07:26:00Z</cp:lastPrinted>
  <dcterms:created xsi:type="dcterms:W3CDTF">2012-09-20T10:01:00Z</dcterms:created>
  <dcterms:modified xsi:type="dcterms:W3CDTF">2012-09-20T10:01:00Z</dcterms:modified>
</cp:coreProperties>
</file>