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A4" w:rsidRPr="00A80BDD" w:rsidRDefault="006334A4" w:rsidP="006334A4">
      <w:pPr>
        <w:jc w:val="center"/>
        <w:rPr>
          <w:b/>
          <w:sz w:val="24"/>
          <w:szCs w:val="24"/>
          <w:lang w:val="en-GB"/>
        </w:rPr>
      </w:pPr>
      <w:r w:rsidRPr="00A80BDD">
        <w:rPr>
          <w:b/>
          <w:sz w:val="24"/>
          <w:szCs w:val="24"/>
          <w:lang w:val="en-GB"/>
        </w:rPr>
        <w:t xml:space="preserve">TITAN CEMENT COMPANY S.A. </w:t>
      </w:r>
    </w:p>
    <w:p w:rsidR="006334A4" w:rsidRPr="00A80BDD" w:rsidRDefault="006334A4" w:rsidP="006334A4">
      <w:pPr>
        <w:jc w:val="center"/>
        <w:rPr>
          <w:sz w:val="24"/>
          <w:szCs w:val="24"/>
          <w:lang w:val="en-GB"/>
        </w:rPr>
      </w:pPr>
      <w:r w:rsidRPr="00A80BDD">
        <w:rPr>
          <w:sz w:val="24"/>
          <w:szCs w:val="24"/>
          <w:lang w:val="en-GB"/>
        </w:rPr>
        <w:t>Reg. Number SA. 6013/06/Β/86/90</w:t>
      </w:r>
    </w:p>
    <w:p w:rsidR="006334A4" w:rsidRPr="00A80BDD" w:rsidRDefault="006334A4" w:rsidP="006334A4">
      <w:pPr>
        <w:ind w:left="5760"/>
        <w:jc w:val="right"/>
        <w:rPr>
          <w:b/>
          <w:sz w:val="24"/>
          <w:szCs w:val="24"/>
          <w:lang w:val="en-GB"/>
        </w:rPr>
      </w:pPr>
      <w:r w:rsidRPr="00A80BDD">
        <w:rPr>
          <w:sz w:val="24"/>
          <w:szCs w:val="24"/>
          <w:lang w:val="en-GB"/>
        </w:rPr>
        <w:t xml:space="preserve"> </w:t>
      </w:r>
      <w:r w:rsidR="0094162C">
        <w:rPr>
          <w:b/>
          <w:sz w:val="24"/>
          <w:szCs w:val="24"/>
          <w:lang w:val="en-US"/>
        </w:rPr>
        <w:t xml:space="preserve">Athens, 4 August 2015 </w:t>
      </w:r>
      <w:r w:rsidRPr="00A80BDD"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6334A4" w:rsidRPr="00A80BDD" w:rsidRDefault="006334A4" w:rsidP="006334A4">
      <w:pPr>
        <w:jc w:val="center"/>
        <w:rPr>
          <w:b/>
          <w:sz w:val="24"/>
          <w:szCs w:val="24"/>
          <w:lang w:val="en-GB"/>
        </w:rPr>
      </w:pPr>
    </w:p>
    <w:p w:rsidR="006334A4" w:rsidRPr="00A80BDD" w:rsidRDefault="006334A4" w:rsidP="006334A4">
      <w:pPr>
        <w:jc w:val="center"/>
        <w:rPr>
          <w:b/>
          <w:sz w:val="24"/>
          <w:szCs w:val="24"/>
          <w:lang w:val="en-GB"/>
        </w:rPr>
      </w:pPr>
      <w:proofErr w:type="gramStart"/>
      <w:r w:rsidRPr="00A80BDD">
        <w:rPr>
          <w:b/>
          <w:sz w:val="24"/>
          <w:szCs w:val="24"/>
          <w:lang w:val="en-GB"/>
        </w:rPr>
        <w:t xml:space="preserve">ANNOUNCEMENT REGARDING THE PAYMENT OF </w:t>
      </w:r>
      <w:r w:rsidR="002C1338">
        <w:rPr>
          <w:b/>
          <w:sz w:val="24"/>
          <w:szCs w:val="24"/>
          <w:lang w:val="en-GB"/>
        </w:rPr>
        <w:t xml:space="preserve">THE 2014 </w:t>
      </w:r>
      <w:r w:rsidRPr="00A80BDD">
        <w:rPr>
          <w:b/>
          <w:sz w:val="24"/>
          <w:szCs w:val="24"/>
          <w:lang w:val="en-GB"/>
        </w:rPr>
        <w:t>DIVID</w:t>
      </w:r>
      <w:r w:rsidR="002C1338">
        <w:rPr>
          <w:b/>
          <w:sz w:val="24"/>
          <w:szCs w:val="24"/>
          <w:lang w:val="en-GB"/>
        </w:rPr>
        <w:t xml:space="preserve">END </w:t>
      </w:r>
      <w:r w:rsidRPr="00A80BDD">
        <w:rPr>
          <w:b/>
          <w:sz w:val="24"/>
          <w:szCs w:val="24"/>
          <w:lang w:val="en-GB"/>
        </w:rPr>
        <w:t xml:space="preserve">AND THE DISTRIBUTION OF SPECIAL RESERVES </w:t>
      </w:r>
      <w:r w:rsidR="002C1338">
        <w:rPr>
          <w:b/>
          <w:sz w:val="24"/>
          <w:szCs w:val="24"/>
          <w:lang w:val="en-GB"/>
        </w:rPr>
        <w:t xml:space="preserve">ALSO </w:t>
      </w:r>
      <w:r w:rsidRPr="00A80BDD">
        <w:rPr>
          <w:b/>
          <w:sz w:val="24"/>
          <w:szCs w:val="24"/>
          <w:lang w:val="en-GB"/>
        </w:rPr>
        <w:t>THROUGH THE BRANCH NETWORK OF ALPHA BANK S.A.</w:t>
      </w:r>
      <w:proofErr w:type="gramEnd"/>
      <w:r w:rsidRPr="00A80BDD">
        <w:rPr>
          <w:b/>
          <w:sz w:val="24"/>
          <w:szCs w:val="24"/>
          <w:lang w:val="en-GB"/>
        </w:rPr>
        <w:t xml:space="preserve"> </w:t>
      </w:r>
    </w:p>
    <w:p w:rsidR="006334A4" w:rsidRPr="00A80BDD" w:rsidRDefault="006334A4" w:rsidP="006334A4">
      <w:pPr>
        <w:tabs>
          <w:tab w:val="left" w:pos="8931"/>
        </w:tabs>
        <w:jc w:val="center"/>
        <w:rPr>
          <w:b/>
          <w:sz w:val="24"/>
          <w:szCs w:val="24"/>
          <w:lang w:val="en-GB"/>
        </w:rPr>
      </w:pPr>
    </w:p>
    <w:p w:rsidR="006334A4" w:rsidRPr="00A80BDD" w:rsidRDefault="006334A4" w:rsidP="006334A4">
      <w:pPr>
        <w:rPr>
          <w:sz w:val="24"/>
          <w:szCs w:val="24"/>
          <w:lang w:val="en-GB"/>
        </w:rPr>
      </w:pPr>
    </w:p>
    <w:p w:rsidR="006334A4" w:rsidRPr="00A80BDD" w:rsidRDefault="002C1338" w:rsidP="006334A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Further to our Announcement dated 13.07.2015, w</w:t>
      </w:r>
      <w:r w:rsidR="006334A4" w:rsidRPr="00A80BDD">
        <w:rPr>
          <w:sz w:val="24"/>
          <w:szCs w:val="24"/>
          <w:lang w:val="en-GB"/>
        </w:rPr>
        <w:t xml:space="preserve">e hereby inform our Shareholders that </w:t>
      </w:r>
      <w:r>
        <w:rPr>
          <w:sz w:val="24"/>
          <w:szCs w:val="24"/>
          <w:lang w:val="en-GB"/>
        </w:rPr>
        <w:t xml:space="preserve">henceforth </w:t>
      </w:r>
      <w:r w:rsidR="006334A4" w:rsidRPr="00A80BDD">
        <w:rPr>
          <w:sz w:val="24"/>
          <w:szCs w:val="24"/>
          <w:lang w:val="en-GB"/>
        </w:rPr>
        <w:t xml:space="preserve">from </w:t>
      </w:r>
      <w:r w:rsidR="00904413">
        <w:rPr>
          <w:sz w:val="24"/>
          <w:szCs w:val="24"/>
          <w:lang w:val="en-GB"/>
        </w:rPr>
        <w:t xml:space="preserve">August 5, </w:t>
      </w:r>
      <w:r w:rsidR="006334A4" w:rsidRPr="00A80BDD">
        <w:rPr>
          <w:sz w:val="24"/>
          <w:szCs w:val="24"/>
          <w:lang w:val="en-GB"/>
        </w:rPr>
        <w:t xml:space="preserve"> 2015</w:t>
      </w:r>
      <w:r>
        <w:rPr>
          <w:sz w:val="24"/>
          <w:szCs w:val="24"/>
          <w:lang w:val="en-GB"/>
        </w:rPr>
        <w:t xml:space="preserve">, </w:t>
      </w:r>
      <w:r w:rsidR="006334A4" w:rsidRPr="00A80BDD">
        <w:rPr>
          <w:sz w:val="24"/>
          <w:szCs w:val="24"/>
          <w:lang w:val="en-GB"/>
        </w:rPr>
        <w:t>the payment of dividend for the 2014 financial year and the distribut</w:t>
      </w:r>
      <w:r w:rsidR="00D52ACE">
        <w:rPr>
          <w:sz w:val="24"/>
          <w:szCs w:val="24"/>
          <w:lang w:val="en-GB"/>
        </w:rPr>
        <w:t>ion of special reserves that have</w:t>
      </w:r>
      <w:r w:rsidR="006334A4" w:rsidRPr="00A80BDD">
        <w:rPr>
          <w:sz w:val="24"/>
          <w:szCs w:val="24"/>
          <w:lang w:val="en-GB"/>
        </w:rPr>
        <w:t xml:space="preserve"> bee</w:t>
      </w:r>
      <w:r>
        <w:rPr>
          <w:sz w:val="24"/>
          <w:szCs w:val="24"/>
          <w:lang w:val="en-GB"/>
        </w:rPr>
        <w:t>n decided by the General Assembly</w:t>
      </w:r>
      <w:r w:rsidR="006334A4" w:rsidRPr="00A80BDD">
        <w:rPr>
          <w:sz w:val="24"/>
          <w:szCs w:val="24"/>
          <w:lang w:val="en-GB"/>
        </w:rPr>
        <w:t xml:space="preserve"> held on 19.06.2015 </w:t>
      </w:r>
      <w:r>
        <w:rPr>
          <w:b/>
          <w:sz w:val="24"/>
          <w:szCs w:val="24"/>
          <w:lang w:val="en-GB"/>
        </w:rPr>
        <w:t>will be also made</w:t>
      </w:r>
      <w:r w:rsidR="006334A4" w:rsidRPr="00D52ACE">
        <w:rPr>
          <w:b/>
          <w:sz w:val="24"/>
          <w:szCs w:val="24"/>
          <w:lang w:val="en-GB"/>
        </w:rPr>
        <w:t xml:space="preserve"> through the branch network of ALPHA BANK S.A.</w:t>
      </w:r>
      <w:r w:rsidR="00611523" w:rsidRPr="00A80BDD">
        <w:rPr>
          <w:sz w:val="24"/>
          <w:szCs w:val="24"/>
          <w:lang w:val="en-GB"/>
        </w:rPr>
        <w:t>,</w:t>
      </w:r>
      <w:r w:rsidR="006334A4" w:rsidRPr="00A80BDD">
        <w:rPr>
          <w:sz w:val="24"/>
          <w:szCs w:val="24"/>
          <w:lang w:val="en-GB"/>
        </w:rPr>
        <w:t xml:space="preserve"> </w:t>
      </w:r>
      <w:r w:rsidR="00611523" w:rsidRPr="00A80BDD">
        <w:rPr>
          <w:sz w:val="24"/>
          <w:szCs w:val="24"/>
          <w:lang w:val="en-GB"/>
        </w:rPr>
        <w:t>in accordance with</w:t>
      </w:r>
      <w:r w:rsidR="006334A4" w:rsidRPr="00A80BDD">
        <w:rPr>
          <w:sz w:val="24"/>
          <w:szCs w:val="24"/>
          <w:lang w:val="en-GB"/>
        </w:rPr>
        <w:t xml:space="preserve"> the </w:t>
      </w:r>
      <w:r w:rsidR="00611523" w:rsidRPr="00A80BDD">
        <w:rPr>
          <w:sz w:val="24"/>
          <w:szCs w:val="24"/>
          <w:lang w:val="en-GB"/>
        </w:rPr>
        <w:t>mandates of</w:t>
      </w:r>
      <w:r w:rsidR="006334A4" w:rsidRPr="00A80BDD">
        <w:rPr>
          <w:sz w:val="24"/>
          <w:szCs w:val="24"/>
          <w:lang w:val="en-GB"/>
        </w:rPr>
        <w:t xml:space="preserve"> the Act of Legislative Content dated 18.07.2015 (Government Gazette</w:t>
      </w:r>
      <w:r w:rsidR="00611523" w:rsidRPr="00A80BDD">
        <w:rPr>
          <w:rFonts w:ascii="Arial" w:hAnsi="Arial" w:cs="Arial"/>
          <w:b/>
          <w:bCs/>
          <w:color w:val="6A6A6A"/>
          <w:shd w:val="clear" w:color="auto" w:fill="FFFFFF"/>
          <w:lang w:val="en-GB"/>
        </w:rPr>
        <w:t xml:space="preserve"> </w:t>
      </w:r>
      <w:r w:rsidR="00611523" w:rsidRPr="00A80BDD">
        <w:rPr>
          <w:sz w:val="24"/>
          <w:szCs w:val="24"/>
          <w:lang w:val="en-GB"/>
        </w:rPr>
        <w:t>of the </w:t>
      </w:r>
      <w:r w:rsidR="00611523" w:rsidRPr="00A80BDD">
        <w:rPr>
          <w:bCs/>
          <w:sz w:val="24"/>
          <w:szCs w:val="24"/>
          <w:lang w:val="en-GB"/>
        </w:rPr>
        <w:t>Hellenic Republic,</w:t>
      </w:r>
      <w:r w:rsidR="00611523" w:rsidRPr="00A80BDD">
        <w:rPr>
          <w:sz w:val="24"/>
          <w:szCs w:val="24"/>
          <w:lang w:val="en-GB"/>
        </w:rPr>
        <w:t xml:space="preserve"> I</w:t>
      </w:r>
      <w:r w:rsidR="006334A4" w:rsidRPr="00A80BDD">
        <w:rPr>
          <w:sz w:val="24"/>
          <w:szCs w:val="24"/>
          <w:lang w:val="en-GB"/>
        </w:rPr>
        <w:t>ssue A</w:t>
      </w:r>
      <w:r w:rsidR="00611523" w:rsidRPr="00A80BDD">
        <w:rPr>
          <w:sz w:val="24"/>
          <w:szCs w:val="24"/>
          <w:lang w:val="en-GB"/>
        </w:rPr>
        <w:t>,</w:t>
      </w:r>
      <w:r w:rsidR="006334A4" w:rsidRPr="00A80BDD">
        <w:rPr>
          <w:sz w:val="24"/>
          <w:szCs w:val="24"/>
          <w:lang w:val="en-GB"/>
        </w:rPr>
        <w:t xml:space="preserve"> No 84/18.7.2015), as applicable, in conjunction with any </w:t>
      </w:r>
      <w:r w:rsidR="00611523" w:rsidRPr="00A80BDD">
        <w:rPr>
          <w:sz w:val="24"/>
          <w:szCs w:val="24"/>
          <w:lang w:val="en-GB"/>
        </w:rPr>
        <w:t xml:space="preserve">subsequent </w:t>
      </w:r>
      <w:r w:rsidR="006334A4" w:rsidRPr="00A80BDD">
        <w:rPr>
          <w:sz w:val="24"/>
          <w:szCs w:val="24"/>
          <w:lang w:val="en-GB"/>
        </w:rPr>
        <w:t>implementing decision</w:t>
      </w:r>
      <w:r w:rsidR="00611523" w:rsidRPr="00A80BDD">
        <w:rPr>
          <w:sz w:val="24"/>
          <w:szCs w:val="24"/>
          <w:lang w:val="en-GB"/>
        </w:rPr>
        <w:t>s</w:t>
      </w:r>
      <w:r w:rsidR="006334A4" w:rsidRPr="00A80BDD">
        <w:rPr>
          <w:sz w:val="24"/>
          <w:szCs w:val="24"/>
          <w:lang w:val="en-GB"/>
        </w:rPr>
        <w:t xml:space="preserve">.  </w:t>
      </w:r>
    </w:p>
    <w:p w:rsidR="006334A4" w:rsidRPr="00A80BDD" w:rsidRDefault="006334A4" w:rsidP="006334A4">
      <w:pPr>
        <w:rPr>
          <w:sz w:val="24"/>
          <w:szCs w:val="24"/>
          <w:lang w:val="en-GB"/>
        </w:rPr>
      </w:pPr>
    </w:p>
    <w:p w:rsidR="006334A4" w:rsidRPr="00A80BDD" w:rsidRDefault="00235D57" w:rsidP="006334A4">
      <w:pPr>
        <w:rPr>
          <w:sz w:val="24"/>
          <w:szCs w:val="24"/>
          <w:lang w:val="en-GB"/>
        </w:rPr>
      </w:pPr>
      <w:r w:rsidRPr="00A80BDD">
        <w:rPr>
          <w:sz w:val="24"/>
          <w:szCs w:val="24"/>
          <w:lang w:val="en-GB"/>
        </w:rPr>
        <w:t>The aforesaid</w:t>
      </w:r>
      <w:r w:rsidR="006334A4" w:rsidRPr="00A80BDD">
        <w:rPr>
          <w:sz w:val="24"/>
          <w:szCs w:val="24"/>
          <w:lang w:val="en-GB"/>
        </w:rPr>
        <w:t xml:space="preserve"> payments will be made</w:t>
      </w:r>
      <w:r w:rsidR="00E30417" w:rsidRPr="00A80BDD">
        <w:rPr>
          <w:sz w:val="24"/>
          <w:szCs w:val="24"/>
          <w:lang w:val="en-GB"/>
        </w:rPr>
        <w:t xml:space="preserve"> to the S</w:t>
      </w:r>
      <w:r w:rsidR="006334A4" w:rsidRPr="00A80BDD">
        <w:rPr>
          <w:sz w:val="24"/>
          <w:szCs w:val="24"/>
          <w:lang w:val="en-GB"/>
        </w:rPr>
        <w:t>hareholder</w:t>
      </w:r>
      <w:r w:rsidRPr="00A80BDD">
        <w:rPr>
          <w:sz w:val="24"/>
          <w:szCs w:val="24"/>
          <w:lang w:val="en-GB"/>
        </w:rPr>
        <w:t>s</w:t>
      </w:r>
      <w:r w:rsidR="006334A4" w:rsidRPr="00A80BDD">
        <w:rPr>
          <w:sz w:val="24"/>
          <w:szCs w:val="24"/>
          <w:lang w:val="en-GB"/>
        </w:rPr>
        <w:t xml:space="preserve"> themselves, provided that they </w:t>
      </w:r>
      <w:r w:rsidR="00983AA3">
        <w:rPr>
          <w:sz w:val="24"/>
          <w:szCs w:val="24"/>
          <w:lang w:val="en-GB"/>
        </w:rPr>
        <w:t>keep their</w:t>
      </w:r>
      <w:r w:rsidR="002C1338">
        <w:rPr>
          <w:sz w:val="24"/>
          <w:szCs w:val="24"/>
          <w:lang w:val="en-GB"/>
        </w:rPr>
        <w:t xml:space="preserve"> shares with the </w:t>
      </w:r>
      <w:r w:rsidR="00A80BDD" w:rsidRPr="00A80BDD">
        <w:rPr>
          <w:sz w:val="24"/>
          <w:szCs w:val="24"/>
          <w:lang w:val="en-GB"/>
        </w:rPr>
        <w:t>“</w:t>
      </w:r>
      <w:r w:rsidR="006334A4" w:rsidRPr="00A80BDD">
        <w:rPr>
          <w:sz w:val="24"/>
          <w:szCs w:val="24"/>
          <w:lang w:val="en-GB"/>
        </w:rPr>
        <w:t>Hellenic Central Securities Depository S.A.</w:t>
      </w:r>
      <w:r w:rsidR="00A80BDD" w:rsidRPr="00A80BDD">
        <w:rPr>
          <w:sz w:val="24"/>
          <w:szCs w:val="24"/>
          <w:lang w:val="en-GB"/>
        </w:rPr>
        <w:t>”</w:t>
      </w:r>
      <w:r w:rsidR="006334A4" w:rsidRPr="00A80BDD">
        <w:rPr>
          <w:sz w:val="24"/>
          <w:szCs w:val="24"/>
          <w:lang w:val="en-GB"/>
        </w:rPr>
        <w:t xml:space="preserve"> (ATHEXCSD)</w:t>
      </w:r>
      <w:r w:rsidR="00E30417" w:rsidRPr="00A80BDD">
        <w:rPr>
          <w:sz w:val="24"/>
          <w:szCs w:val="24"/>
          <w:lang w:val="en-GB"/>
        </w:rPr>
        <w:t>,</w:t>
      </w:r>
      <w:r w:rsidR="006334A4" w:rsidRPr="00A80BDD">
        <w:rPr>
          <w:sz w:val="24"/>
          <w:szCs w:val="24"/>
          <w:lang w:val="en-GB"/>
        </w:rPr>
        <w:t xml:space="preserve"> or have not authorized an Account Operator to receive dividend payments on their behalf</w:t>
      </w:r>
      <w:r w:rsidR="00E30417" w:rsidRPr="00A80BDD">
        <w:rPr>
          <w:sz w:val="24"/>
          <w:szCs w:val="24"/>
          <w:lang w:val="en-GB"/>
        </w:rPr>
        <w:t>,</w:t>
      </w:r>
      <w:r w:rsidR="006334A4" w:rsidRPr="00A80BDD">
        <w:rPr>
          <w:sz w:val="24"/>
          <w:szCs w:val="24"/>
          <w:lang w:val="en-GB"/>
        </w:rPr>
        <w:t xml:space="preserve"> or have recalled any such authorisation. Shareholders must have</w:t>
      </w:r>
      <w:r w:rsidR="00E30417" w:rsidRPr="00A80BDD">
        <w:rPr>
          <w:sz w:val="24"/>
          <w:szCs w:val="24"/>
          <w:lang w:val="en-GB"/>
        </w:rPr>
        <w:t xml:space="preserve"> with them their IDs </w:t>
      </w:r>
      <w:r w:rsidR="006334A4" w:rsidRPr="00A80BDD">
        <w:rPr>
          <w:sz w:val="24"/>
          <w:szCs w:val="24"/>
          <w:lang w:val="en-GB"/>
        </w:rPr>
        <w:t>and a printed copy of their particulars on the Dematerialized Securities System. These payments may also be received by duly authorized proxies of the Shareholders, provided that they present a written mandate and authorization granted by the beneficiary Shareholder with verified signature by a Citizens’ Service Centre (KEP) or a Police Station.</w:t>
      </w:r>
    </w:p>
    <w:p w:rsidR="006334A4" w:rsidRPr="00A80BDD" w:rsidRDefault="006334A4" w:rsidP="006334A4">
      <w:pPr>
        <w:rPr>
          <w:sz w:val="24"/>
          <w:szCs w:val="24"/>
          <w:lang w:val="en-GB"/>
        </w:rPr>
      </w:pPr>
      <w:bookmarkStart w:id="0" w:name="_GoBack"/>
      <w:bookmarkEnd w:id="0"/>
    </w:p>
    <w:p w:rsidR="006334A4" w:rsidRPr="00A80BDD" w:rsidRDefault="006334A4" w:rsidP="006334A4">
      <w:pPr>
        <w:rPr>
          <w:sz w:val="24"/>
          <w:szCs w:val="24"/>
          <w:lang w:val="en-GB"/>
        </w:rPr>
      </w:pPr>
      <w:r w:rsidRPr="00A80BDD">
        <w:rPr>
          <w:sz w:val="24"/>
          <w:szCs w:val="24"/>
          <w:lang w:val="en-GB"/>
        </w:rPr>
        <w:t>Please also note that:</w:t>
      </w:r>
    </w:p>
    <w:p w:rsidR="006334A4" w:rsidRPr="00A80BDD" w:rsidRDefault="006334A4" w:rsidP="006334A4">
      <w:pPr>
        <w:rPr>
          <w:sz w:val="24"/>
          <w:szCs w:val="24"/>
          <w:lang w:val="en-GB"/>
        </w:rPr>
      </w:pPr>
    </w:p>
    <w:p w:rsidR="006334A4" w:rsidRPr="00983AA3" w:rsidRDefault="006C5F14" w:rsidP="006334A4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A80BDD">
        <w:rPr>
          <w:sz w:val="24"/>
          <w:szCs w:val="24"/>
          <w:lang w:val="en-GB"/>
        </w:rPr>
        <w:t>The right to receive such payments have</w:t>
      </w:r>
      <w:r w:rsidR="002C1338">
        <w:rPr>
          <w:sz w:val="24"/>
          <w:szCs w:val="24"/>
          <w:lang w:val="en-GB"/>
        </w:rPr>
        <w:t xml:space="preserve"> Shareholders who were registered </w:t>
      </w:r>
      <w:r w:rsidR="006334A4" w:rsidRPr="00A80BDD">
        <w:rPr>
          <w:sz w:val="24"/>
          <w:szCs w:val="24"/>
          <w:lang w:val="en-GB"/>
        </w:rPr>
        <w:t xml:space="preserve">on </w:t>
      </w:r>
      <w:r w:rsidR="002C1338">
        <w:rPr>
          <w:sz w:val="24"/>
          <w:szCs w:val="24"/>
          <w:lang w:val="en-GB"/>
        </w:rPr>
        <w:t xml:space="preserve">the electronic registry of </w:t>
      </w:r>
      <w:r w:rsidR="006334A4" w:rsidRPr="00A80BDD">
        <w:rPr>
          <w:sz w:val="24"/>
          <w:szCs w:val="24"/>
          <w:lang w:val="en-GB"/>
        </w:rPr>
        <w:t xml:space="preserve">the Dematerialized Securities System on </w:t>
      </w:r>
      <w:r w:rsidR="006334A4" w:rsidRPr="00A80BDD">
        <w:rPr>
          <w:b/>
          <w:sz w:val="24"/>
          <w:szCs w:val="24"/>
          <w:lang w:val="en-GB"/>
        </w:rPr>
        <w:t>Thursday, 25 June 2015.</w:t>
      </w:r>
    </w:p>
    <w:p w:rsidR="006334A4" w:rsidRPr="00983AA3" w:rsidRDefault="006334A4" w:rsidP="00983AA3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983AA3">
        <w:rPr>
          <w:sz w:val="24"/>
          <w:szCs w:val="24"/>
          <w:lang w:val="en-GB"/>
        </w:rPr>
        <w:t xml:space="preserve">The dividend distribution for the 2014 financial year amounts to </w:t>
      </w:r>
      <w:r w:rsidRPr="00983AA3">
        <w:rPr>
          <w:b/>
          <w:sz w:val="24"/>
          <w:szCs w:val="24"/>
          <w:lang w:val="en-GB"/>
        </w:rPr>
        <w:t>€0.15 per share</w:t>
      </w:r>
      <w:r w:rsidRPr="00983AA3">
        <w:rPr>
          <w:sz w:val="24"/>
          <w:szCs w:val="24"/>
          <w:lang w:val="en-GB"/>
        </w:rPr>
        <w:t xml:space="preserve"> (ordinary or preference). This amount, proportionally increased by the dividend </w:t>
      </w:r>
      <w:proofErr w:type="gramStart"/>
      <w:r w:rsidRPr="00983AA3">
        <w:rPr>
          <w:sz w:val="24"/>
          <w:szCs w:val="24"/>
          <w:lang w:val="en-GB"/>
        </w:rPr>
        <w:t>corresponding</w:t>
      </w:r>
      <w:proofErr w:type="gramEnd"/>
      <w:r w:rsidRPr="00983AA3">
        <w:rPr>
          <w:sz w:val="24"/>
          <w:szCs w:val="24"/>
          <w:lang w:val="en-GB"/>
        </w:rPr>
        <w:t xml:space="preserve"> to the treasury stock held by the Company, becomes </w:t>
      </w:r>
      <w:r w:rsidRPr="00983AA3">
        <w:rPr>
          <w:b/>
          <w:sz w:val="24"/>
          <w:szCs w:val="24"/>
          <w:lang w:val="en-GB"/>
        </w:rPr>
        <w:t>€0.15509 per share</w:t>
      </w:r>
      <w:r w:rsidRPr="00983AA3">
        <w:rPr>
          <w:sz w:val="24"/>
          <w:szCs w:val="24"/>
          <w:lang w:val="en-GB"/>
        </w:rPr>
        <w:t>. From this amount the Company will withhold on behalf of the Shareholder a 10% tax and, t</w:t>
      </w:r>
      <w:r w:rsidRPr="00983AA3">
        <w:rPr>
          <w:bCs/>
          <w:sz w:val="24"/>
          <w:szCs w:val="24"/>
          <w:lang w:val="en-GB"/>
        </w:rPr>
        <w:t xml:space="preserve">herefore, </w:t>
      </w:r>
      <w:r w:rsidRPr="00983AA3">
        <w:rPr>
          <w:b/>
          <w:sz w:val="24"/>
          <w:szCs w:val="24"/>
          <w:u w:val="single"/>
          <w:lang w:val="en-GB"/>
        </w:rPr>
        <w:t>Shareholders will receive a net amount of € 0.13958 per share</w:t>
      </w:r>
      <w:r w:rsidRPr="00983AA3">
        <w:rPr>
          <w:b/>
          <w:sz w:val="24"/>
          <w:szCs w:val="24"/>
          <w:lang w:val="en-GB"/>
        </w:rPr>
        <w:t>.</w:t>
      </w:r>
    </w:p>
    <w:p w:rsidR="00681409" w:rsidRPr="0094162C" w:rsidRDefault="006334A4" w:rsidP="0094162C">
      <w:pPr>
        <w:numPr>
          <w:ilvl w:val="0"/>
          <w:numId w:val="2"/>
        </w:numPr>
        <w:rPr>
          <w:lang w:val="en-GB"/>
        </w:rPr>
      </w:pPr>
      <w:r w:rsidRPr="0094162C">
        <w:rPr>
          <w:sz w:val="24"/>
          <w:szCs w:val="24"/>
          <w:lang w:val="en-GB"/>
        </w:rPr>
        <w:t>T</w:t>
      </w:r>
      <w:r w:rsidRPr="0094162C">
        <w:rPr>
          <w:bCs/>
          <w:sz w:val="24"/>
          <w:szCs w:val="24"/>
          <w:lang w:val="en-GB"/>
        </w:rPr>
        <w:t xml:space="preserve">he distribution of special reserves amounts to </w:t>
      </w:r>
      <w:r w:rsidRPr="0094162C">
        <w:rPr>
          <w:b/>
          <w:bCs/>
          <w:sz w:val="24"/>
          <w:szCs w:val="24"/>
          <w:lang w:val="en-GB"/>
        </w:rPr>
        <w:t>€0.15 per share</w:t>
      </w:r>
      <w:r w:rsidRPr="0094162C">
        <w:rPr>
          <w:bCs/>
          <w:sz w:val="24"/>
          <w:szCs w:val="24"/>
          <w:lang w:val="en-GB"/>
        </w:rPr>
        <w:t xml:space="preserve"> </w:t>
      </w:r>
      <w:r w:rsidRPr="0094162C">
        <w:rPr>
          <w:sz w:val="24"/>
          <w:szCs w:val="24"/>
          <w:lang w:val="en-GB"/>
        </w:rPr>
        <w:t>(ordinary or preference)</w:t>
      </w:r>
      <w:r w:rsidRPr="0094162C">
        <w:rPr>
          <w:bCs/>
          <w:sz w:val="24"/>
          <w:szCs w:val="24"/>
          <w:lang w:val="en-GB"/>
        </w:rPr>
        <w:t>. This</w:t>
      </w:r>
      <w:r w:rsidRPr="0094162C">
        <w:rPr>
          <w:sz w:val="24"/>
          <w:szCs w:val="24"/>
          <w:lang w:val="en-GB"/>
        </w:rPr>
        <w:t xml:space="preserve"> amount will be proportionally increased by the amount corresponding to the treasury stock held by the Company and, therefore, </w:t>
      </w:r>
      <w:r w:rsidRPr="0094162C">
        <w:rPr>
          <w:b/>
          <w:sz w:val="24"/>
          <w:szCs w:val="24"/>
          <w:u w:val="single"/>
          <w:lang w:val="en-GB"/>
        </w:rPr>
        <w:t>Shareholders will receive a net amount of €0.15509 per share</w:t>
      </w:r>
      <w:r w:rsidRPr="0094162C">
        <w:rPr>
          <w:b/>
          <w:sz w:val="24"/>
          <w:szCs w:val="24"/>
          <w:lang w:val="en-GB"/>
        </w:rPr>
        <w:t>.</w:t>
      </w:r>
      <w:r w:rsidRPr="0094162C">
        <w:rPr>
          <w:bCs/>
          <w:sz w:val="24"/>
          <w:szCs w:val="24"/>
          <w:lang w:val="en-GB"/>
        </w:rPr>
        <w:t xml:space="preserve"> The distribution of the aforesaid reserves is not subject to taxation.</w:t>
      </w:r>
    </w:p>
    <w:sectPr w:rsidR="00681409" w:rsidRPr="0094162C" w:rsidSect="00007120">
      <w:headerReference w:type="default" r:id="rId8"/>
      <w:pgSz w:w="12240" w:h="15840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03" w:rsidRDefault="003E3A03" w:rsidP="00007120">
      <w:pPr>
        <w:spacing w:before="0" w:after="0"/>
      </w:pPr>
      <w:r>
        <w:separator/>
      </w:r>
    </w:p>
  </w:endnote>
  <w:endnote w:type="continuationSeparator" w:id="0">
    <w:p w:rsidR="003E3A03" w:rsidRDefault="003E3A03" w:rsidP="000071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03" w:rsidRDefault="003E3A03" w:rsidP="00007120">
      <w:pPr>
        <w:spacing w:before="0" w:after="0"/>
      </w:pPr>
      <w:r>
        <w:separator/>
      </w:r>
    </w:p>
  </w:footnote>
  <w:footnote w:type="continuationSeparator" w:id="0">
    <w:p w:rsidR="003E3A03" w:rsidRDefault="003E3A03" w:rsidP="000071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2C" w:rsidRDefault="0094162C">
    <w:pPr>
      <w:pStyle w:val="Header"/>
    </w:pPr>
    <w:r>
      <w:rPr>
        <w:noProof/>
        <w:lang w:eastAsia="el-GR"/>
      </w:rPr>
      <w:drawing>
        <wp:inline distT="0" distB="0" distL="0" distR="0" wp14:anchorId="1729FE05">
          <wp:extent cx="1295400" cy="466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FF0"/>
    <w:multiLevelType w:val="hybridMultilevel"/>
    <w:tmpl w:val="3D0C5DCA"/>
    <w:lvl w:ilvl="0" w:tplc="FCAE69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D58E8"/>
    <w:multiLevelType w:val="hybridMultilevel"/>
    <w:tmpl w:val="E0744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A4"/>
    <w:rsid w:val="00007120"/>
    <w:rsid w:val="000704D6"/>
    <w:rsid w:val="00235D57"/>
    <w:rsid w:val="00241146"/>
    <w:rsid w:val="002C1338"/>
    <w:rsid w:val="003128C0"/>
    <w:rsid w:val="003E3A03"/>
    <w:rsid w:val="00611523"/>
    <w:rsid w:val="006334A4"/>
    <w:rsid w:val="006B113D"/>
    <w:rsid w:val="006C5F14"/>
    <w:rsid w:val="00750E38"/>
    <w:rsid w:val="00904413"/>
    <w:rsid w:val="0094162C"/>
    <w:rsid w:val="00983AA3"/>
    <w:rsid w:val="009A6DD7"/>
    <w:rsid w:val="00A80BDD"/>
    <w:rsid w:val="00B30463"/>
    <w:rsid w:val="00BC2C0A"/>
    <w:rsid w:val="00C54FF6"/>
    <w:rsid w:val="00D52ACE"/>
    <w:rsid w:val="00D72A7A"/>
    <w:rsid w:val="00E30417"/>
    <w:rsid w:val="00F2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A4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120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07120"/>
    <w:rPr>
      <w:rFonts w:ascii="Times New Roman" w:eastAsia="Times New Roman" w:hAnsi="Times New Roman" w:cs="Times New Roman"/>
      <w:szCs w:val="20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007120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07120"/>
    <w:rPr>
      <w:rFonts w:ascii="Times New Roman" w:eastAsia="Times New Roman" w:hAnsi="Times New Roman" w:cs="Times New Roman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2C"/>
    <w:rPr>
      <w:rFonts w:ascii="Tahoma" w:eastAsia="Times New Roman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A4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120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07120"/>
    <w:rPr>
      <w:rFonts w:ascii="Times New Roman" w:eastAsia="Times New Roman" w:hAnsi="Times New Roman" w:cs="Times New Roman"/>
      <w:szCs w:val="20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007120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07120"/>
    <w:rPr>
      <w:rFonts w:ascii="Times New Roman" w:eastAsia="Times New Roman" w:hAnsi="Times New Roman" w:cs="Times New Roman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2C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Tsirmpa Izabella</dc:creator>
  <cp:lastModifiedBy>Fintikaki Marilena</cp:lastModifiedBy>
  <cp:revision>3</cp:revision>
  <dcterms:created xsi:type="dcterms:W3CDTF">2015-08-04T10:45:00Z</dcterms:created>
  <dcterms:modified xsi:type="dcterms:W3CDTF">2015-08-04T10:48:00Z</dcterms:modified>
</cp:coreProperties>
</file>