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08" w:rsidRPr="00B22439" w:rsidRDefault="00D97DBC" w:rsidP="00820504">
      <w:pPr>
        <w:pStyle w:val="DateNew"/>
      </w:pPr>
      <w:r w:rsidRPr="00B22439">
        <w:t>11</w:t>
      </w:r>
      <w:r w:rsidR="0072053C" w:rsidRPr="00B22439">
        <w:t xml:space="preserve"> Φεβρουαρίου </w:t>
      </w:r>
      <w:r w:rsidR="00CB6708" w:rsidRPr="00B22439">
        <w:rPr>
          <w:noProof/>
          <w:lang w:eastAsia="el-GR"/>
        </w:rPr>
        <mc:AlternateContent>
          <mc:Choice Requires="wps">
            <w:drawing>
              <wp:anchor distT="0" distB="0" distL="114300" distR="114300" simplePos="0" relativeHeight="251658240" behindDoc="0" locked="0" layoutInCell="1" allowOverlap="1" wp14:anchorId="61A6FFEA" wp14:editId="5EB48D05">
                <wp:simplePos x="0" y="0"/>
                <wp:positionH relativeFrom="column">
                  <wp:posOffset>3282646</wp:posOffset>
                </wp:positionH>
                <wp:positionV relativeFrom="paragraph">
                  <wp:posOffset>-516255</wp:posOffset>
                </wp:positionV>
                <wp:extent cx="2125980" cy="508884"/>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6708" w:rsidRPr="00CB6708" w:rsidRDefault="00CB6708" w:rsidP="00035040">
                            <w:pPr>
                              <w:pStyle w:val="Subtitle"/>
                            </w:pPr>
                            <w:r w:rsidRPr="00CB6708">
                              <w:t xml:space="preserve">Δελτίο </w:t>
                            </w:r>
                            <w:r>
                              <w:t>Τύπου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8.5pt;margin-top:-40.65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" filled="f" stroked="f" strokeweight=".5pt">
                <v:textbox>
                  <w:txbxContent>
                    <w:p w:rsidR="00CB6708" w:rsidRPr="00CB6708" w:rsidRDefault="00CB6708" w:rsidP="00035040">
                      <w:pPr>
                        <w:pStyle w:val="Subtitle"/>
                      </w:pPr>
                      <w:r w:rsidRPr="00CB6708">
                        <w:t xml:space="preserve">Δελτίο </w:t>
                      </w:r>
                      <w:r>
                        <w:t>Τύπου</w:t>
                      </w:r>
                    </w:p>
                  </w:txbxContent>
                </v:textbox>
              </v:shape>
            </w:pict>
          </mc:Fallback>
        </mc:AlternateContent>
      </w:r>
      <w:r w:rsidR="001A492B" w:rsidRPr="00B22439">
        <w:t>2016</w:t>
      </w:r>
    </w:p>
    <w:p w:rsidR="00CB6708" w:rsidRPr="00B22439" w:rsidRDefault="0072053C" w:rsidP="00BF074E">
      <w:pPr>
        <w:pStyle w:val="Title"/>
      </w:pPr>
      <w:r w:rsidRPr="00B22439">
        <w:t>Διοικούσα Επιτροπή Χρηματιστηριακών Αγορών</w:t>
      </w:r>
    </w:p>
    <w:p w:rsidR="00EB44D8" w:rsidRPr="00B22439" w:rsidRDefault="00D97DBC" w:rsidP="00EB44D8">
      <w:pPr>
        <w:rPr>
          <w:iCs/>
        </w:rPr>
      </w:pPr>
      <w:r w:rsidRPr="00B22439">
        <w:rPr>
          <w:iCs/>
        </w:rPr>
        <w:t>Κατά τη σημερινή συνεδρ</w:t>
      </w:r>
      <w:r w:rsidR="000514D6" w:rsidRPr="00B22439">
        <w:rPr>
          <w:iCs/>
        </w:rPr>
        <w:t>ίασή</w:t>
      </w:r>
      <w:r w:rsidRPr="00B22439">
        <w:rPr>
          <w:iCs/>
        </w:rPr>
        <w:t xml:space="preserve"> της</w:t>
      </w:r>
      <w:r w:rsidR="003F3EDE" w:rsidRPr="00B22439">
        <w:rPr>
          <w:iCs/>
        </w:rPr>
        <w:t xml:space="preserve">, </w:t>
      </w:r>
    </w:p>
    <w:p w:rsidR="00FA7830" w:rsidRPr="00B22439" w:rsidRDefault="00FA7830" w:rsidP="00FA7830">
      <w:r w:rsidRPr="00B22439">
        <w:rPr>
          <w:iCs/>
        </w:rPr>
        <w:t>ενέκρινε,</w:t>
      </w:r>
    </w:p>
    <w:p w:rsidR="00FA7830" w:rsidRPr="00B22439" w:rsidRDefault="00FA7830" w:rsidP="00FA7830">
      <w:pPr>
        <w:pStyle w:val="ListParagraph"/>
        <w:rPr>
          <w:iCs/>
        </w:rPr>
      </w:pPr>
      <w:r w:rsidRPr="00B22439">
        <w:rPr>
          <w:iCs/>
        </w:rPr>
        <w:t xml:space="preserve">την </w:t>
      </w:r>
      <w:r w:rsidRPr="00B22439">
        <w:rPr>
          <w:b/>
          <w:iCs/>
        </w:rPr>
        <w:t>άρση της επιτήρησης</w:t>
      </w:r>
      <w:r w:rsidRPr="00B22439">
        <w:rPr>
          <w:iCs/>
        </w:rPr>
        <w:t xml:space="preserve"> των μετοχών της εταιρ</w:t>
      </w:r>
      <w:r w:rsidR="000514D6" w:rsidRPr="00B22439">
        <w:rPr>
          <w:iCs/>
        </w:rPr>
        <w:t>ε</w:t>
      </w:r>
      <w:r w:rsidRPr="00B22439">
        <w:rPr>
          <w:iCs/>
        </w:rPr>
        <w:t xml:space="preserve">ίας </w:t>
      </w:r>
      <w:r w:rsidRPr="00B22439">
        <w:rPr>
          <w:b/>
          <w:iCs/>
        </w:rPr>
        <w:t>«</w:t>
      </w:r>
      <w:hyperlink r:id="rId8" w:history="1">
        <w:r w:rsidRPr="00B22439">
          <w:rPr>
            <w:rStyle w:val="Hyperlink"/>
            <w:b/>
            <w:iCs/>
          </w:rPr>
          <w:t>ΝΗΡΕΥΣ ΙΧΘΥΟΚΑΛΛΙΕΡΓΕΙΕΣ Α.Ε.</w:t>
        </w:r>
      </w:hyperlink>
      <w:r w:rsidRPr="00B22439">
        <w:rPr>
          <w:b/>
          <w:iCs/>
        </w:rPr>
        <w:t>»</w:t>
      </w:r>
      <w:r w:rsidRPr="00B22439">
        <w:rPr>
          <w:iCs/>
        </w:rPr>
        <w:t xml:space="preserve"> (GRS234003002), δεδομένου ότι δεν συντρέχουν πια λόγοι για την υπαγωγή της στην εν λόγω κατηγορία. Οι μετοχές της εταιρ</w:t>
      </w:r>
      <w:r w:rsidR="000514D6" w:rsidRPr="00B22439">
        <w:rPr>
          <w:iCs/>
        </w:rPr>
        <w:t>ε</w:t>
      </w:r>
      <w:r w:rsidRPr="00B22439">
        <w:rPr>
          <w:iCs/>
        </w:rPr>
        <w:t xml:space="preserve">ίας από τη συνεδρίαση του Χρηματιστηρίου της </w:t>
      </w:r>
      <w:r w:rsidRPr="00B22439">
        <w:rPr>
          <w:b/>
          <w:iCs/>
        </w:rPr>
        <w:t>Παρασκευής 12 Φεβρουαρίου 2016</w:t>
      </w:r>
      <w:r w:rsidRPr="00B22439">
        <w:rPr>
          <w:iCs/>
        </w:rPr>
        <w:t xml:space="preserve"> θα διαπραγματεύονται στην Κύρια Αγορά του Χρηματιστηρίου Αθηνών.</w:t>
      </w:r>
    </w:p>
    <w:p w:rsidR="00FA7830" w:rsidRPr="00B22439" w:rsidRDefault="00FA7830" w:rsidP="00FA7830">
      <w:pPr>
        <w:pStyle w:val="ListParagraph"/>
      </w:pPr>
      <w:r w:rsidRPr="00B22439">
        <w:t>την</w:t>
      </w:r>
      <w:r w:rsidRPr="00B22439">
        <w:rPr>
          <w:b/>
        </w:rPr>
        <w:t xml:space="preserve"> </w:t>
      </w:r>
      <w:r w:rsidRPr="00B22439">
        <w:t xml:space="preserve">αποκοπή του δικαιώματος συμμετοχής στην </w:t>
      </w:r>
      <w:r w:rsidRPr="00B22439">
        <w:rPr>
          <w:b/>
        </w:rPr>
        <w:t>αύξηση του μετοχικού κεφαλαίου με διανομή δωρεάν μετοχών</w:t>
      </w:r>
      <w:r w:rsidRPr="00B22439">
        <w:t xml:space="preserve"> στους μετόχους της εταιρ</w:t>
      </w:r>
      <w:r w:rsidR="000514D6" w:rsidRPr="00B22439">
        <w:t>ε</w:t>
      </w:r>
      <w:r w:rsidRPr="00B22439">
        <w:t xml:space="preserve">ίας </w:t>
      </w:r>
      <w:r w:rsidRPr="00B22439">
        <w:rPr>
          <w:b/>
        </w:rPr>
        <w:t>«</w:t>
      </w:r>
      <w:hyperlink r:id="rId9" w:history="1">
        <w:r w:rsidRPr="00B22439">
          <w:rPr>
            <w:rStyle w:val="Hyperlink"/>
            <w:b/>
          </w:rPr>
          <w:t>ΠΛΑΣΤΙΚΑ ΚΡΗΤΗΣ Α.Β.Ε.Ε.</w:t>
        </w:r>
      </w:hyperlink>
      <w:r w:rsidRPr="00B22439">
        <w:rPr>
          <w:b/>
        </w:rPr>
        <w:t>»</w:t>
      </w:r>
      <w:r w:rsidRPr="00B22439">
        <w:t xml:space="preserve"> </w:t>
      </w:r>
      <w:r w:rsidRPr="00B22439">
        <w:rPr>
          <w:iCs/>
        </w:rPr>
        <w:t xml:space="preserve">(ISIN: GRS326003001), την </w:t>
      </w:r>
      <w:r w:rsidRPr="00B22439">
        <w:rPr>
          <w:b/>
        </w:rPr>
        <w:t xml:space="preserve">Τετάρτη 17 Φεβρουαρίου 2016, </w:t>
      </w:r>
      <w:r w:rsidRPr="00B22439">
        <w:rPr>
          <w:iCs/>
        </w:rPr>
        <w:t>σε αναλογία 1 νέα κοινή ονομαστική μετοχή για κάθε 2 παλαιές κοινές ονομαστικές μετοχές, με την έκδοση</w:t>
      </w:r>
      <w:r w:rsidRPr="00B22439">
        <w:rPr>
          <w:b/>
          <w:iCs/>
        </w:rPr>
        <w:t xml:space="preserve"> </w:t>
      </w:r>
      <w:r w:rsidRPr="00B22439">
        <w:rPr>
          <w:b/>
        </w:rPr>
        <w:t xml:space="preserve">13.689.600 </w:t>
      </w:r>
      <w:r w:rsidRPr="00B22439">
        <w:t>νέων κοινών ονομαστικών μετοχών. Ημερομηνία καταγραφής των δικαιούχων (record date) για την εν λόγω εταιρική πράξη είναι η</w:t>
      </w:r>
      <w:r w:rsidRPr="00B22439">
        <w:rPr>
          <w:b/>
        </w:rPr>
        <w:t xml:space="preserve"> Πέμπτη, 18 Φεβρουαρίου 2016, </w:t>
      </w:r>
      <w:r w:rsidRPr="00B22439">
        <w:t>ενώ η ημερομηνία έναρξης διαπραγμάτευσης είναι η</w:t>
      </w:r>
      <w:r w:rsidRPr="00B22439">
        <w:rPr>
          <w:b/>
        </w:rPr>
        <w:t xml:space="preserve"> Τρίτη 23 Φεβρουαρίου 2016.</w:t>
      </w:r>
    </w:p>
    <w:p w:rsidR="00D37454" w:rsidRPr="00B22439" w:rsidRDefault="00FA7830" w:rsidP="00FA7830">
      <w:pPr>
        <w:pStyle w:val="ListParagraph"/>
        <w:rPr>
          <w:iCs/>
        </w:rPr>
      </w:pPr>
      <w:r w:rsidRPr="00B22439">
        <w:rPr>
          <w:iCs/>
        </w:rPr>
        <w:t>τη</w:t>
      </w:r>
      <w:r w:rsidRPr="00B22439">
        <w:rPr>
          <w:b/>
          <w:iCs/>
        </w:rPr>
        <w:t xml:space="preserve"> διαγραφή των</w:t>
      </w:r>
      <w:r w:rsidR="00D37454" w:rsidRPr="00B22439">
        <w:rPr>
          <w:b/>
          <w:iCs/>
        </w:rPr>
        <w:t xml:space="preserve"> </w:t>
      </w:r>
      <w:r w:rsidRPr="00B22439">
        <w:rPr>
          <w:b/>
          <w:iCs/>
        </w:rPr>
        <w:t xml:space="preserve">μετοχών των </w:t>
      </w:r>
      <w:r w:rsidR="001F52EC" w:rsidRPr="00B22439">
        <w:rPr>
          <w:b/>
          <w:iCs/>
        </w:rPr>
        <w:t xml:space="preserve">ακόλουθων </w:t>
      </w:r>
      <w:r w:rsidRPr="00B22439">
        <w:rPr>
          <w:b/>
          <w:iCs/>
        </w:rPr>
        <w:t>εταιρ</w:t>
      </w:r>
      <w:r w:rsidR="000514D6" w:rsidRPr="00B22439">
        <w:rPr>
          <w:b/>
          <w:iCs/>
        </w:rPr>
        <w:t>ε</w:t>
      </w:r>
      <w:r w:rsidRPr="00B22439">
        <w:rPr>
          <w:b/>
          <w:iCs/>
        </w:rPr>
        <w:t>ιών</w:t>
      </w:r>
      <w:r w:rsidR="00D37454" w:rsidRPr="00B22439">
        <w:rPr>
          <w:b/>
          <w:iCs/>
        </w:rPr>
        <w:t>,</w:t>
      </w:r>
      <w:r w:rsidRPr="00B22439">
        <w:rPr>
          <w:b/>
          <w:iCs/>
        </w:rPr>
        <w:t xml:space="preserve"> </w:t>
      </w:r>
      <w:r w:rsidR="00D37454" w:rsidRPr="00B22439">
        <w:rPr>
          <w:iCs/>
        </w:rPr>
        <w:t>οι οποίες τελούν υπό αναστολή διαπραγμάτευσης για χρονικό διάστημα μεγαλύτερο των 6 μηνών</w:t>
      </w:r>
      <w:r w:rsidR="00D37454" w:rsidRPr="00B22439">
        <w:rPr>
          <w:b/>
          <w:iCs/>
        </w:rPr>
        <w:t xml:space="preserve"> </w:t>
      </w:r>
      <w:r w:rsidR="00D37454" w:rsidRPr="00B22439">
        <w:rPr>
          <w:iCs/>
        </w:rPr>
        <w:t>(άρθρο 2.6.12. του Κανονισμού του Χρηματιστηρίου Αθηνών),</w:t>
      </w:r>
    </w:p>
    <w:p w:rsidR="00D37454" w:rsidRPr="00B22439" w:rsidRDefault="00FA370B" w:rsidP="00D37454">
      <w:pPr>
        <w:pStyle w:val="ListParagraph"/>
        <w:numPr>
          <w:ilvl w:val="1"/>
          <w:numId w:val="3"/>
        </w:numPr>
        <w:rPr>
          <w:iCs/>
        </w:rPr>
      </w:pPr>
      <w:r w:rsidRPr="00B22439">
        <w:rPr>
          <w:rFonts w:ascii="Calibri" w:hAnsi="Calibri" w:cs="Tahoma"/>
          <w:b/>
          <w:iCs/>
          <w:color w:val="556062"/>
          <w:sz w:val="20"/>
          <w:szCs w:val="20"/>
        </w:rPr>
        <w:t xml:space="preserve">«Χ.Κ. ΤΕΓΟΠΟΥΛΟΣ ΕΚΔΟΣΕΙΣ Α.Ε.» </w:t>
      </w:r>
      <w:r w:rsidRPr="00B22439">
        <w:rPr>
          <w:rFonts w:ascii="Calibri" w:hAnsi="Calibri" w:cs="Tahoma"/>
          <w:iCs/>
          <w:color w:val="556062"/>
          <w:sz w:val="20"/>
          <w:szCs w:val="20"/>
        </w:rPr>
        <w:t>(ISIN: GRS312293004)</w:t>
      </w:r>
      <w:r w:rsidRPr="00B22439">
        <w:rPr>
          <w:rFonts w:ascii="Calibri" w:hAnsi="Calibri" w:cs="Tahoma"/>
          <w:b/>
          <w:iCs/>
          <w:color w:val="556062"/>
          <w:sz w:val="20"/>
          <w:szCs w:val="20"/>
        </w:rPr>
        <w:t xml:space="preserve">, «ΦΙΝΤΕΞΠΟΡΤ Α.Ε.» </w:t>
      </w:r>
      <w:r w:rsidRPr="00B22439">
        <w:rPr>
          <w:rFonts w:ascii="Calibri" w:hAnsi="Calibri" w:cs="Tahoma"/>
          <w:iCs/>
          <w:color w:val="556062"/>
          <w:sz w:val="20"/>
          <w:szCs w:val="20"/>
          <w:lang w:val="en-US"/>
        </w:rPr>
        <w:t>(ISIN: GRS060063005)</w:t>
      </w:r>
      <w:r w:rsidRPr="00B22439">
        <w:rPr>
          <w:rFonts w:ascii="Calibri" w:hAnsi="Calibri" w:cs="Tahoma"/>
          <w:b/>
          <w:iCs/>
          <w:color w:val="556062"/>
          <w:sz w:val="20"/>
          <w:szCs w:val="20"/>
          <w:lang w:val="en-US"/>
        </w:rPr>
        <w:t xml:space="preserve">, «AVENIR LEISURE &amp; ENTERTAINMENT </w:t>
      </w:r>
      <w:r w:rsidRPr="00B22439">
        <w:rPr>
          <w:rFonts w:ascii="Calibri" w:hAnsi="Calibri" w:cs="Tahoma"/>
          <w:b/>
          <w:iCs/>
          <w:color w:val="556062"/>
          <w:sz w:val="20"/>
          <w:szCs w:val="20"/>
        </w:rPr>
        <w:t>ΠΛΗΡΟΦΟΡΙΚΗ</w:t>
      </w:r>
      <w:r w:rsidRPr="00B22439">
        <w:rPr>
          <w:rFonts w:ascii="Calibri" w:hAnsi="Calibri" w:cs="Tahoma"/>
          <w:b/>
          <w:iCs/>
          <w:color w:val="556062"/>
          <w:sz w:val="20"/>
          <w:szCs w:val="20"/>
          <w:lang w:val="en-US"/>
        </w:rPr>
        <w:t xml:space="preserve"> </w:t>
      </w:r>
      <w:r w:rsidRPr="00B22439">
        <w:rPr>
          <w:rFonts w:ascii="Calibri" w:hAnsi="Calibri" w:cs="Tahoma"/>
          <w:b/>
          <w:iCs/>
          <w:color w:val="556062"/>
          <w:sz w:val="20"/>
          <w:szCs w:val="20"/>
        </w:rPr>
        <w:t>Α</w:t>
      </w:r>
      <w:r w:rsidRPr="00B22439">
        <w:rPr>
          <w:rFonts w:ascii="Calibri" w:hAnsi="Calibri" w:cs="Tahoma"/>
          <w:b/>
          <w:iCs/>
          <w:color w:val="556062"/>
          <w:sz w:val="20"/>
          <w:szCs w:val="20"/>
          <w:lang w:val="en-US"/>
        </w:rPr>
        <w:t>.</w:t>
      </w:r>
      <w:r w:rsidRPr="00B22439">
        <w:rPr>
          <w:rFonts w:ascii="Calibri" w:hAnsi="Calibri" w:cs="Tahoma"/>
          <w:b/>
          <w:iCs/>
          <w:color w:val="556062"/>
          <w:sz w:val="20"/>
          <w:szCs w:val="20"/>
        </w:rPr>
        <w:t>Ε</w:t>
      </w:r>
      <w:r w:rsidRPr="00B22439">
        <w:rPr>
          <w:rFonts w:ascii="Calibri" w:hAnsi="Calibri" w:cs="Tahoma"/>
          <w:b/>
          <w:iCs/>
          <w:color w:val="556062"/>
          <w:sz w:val="20"/>
          <w:szCs w:val="20"/>
          <w:lang w:val="en-US"/>
        </w:rPr>
        <w:t xml:space="preserve">.» </w:t>
      </w:r>
      <w:r w:rsidRPr="00B22439">
        <w:rPr>
          <w:rFonts w:ascii="Calibri" w:hAnsi="Calibri" w:cs="Tahoma"/>
          <w:iCs/>
          <w:color w:val="556062"/>
          <w:sz w:val="20"/>
          <w:szCs w:val="20"/>
          <w:lang w:val="en-US"/>
        </w:rPr>
        <w:t>(ISIN: GRS447003005)</w:t>
      </w:r>
      <w:r w:rsidRPr="00B22439">
        <w:rPr>
          <w:rFonts w:ascii="Calibri" w:hAnsi="Calibri" w:cs="Tahoma"/>
          <w:b/>
          <w:iCs/>
          <w:color w:val="556062"/>
          <w:sz w:val="20"/>
          <w:szCs w:val="20"/>
          <w:lang w:val="en-US"/>
        </w:rPr>
        <w:t xml:space="preserve">, «SPRIDER STORES </w:t>
      </w:r>
      <w:r w:rsidRPr="00B22439">
        <w:rPr>
          <w:rFonts w:ascii="Calibri" w:hAnsi="Calibri" w:cs="Tahoma"/>
          <w:b/>
          <w:iCs/>
          <w:color w:val="556062"/>
          <w:sz w:val="20"/>
          <w:szCs w:val="20"/>
        </w:rPr>
        <w:t>Α</w:t>
      </w:r>
      <w:r w:rsidRPr="00B22439">
        <w:rPr>
          <w:rFonts w:ascii="Calibri" w:hAnsi="Calibri" w:cs="Tahoma"/>
          <w:b/>
          <w:iCs/>
          <w:color w:val="556062"/>
          <w:sz w:val="20"/>
          <w:szCs w:val="20"/>
          <w:lang w:val="en-US"/>
        </w:rPr>
        <w:t>.</w:t>
      </w:r>
      <w:r w:rsidRPr="00B22439">
        <w:rPr>
          <w:rFonts w:ascii="Calibri" w:hAnsi="Calibri" w:cs="Tahoma"/>
          <w:b/>
          <w:iCs/>
          <w:color w:val="556062"/>
          <w:sz w:val="20"/>
          <w:szCs w:val="20"/>
        </w:rPr>
        <w:t>Ε</w:t>
      </w:r>
      <w:r w:rsidRPr="00B22439">
        <w:rPr>
          <w:rFonts w:ascii="Calibri" w:hAnsi="Calibri" w:cs="Tahoma"/>
          <w:b/>
          <w:iCs/>
          <w:color w:val="556062"/>
          <w:sz w:val="20"/>
          <w:szCs w:val="20"/>
          <w:lang w:val="en-US"/>
        </w:rPr>
        <w:t>.</w:t>
      </w:r>
      <w:r w:rsidRPr="00B22439">
        <w:rPr>
          <w:rFonts w:ascii="Calibri" w:hAnsi="Calibri" w:cs="Tahoma"/>
          <w:b/>
          <w:iCs/>
          <w:color w:val="556062"/>
          <w:sz w:val="20"/>
          <w:szCs w:val="20"/>
        </w:rPr>
        <w:t>Β</w:t>
      </w:r>
      <w:r w:rsidRPr="00B22439">
        <w:rPr>
          <w:rFonts w:ascii="Calibri" w:hAnsi="Calibri" w:cs="Tahoma"/>
          <w:b/>
          <w:iCs/>
          <w:color w:val="556062"/>
          <w:sz w:val="20"/>
          <w:szCs w:val="20"/>
          <w:lang w:val="en-US"/>
        </w:rPr>
        <w:t>.</w:t>
      </w:r>
      <w:r w:rsidRPr="00B22439">
        <w:rPr>
          <w:rFonts w:ascii="Calibri" w:hAnsi="Calibri" w:cs="Tahoma"/>
          <w:b/>
          <w:iCs/>
          <w:color w:val="556062"/>
          <w:sz w:val="20"/>
          <w:szCs w:val="20"/>
        </w:rPr>
        <w:t>Ε</w:t>
      </w:r>
      <w:r w:rsidRPr="00B22439">
        <w:rPr>
          <w:rFonts w:ascii="Calibri" w:hAnsi="Calibri" w:cs="Tahoma"/>
          <w:b/>
          <w:iCs/>
          <w:color w:val="556062"/>
          <w:sz w:val="20"/>
          <w:szCs w:val="20"/>
          <w:lang w:val="en-US"/>
        </w:rPr>
        <w:t xml:space="preserve">.» </w:t>
      </w:r>
      <w:r w:rsidRPr="00B22439">
        <w:rPr>
          <w:rFonts w:ascii="Calibri" w:hAnsi="Calibri" w:cs="Tahoma"/>
          <w:iCs/>
          <w:color w:val="556062"/>
          <w:sz w:val="20"/>
          <w:szCs w:val="20"/>
        </w:rPr>
        <w:t>(ISIN: GRS476003017)</w:t>
      </w:r>
      <w:r w:rsidRPr="00B22439">
        <w:rPr>
          <w:rFonts w:ascii="Calibri" w:hAnsi="Calibri" w:cs="Tahoma"/>
          <w:b/>
          <w:iCs/>
          <w:color w:val="556062"/>
          <w:sz w:val="20"/>
          <w:szCs w:val="20"/>
        </w:rPr>
        <w:t xml:space="preserve">, «NUTRIART Α.Β.Ε.Ε.» </w:t>
      </w:r>
      <w:r w:rsidRPr="00B22439">
        <w:rPr>
          <w:rFonts w:ascii="Calibri" w:hAnsi="Calibri" w:cs="Tahoma"/>
          <w:iCs/>
          <w:color w:val="556062"/>
          <w:sz w:val="20"/>
          <w:szCs w:val="20"/>
        </w:rPr>
        <w:t>(ISIN: GRS107003006)</w:t>
      </w:r>
      <w:r w:rsidRPr="00B22439">
        <w:rPr>
          <w:rFonts w:ascii="Calibri" w:hAnsi="Calibri" w:cs="Tahoma"/>
          <w:b/>
          <w:iCs/>
          <w:color w:val="556062"/>
          <w:sz w:val="20"/>
          <w:szCs w:val="20"/>
        </w:rPr>
        <w:t xml:space="preserve"> </w:t>
      </w:r>
      <w:r w:rsidR="002E5700" w:rsidRPr="00B22439">
        <w:rPr>
          <w:rFonts w:ascii="Calibri" w:hAnsi="Calibri" w:cs="Tahoma"/>
          <w:iCs/>
          <w:color w:val="556062"/>
          <w:sz w:val="20"/>
          <w:szCs w:val="20"/>
        </w:rPr>
        <w:t xml:space="preserve">οι οποίες </w:t>
      </w:r>
      <w:r w:rsidR="00D66985" w:rsidRPr="00B22439">
        <w:rPr>
          <w:rFonts w:ascii="Calibri" w:hAnsi="Calibri" w:cs="Tahoma"/>
          <w:iCs/>
          <w:color w:val="556062"/>
          <w:sz w:val="20"/>
          <w:szCs w:val="20"/>
        </w:rPr>
        <w:t>έχουν κ</w:t>
      </w:r>
      <w:r w:rsidR="00B22439">
        <w:rPr>
          <w:rFonts w:ascii="Calibri" w:hAnsi="Calibri" w:cs="Tahoma"/>
          <w:iCs/>
          <w:color w:val="556062"/>
          <w:sz w:val="20"/>
          <w:szCs w:val="20"/>
        </w:rPr>
        <w:t>η</w:t>
      </w:r>
      <w:r w:rsidR="00D66985" w:rsidRPr="00B22439">
        <w:rPr>
          <w:rFonts w:ascii="Calibri" w:hAnsi="Calibri" w:cs="Tahoma"/>
          <w:iCs/>
          <w:color w:val="556062"/>
          <w:sz w:val="20"/>
          <w:szCs w:val="20"/>
        </w:rPr>
        <w:t>ρ</w:t>
      </w:r>
      <w:r w:rsidR="00B22439">
        <w:rPr>
          <w:rFonts w:ascii="Calibri" w:hAnsi="Calibri" w:cs="Tahoma"/>
          <w:iCs/>
          <w:color w:val="556062"/>
          <w:sz w:val="20"/>
          <w:szCs w:val="20"/>
        </w:rPr>
        <w:t>υ</w:t>
      </w:r>
      <w:r w:rsidR="00D66985" w:rsidRPr="00B22439">
        <w:rPr>
          <w:rFonts w:ascii="Calibri" w:hAnsi="Calibri" w:cs="Tahoma"/>
          <w:iCs/>
          <w:color w:val="556062"/>
          <w:sz w:val="20"/>
          <w:szCs w:val="20"/>
        </w:rPr>
        <w:t xml:space="preserve">χθεί σε </w:t>
      </w:r>
      <w:r w:rsidRPr="00B22439">
        <w:rPr>
          <w:rFonts w:ascii="Calibri" w:hAnsi="Calibri" w:cs="Tahoma"/>
          <w:iCs/>
          <w:color w:val="556062"/>
          <w:sz w:val="20"/>
          <w:szCs w:val="20"/>
        </w:rPr>
        <w:t xml:space="preserve">κατάσταση πτώχευσης, </w:t>
      </w:r>
    </w:p>
    <w:p w:rsidR="00D37454" w:rsidRPr="00B22439" w:rsidRDefault="00FA370B" w:rsidP="00D37454">
      <w:pPr>
        <w:pStyle w:val="ListParagraph"/>
        <w:numPr>
          <w:ilvl w:val="1"/>
          <w:numId w:val="3"/>
        </w:numPr>
        <w:rPr>
          <w:iCs/>
        </w:rPr>
      </w:pPr>
      <w:r w:rsidRPr="00B22439">
        <w:rPr>
          <w:rFonts w:ascii="Calibri" w:hAnsi="Calibri" w:cs="Tahoma"/>
          <w:b/>
          <w:iCs/>
          <w:color w:val="556062"/>
          <w:sz w:val="20"/>
          <w:szCs w:val="20"/>
        </w:rPr>
        <w:t xml:space="preserve">«ΚΛΩΝΑΤΕΞ ΟΜΙΛΟΣ ΕΠΙΧΕΙΡΗΣΕΩΝ Α.Ε.» </w:t>
      </w:r>
      <w:r w:rsidRPr="00B22439">
        <w:rPr>
          <w:rFonts w:ascii="Calibri" w:hAnsi="Calibri" w:cs="Tahoma"/>
          <w:iCs/>
          <w:color w:val="556062"/>
          <w:sz w:val="20"/>
          <w:szCs w:val="20"/>
        </w:rPr>
        <w:t xml:space="preserve">(ISIN: GRS048003008, GRS048004006) </w:t>
      </w:r>
      <w:r w:rsidR="002E5700" w:rsidRPr="00B22439">
        <w:rPr>
          <w:rFonts w:ascii="Calibri" w:hAnsi="Calibri" w:cs="Tahoma"/>
          <w:iCs/>
          <w:color w:val="556062"/>
          <w:sz w:val="20"/>
          <w:szCs w:val="20"/>
        </w:rPr>
        <w:t>η οποία έχει τεθεί</w:t>
      </w:r>
      <w:r w:rsidRPr="00B22439">
        <w:rPr>
          <w:rFonts w:ascii="Calibri" w:hAnsi="Calibri" w:cs="Tahoma"/>
          <w:iCs/>
          <w:color w:val="556062"/>
          <w:sz w:val="20"/>
          <w:szCs w:val="20"/>
        </w:rPr>
        <w:t xml:space="preserve"> σε λύση και εκκαθάριση</w:t>
      </w:r>
      <w:r w:rsidRPr="00B22439">
        <w:rPr>
          <w:rFonts w:ascii="Calibri" w:hAnsi="Calibri" w:cs="Tahoma"/>
          <w:b/>
          <w:iCs/>
          <w:color w:val="556062"/>
          <w:sz w:val="20"/>
          <w:szCs w:val="20"/>
        </w:rPr>
        <w:t xml:space="preserve">, </w:t>
      </w:r>
      <w:r w:rsidRPr="00B22439">
        <w:rPr>
          <w:rFonts w:ascii="Calibri" w:hAnsi="Calibri" w:cs="Tahoma"/>
          <w:iCs/>
          <w:color w:val="556062"/>
          <w:sz w:val="20"/>
          <w:szCs w:val="20"/>
        </w:rPr>
        <w:t>και</w:t>
      </w:r>
    </w:p>
    <w:p w:rsidR="00D37454" w:rsidRPr="00B22439" w:rsidRDefault="00FA370B" w:rsidP="00D37454">
      <w:pPr>
        <w:pStyle w:val="ListParagraph"/>
        <w:numPr>
          <w:ilvl w:val="1"/>
          <w:numId w:val="3"/>
        </w:numPr>
      </w:pPr>
      <w:r w:rsidRPr="00B22439">
        <w:rPr>
          <w:b/>
        </w:rPr>
        <w:t>«PROTON ΤΡΑΠΕΖΑ Α.Ε</w:t>
      </w:r>
      <w:r w:rsidRPr="00B22439">
        <w:t>.</w:t>
      </w:r>
      <w:r w:rsidRPr="00B22439">
        <w:rPr>
          <w:b/>
        </w:rPr>
        <w:t>»</w:t>
      </w:r>
      <w:r w:rsidRPr="00B22439">
        <w:t xml:space="preserve"> (ISIN: GRS490003001), </w:t>
      </w:r>
      <w:r w:rsidRPr="00B22439">
        <w:rPr>
          <w:b/>
        </w:rPr>
        <w:t>«ΑΓΡΟΤΙΚΗ ΤΡΑΠΕΖΑ ΤΗΣ ΕΛΛΑΔΟΣ Α.Ε.»</w:t>
      </w:r>
      <w:r w:rsidRPr="00B22439">
        <w:t xml:space="preserve"> (ISIN: GRS414003004), </w:t>
      </w:r>
      <w:r w:rsidR="002E5700" w:rsidRPr="00B22439">
        <w:t>των οποίων έχει</w:t>
      </w:r>
      <w:r w:rsidRPr="00B22439">
        <w:t xml:space="preserve"> </w:t>
      </w:r>
      <w:r w:rsidR="002E5700" w:rsidRPr="00B22439">
        <w:t>ανακληθεί</w:t>
      </w:r>
      <w:r w:rsidRPr="00B22439">
        <w:t xml:space="preserve"> </w:t>
      </w:r>
      <w:r w:rsidR="002E5700" w:rsidRPr="00B22439">
        <w:t>η</w:t>
      </w:r>
      <w:r w:rsidRPr="00B22439">
        <w:t xml:space="preserve"> άδεια λειτουργίας τους. </w:t>
      </w:r>
    </w:p>
    <w:p w:rsidR="00FA7830" w:rsidRPr="00B22439" w:rsidRDefault="00FA7830" w:rsidP="00D37454">
      <w:pPr>
        <w:pStyle w:val="ListParagraph"/>
        <w:numPr>
          <w:ilvl w:val="0"/>
          <w:numId w:val="0"/>
        </w:numPr>
        <w:ind w:left="284"/>
      </w:pPr>
      <w:r w:rsidRPr="00B22439">
        <w:t>Η ημερομηνία διαγραφής των μετοχών των ανωτέρω εταιρ</w:t>
      </w:r>
      <w:r w:rsidR="000514D6" w:rsidRPr="00B22439">
        <w:t>ε</w:t>
      </w:r>
      <w:r w:rsidRPr="00B22439">
        <w:t xml:space="preserve">ιών θα είναι η </w:t>
      </w:r>
      <w:r w:rsidRPr="00B22439">
        <w:rPr>
          <w:b/>
        </w:rPr>
        <w:t>Παρασκευή 26 Φεβρουαρίου 2016</w:t>
      </w:r>
      <w:r w:rsidRPr="00B22439">
        <w:t>.</w:t>
      </w:r>
    </w:p>
    <w:p w:rsidR="0082298F" w:rsidRPr="00B22439" w:rsidRDefault="000D4C76" w:rsidP="003F3EDE">
      <w:pPr>
        <w:spacing w:before="120"/>
      </w:pPr>
      <w:r w:rsidRPr="00B22439">
        <w:rPr>
          <w:iCs/>
        </w:rPr>
        <w:lastRenderedPageBreak/>
        <w:t>ενημερώθηκε</w:t>
      </w:r>
      <w:r w:rsidR="003F3EDE" w:rsidRPr="00B22439">
        <w:rPr>
          <w:iCs/>
        </w:rPr>
        <w:t>,</w:t>
      </w:r>
      <w:r w:rsidR="0082298F" w:rsidRPr="00B22439">
        <w:t xml:space="preserve"> </w:t>
      </w:r>
    </w:p>
    <w:p w:rsidR="00D97DBC" w:rsidRPr="00B22439" w:rsidRDefault="000D4C76" w:rsidP="003F3EDE">
      <w:pPr>
        <w:pStyle w:val="ListParagraph"/>
      </w:pPr>
      <w:r w:rsidRPr="00B22439">
        <w:t xml:space="preserve">για </w:t>
      </w:r>
      <w:r w:rsidR="003F3EDE" w:rsidRPr="00B22439">
        <w:t>τ</w:t>
      </w:r>
      <w:r w:rsidR="00D97DBC" w:rsidRPr="00B22439">
        <w:t xml:space="preserve">ην </w:t>
      </w:r>
      <w:r w:rsidR="00D97DBC" w:rsidRPr="00B22439">
        <w:rPr>
          <w:b/>
        </w:rPr>
        <w:t>αύξηση της ονομαστικής αξίας</w:t>
      </w:r>
      <w:r w:rsidR="00D97DBC" w:rsidRPr="00B22439">
        <w:t xml:space="preserve"> των μετοχών της εταιρίας </w:t>
      </w:r>
      <w:r w:rsidR="00D97DBC" w:rsidRPr="00B22439">
        <w:rPr>
          <w:b/>
        </w:rPr>
        <w:t>«</w:t>
      </w:r>
      <w:hyperlink r:id="rId10" w:history="1">
        <w:r w:rsidR="00D97DBC" w:rsidRPr="00B22439">
          <w:rPr>
            <w:rStyle w:val="Hyperlink"/>
            <w:b/>
          </w:rPr>
          <w:t>M</w:t>
        </w:r>
        <w:bookmarkStart w:id="0" w:name="_GoBack"/>
        <w:bookmarkEnd w:id="0"/>
        <w:r w:rsidR="00D97DBC" w:rsidRPr="00B22439">
          <w:rPr>
            <w:rStyle w:val="Hyperlink"/>
            <w:b/>
          </w:rPr>
          <w:t>.L.S. ΠΛΗΡΟΦΟΡΙΚΗ Α.Ε.</w:t>
        </w:r>
      </w:hyperlink>
      <w:r w:rsidR="00D97DBC" w:rsidRPr="00B22439">
        <w:rPr>
          <w:b/>
        </w:rPr>
        <w:t>»</w:t>
      </w:r>
      <w:r w:rsidR="00D97DBC" w:rsidRPr="00B22439">
        <w:t xml:space="preserve"> (ISIN: GRS422003004) από € 0,37 σε € 0,48,</w:t>
      </w:r>
      <w:r w:rsidR="00D97DBC" w:rsidRPr="00B22439">
        <w:rPr>
          <w:b/>
        </w:rPr>
        <w:t xml:space="preserve"> την Δευτέρα 15 Φεβρουαρίου 2016.</w:t>
      </w:r>
    </w:p>
    <w:p w:rsidR="00D97DBC" w:rsidRPr="00B22439" w:rsidRDefault="000D4C76" w:rsidP="00D97DBC">
      <w:pPr>
        <w:pStyle w:val="ListParagraph"/>
      </w:pPr>
      <w:r w:rsidRPr="00B22439">
        <w:t xml:space="preserve">για </w:t>
      </w:r>
      <w:r w:rsidR="003F3EDE" w:rsidRPr="00B22439">
        <w:t>τ</w:t>
      </w:r>
      <w:r w:rsidR="00D97DBC" w:rsidRPr="00B22439">
        <w:t xml:space="preserve">ην </w:t>
      </w:r>
      <w:r w:rsidR="00D97DBC" w:rsidRPr="00B22439">
        <w:rPr>
          <w:b/>
        </w:rPr>
        <w:t>αύξηση της ονομαστικής αξίας</w:t>
      </w:r>
      <w:r w:rsidR="00D97DBC" w:rsidRPr="00B22439">
        <w:t xml:space="preserve"> των μετοχών της εταιρίας </w:t>
      </w:r>
      <w:r w:rsidR="00D97DBC" w:rsidRPr="00B22439">
        <w:rPr>
          <w:b/>
        </w:rPr>
        <w:t>«</w:t>
      </w:r>
      <w:hyperlink r:id="rId11" w:history="1">
        <w:r w:rsidR="00D97DBC" w:rsidRPr="00B22439">
          <w:rPr>
            <w:rStyle w:val="Hyperlink"/>
            <w:b/>
          </w:rPr>
          <w:t>ΚΤΗΜΑ ΚΩΣΤΑ ΛΑΖΑΡΙΔΗ Α.Ε.</w:t>
        </w:r>
      </w:hyperlink>
      <w:r w:rsidR="00D97DBC" w:rsidRPr="00B22439">
        <w:rPr>
          <w:b/>
        </w:rPr>
        <w:t>»</w:t>
      </w:r>
      <w:r w:rsidR="00D97DBC" w:rsidRPr="00B22439">
        <w:t xml:space="preserve"> (ISIN: GRS354003006) από € 0,33 σε € 0,36,</w:t>
      </w:r>
      <w:r w:rsidR="00D97DBC" w:rsidRPr="00B22439">
        <w:rPr>
          <w:b/>
        </w:rPr>
        <w:t xml:space="preserve"> την Τρίτη 16 Φεβρουαρίου 2016</w:t>
      </w:r>
    </w:p>
    <w:p w:rsidR="00090D0B" w:rsidRPr="00B22439" w:rsidRDefault="00090D0B" w:rsidP="00FA7830">
      <w:pPr>
        <w:pStyle w:val="ListParagraph"/>
        <w:numPr>
          <w:ilvl w:val="0"/>
          <w:numId w:val="0"/>
        </w:numPr>
        <w:ind w:left="317"/>
      </w:pPr>
    </w:p>
    <w:p w:rsidR="0072053C" w:rsidRPr="00B22439" w:rsidRDefault="0072053C" w:rsidP="00E050A6"/>
    <w:p w:rsidR="0072053C" w:rsidRPr="00B22439" w:rsidRDefault="0072053C" w:rsidP="00E050A6"/>
    <w:p w:rsidR="0082298F" w:rsidRPr="00B22439" w:rsidRDefault="0082298F" w:rsidP="00E050A6"/>
    <w:p w:rsidR="0082298F" w:rsidRPr="00B22439" w:rsidRDefault="0082298F" w:rsidP="00E050A6"/>
    <w:p w:rsidR="004C59B9" w:rsidRPr="00B22439" w:rsidRDefault="004C59B9" w:rsidP="00E050A6"/>
    <w:p w:rsidR="004C59B9" w:rsidRPr="00B22439" w:rsidRDefault="004C59B9" w:rsidP="00E050A6"/>
    <w:p w:rsidR="00D37454" w:rsidRPr="00B22439" w:rsidRDefault="00D37454" w:rsidP="00E050A6"/>
    <w:p w:rsidR="003C4403" w:rsidRPr="00B22439" w:rsidRDefault="003C4403" w:rsidP="00E050A6"/>
    <w:p w:rsidR="00E050A6" w:rsidRPr="00B22439" w:rsidRDefault="00E050A6" w:rsidP="00E050A6">
      <w:pPr>
        <w:pStyle w:val="NormalStrong"/>
      </w:pPr>
      <w:r w:rsidRPr="00B22439">
        <w:t>Σχετικά με τον Όμιλο Χρηματιστηρίου Αθηνών</w:t>
      </w:r>
    </w:p>
    <w:p w:rsidR="00E050A6" w:rsidRPr="00B22439" w:rsidRDefault="00E050A6" w:rsidP="00E050A6">
      <w:pPr>
        <w:pStyle w:val="NormalLight"/>
      </w:pPr>
      <w:r w:rsidRPr="00B22439">
        <w:t xml:space="preserve">Το Χρηματιστήριο Αθηνών από την ίδρυσή του, το 1876, συμμετέχει σταθερά στις οικονομικές και επιχειρηματικές εξελίξεις της χώρας. </w:t>
      </w:r>
    </w:p>
    <w:p w:rsidR="00E050A6" w:rsidRPr="00B22439" w:rsidRDefault="00E050A6" w:rsidP="00E050A6">
      <w:pPr>
        <w:pStyle w:val="NormalLight"/>
      </w:pPr>
      <w:r w:rsidRPr="00B22439">
        <w:t xml:space="preserve">Ο Όμιλος του Χρηματιστηρίου Αθηνών υποστηρίζει την </w:t>
      </w:r>
      <w:r w:rsidR="00B30BE7" w:rsidRPr="00B22439">
        <w:t xml:space="preserve">ανάπτυξη και </w:t>
      </w:r>
      <w:r w:rsidRPr="00B22439">
        <w:t xml:space="preserve">οργάνωση της Ελληνικής Κεφαλαιαγοράς. Λειτουργεί τις αγορές αξιών και παραγώγων, την εναλλακτική αγορά ενώ παράλληλα διενεργεί την εκκαθάριση και το διακανονισμό των συναλλαγών. </w:t>
      </w:r>
    </w:p>
    <w:p w:rsidR="00E050A6" w:rsidRPr="00B22439" w:rsidRDefault="00E050A6" w:rsidP="00E050A6">
      <w:pPr>
        <w:pStyle w:val="NormalLight"/>
      </w:pPr>
      <w:r w:rsidRPr="00B22439">
        <w:t>Το Χρηματιστήριο, μέσω των αγορών του, προσφέρει λύσεις και εργαλεία χρηματοδότησης στις επιχειρήσεις, διευρύνει τις επιλογές των επενδυτών παρέχοντας ένα ασφαλές, σταθερό και εύκολο περιβάλλον πλήρως εναρμονισμένο με τις διεθνείς πρακτικές και το Ευρωπαϊκό κανονιστικό πλαίσιο.</w:t>
      </w:r>
    </w:p>
    <w:p w:rsidR="00E050A6" w:rsidRPr="00B22439" w:rsidRDefault="00E050A6" w:rsidP="00E050A6">
      <w:pPr>
        <w:pStyle w:val="NormalLight"/>
      </w:pPr>
      <w:r w:rsidRPr="00B22439">
        <w:t xml:space="preserve">Οι μετοχές του Ομίλου διαπραγματεύονται στην Κύρια Αγορά του Χρηματιστηρίου Αθηνών (Σύμβολο: EXAE). </w:t>
      </w:r>
    </w:p>
    <w:p w:rsidR="00CE057F" w:rsidRPr="00B22439" w:rsidRDefault="00E050A6" w:rsidP="00090D0B">
      <w:pPr>
        <w:pStyle w:val="NormalLight"/>
        <w:pBdr>
          <w:bottom w:val="single" w:sz="4" w:space="1" w:color="006EAB"/>
        </w:pBdr>
        <w:rPr>
          <w:rFonts w:cs="Calibri"/>
          <w:color w:val="404040" w:themeColor="text1" w:themeTint="BF"/>
          <w:szCs w:val="20"/>
        </w:rPr>
      </w:pPr>
      <w:r w:rsidRPr="00B22439">
        <w:t xml:space="preserve">Περισσότερες πληροφορίες σχετικά με τον Όμιλο του Χρηματιστηρίου Αθηνών μπορείτε να βρείτε στους συνδέσμους της </w:t>
      </w:r>
      <w:hyperlink r:id="rId12" w:history="1">
        <w:r w:rsidRPr="00B22439">
          <w:rPr>
            <w:rStyle w:val="Hyperlink"/>
            <w:rFonts w:cs="Calibri"/>
            <w:szCs w:val="20"/>
          </w:rPr>
          <w:t>ιστοσελίδας</w:t>
        </w:r>
      </w:hyperlink>
      <w:r w:rsidRPr="00B22439">
        <w:rPr>
          <w:rFonts w:cs="Calibri"/>
          <w:color w:val="404040" w:themeColor="text1" w:themeTint="BF"/>
          <w:szCs w:val="20"/>
        </w:rPr>
        <w:t xml:space="preserve"> του, το </w:t>
      </w:r>
      <w:hyperlink r:id="rId13" w:history="1">
        <w:r w:rsidRPr="00B22439">
          <w:rPr>
            <w:rStyle w:val="Hyperlink"/>
            <w:rFonts w:cs="Calibri"/>
            <w:szCs w:val="20"/>
          </w:rPr>
          <w:t>εταιρικό του προφίλ</w:t>
        </w:r>
      </w:hyperlink>
      <w:r w:rsidRPr="00B22439">
        <w:rPr>
          <w:rFonts w:cs="Calibri"/>
          <w:color w:val="404040" w:themeColor="text1" w:themeTint="BF"/>
          <w:szCs w:val="20"/>
        </w:rPr>
        <w:t xml:space="preserve"> και τη </w:t>
      </w:r>
      <w:hyperlink r:id="rId14" w:history="1">
        <w:r w:rsidRPr="00B22439">
          <w:rPr>
            <w:rStyle w:val="Hyperlink"/>
            <w:rFonts w:cs="Calibri"/>
            <w:szCs w:val="20"/>
          </w:rPr>
          <w:t>σύνοψη της αγοράς του</w:t>
        </w:r>
      </w:hyperlink>
      <w:r w:rsidRPr="00B22439">
        <w:rPr>
          <w:rFonts w:cs="Calibri"/>
          <w:color w:val="404040" w:themeColor="text1" w:themeTint="BF"/>
          <w:szCs w:val="20"/>
        </w:rPr>
        <w:t>.</w:t>
      </w:r>
    </w:p>
    <w:sectPr w:rsidR="00CE057F" w:rsidRPr="00B22439" w:rsidSect="00A7436B">
      <w:headerReference w:type="default" r:id="rId15"/>
      <w:footerReference w:type="default" r:id="rId16"/>
      <w:pgSz w:w="11906" w:h="16838"/>
      <w:pgMar w:top="3240" w:right="1736" w:bottom="1530" w:left="1800" w:header="993" w:footer="5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44E" w:rsidRDefault="0009144E" w:rsidP="00035040">
      <w:r>
        <w:separator/>
      </w:r>
    </w:p>
  </w:endnote>
  <w:endnote w:type="continuationSeparator" w:id="0">
    <w:p w:rsidR="0009144E" w:rsidRDefault="0009144E"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BE" w:rsidRPr="001757B3" w:rsidRDefault="00F96FBA" w:rsidP="00787BB3">
    <w:pPr>
      <w:pStyle w:val="PageNumberNew"/>
      <w:tabs>
        <w:tab w:val="clear" w:pos="8280"/>
        <w:tab w:val="right" w:pos="8370"/>
      </w:tabs>
      <w:rPr>
        <w:rFonts w:asciiTheme="majorHAnsi" w:hAnsiTheme="majorHAnsi"/>
        <w:sz w:val="48"/>
        <w:szCs w:val="44"/>
      </w:rPr>
    </w:pPr>
    <w:r w:rsidRPr="00F96FBA">
      <w:rPr>
        <w:sz w:val="16"/>
        <w:szCs w:val="16"/>
      </w:rPr>
      <w:t>Λεωφ. Αθηνών 110, 104 42 Αθήνα, T + 30 210-3366 800, F +30 210-3366 101, www.athexgroup.gr</w:t>
    </w:r>
    <w:r w:rsidR="00035040">
      <w:tab/>
    </w:r>
    <w:sdt>
      <w:sdtPr>
        <w:id w:val="-1584517604"/>
        <w:docPartObj>
          <w:docPartGallery w:val="Page Numbers (Margins)"/>
          <w:docPartUnique/>
        </w:docPartObj>
      </w:sdtPr>
      <w:sdtEndPr/>
      <w:sdtContent>
        <w:sdt>
          <w:sdtPr>
            <w:id w:val="933708925"/>
            <w:docPartObj>
              <w:docPartGallery w:val="Page Numbers (Margins)"/>
              <w:docPartUnique/>
            </w:docPartObj>
          </w:sdtPr>
          <w:sdtEndPr/>
          <w:sdtContent>
            <w:r w:rsidR="001757B3" w:rsidRPr="00ED2B58">
              <w:rPr>
                <w:rFonts w:eastAsiaTheme="minorEastAsia" w:cs="Times New Roman"/>
              </w:rPr>
              <w:fldChar w:fldCharType="begin"/>
            </w:r>
            <w:r w:rsidR="001757B3" w:rsidRPr="00ED2B58">
              <w:instrText xml:space="preserve"> PAGE   \* MERGEFORMAT </w:instrText>
            </w:r>
            <w:r w:rsidR="001757B3" w:rsidRPr="00ED2B58">
              <w:rPr>
                <w:rFonts w:eastAsiaTheme="minorEastAsia" w:cs="Times New Roman"/>
              </w:rPr>
              <w:fldChar w:fldCharType="separate"/>
            </w:r>
            <w:r w:rsidR="00B22439">
              <w:rPr>
                <w:noProof/>
              </w:rPr>
              <w:t>1</w:t>
            </w:r>
            <w:r w:rsidR="001757B3" w:rsidRPr="00ED2B58">
              <w:rPr>
                <w:noProof/>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44E" w:rsidRDefault="0009144E" w:rsidP="00035040">
      <w:r>
        <w:separator/>
      </w:r>
    </w:p>
  </w:footnote>
  <w:footnote w:type="continuationSeparator" w:id="0">
    <w:p w:rsidR="0009144E" w:rsidRDefault="0009144E" w:rsidP="00035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BE" w:rsidRDefault="00B534BE" w:rsidP="00A7436B">
    <w:pPr>
      <w:pStyle w:val="Header"/>
      <w:tabs>
        <w:tab w:val="clear" w:pos="8306"/>
        <w:tab w:val="right" w:pos="8370"/>
      </w:tabs>
    </w:pPr>
    <w:r>
      <w:rPr>
        <w:noProof/>
        <w:lang w:eastAsia="el-GR"/>
      </w:rPr>
      <w:drawing>
        <wp:inline distT="0" distB="0" distL="0" distR="0" wp14:anchorId="125F9E12" wp14:editId="793FD0E2">
          <wp:extent cx="1493520" cy="106070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OUP-Header-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607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23F"/>
    <w:multiLevelType w:val="hybridMultilevel"/>
    <w:tmpl w:val="5A62B4C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346708"/>
    <w:multiLevelType w:val="hybridMultilevel"/>
    <w:tmpl w:val="C160F012"/>
    <w:lvl w:ilvl="0" w:tplc="AEDA9382">
      <w:start w:val="1"/>
      <w:numFmt w:val="bullet"/>
      <w:lvlText w:val=""/>
      <w:lvlJc w:val="left"/>
      <w:pPr>
        <w:ind w:left="720" w:hanging="360"/>
      </w:pPr>
      <w:rPr>
        <w:rFonts w:ascii="Symbol" w:hAnsi="Symbol" w:hint="default"/>
        <w:color w:val="808080" w:themeColor="background1" w:themeShade="80"/>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83EC9"/>
    <w:multiLevelType w:val="hybridMultilevel"/>
    <w:tmpl w:val="5D12E0DA"/>
    <w:lvl w:ilvl="0" w:tplc="9676ADA0">
      <w:start w:val="1"/>
      <w:numFmt w:val="bullet"/>
      <w:pStyle w:val="BriefBullet"/>
      <w:lvlText w:val=""/>
      <w:lvlJc w:val="left"/>
      <w:pPr>
        <w:ind w:left="360" w:hanging="360"/>
      </w:pPr>
      <w:rPr>
        <w:rFonts w:ascii="Symbol" w:hAnsi="Symbol" w:hint="default"/>
        <w:color w:val="006EAB"/>
        <w:u w:color="FF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3171D"/>
    <w:multiLevelType w:val="hybridMultilevel"/>
    <w:tmpl w:val="80C0D2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5664BD0"/>
    <w:multiLevelType w:val="hybridMultilevel"/>
    <w:tmpl w:val="2F064954"/>
    <w:lvl w:ilvl="0" w:tplc="AF222964">
      <w:start w:val="1"/>
      <w:numFmt w:val="bullet"/>
      <w:lvlText w:val="−"/>
      <w:lvlJc w:val="left"/>
      <w:pPr>
        <w:ind w:left="1070" w:hanging="360"/>
      </w:pPr>
      <w:rPr>
        <w:rFonts w:ascii="Calibri" w:hAnsi="Calibri"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5">
    <w:nsid w:val="3C083CF6"/>
    <w:multiLevelType w:val="hybridMultilevel"/>
    <w:tmpl w:val="658AD91C"/>
    <w:lvl w:ilvl="0" w:tplc="B0A63BBA">
      <w:start w:val="1"/>
      <w:numFmt w:val="bullet"/>
      <w:pStyle w:val="ListParagraph"/>
      <w:lvlText w:val=""/>
      <w:lvlJc w:val="left"/>
      <w:pPr>
        <w:ind w:left="720" w:hanging="360"/>
      </w:pPr>
      <w:rPr>
        <w:rFonts w:ascii="Symbol" w:hAnsi="Symbol" w:hint="default"/>
        <w:color w:val="2E74B5"/>
        <w:u w:color="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FA685F"/>
    <w:multiLevelType w:val="hybridMultilevel"/>
    <w:tmpl w:val="AF5A878C"/>
    <w:lvl w:ilvl="0" w:tplc="BA3069FE">
      <w:start w:val="10"/>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49B36D4"/>
    <w:multiLevelType w:val="hybridMultilevel"/>
    <w:tmpl w:val="29E81B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5BB66A1"/>
    <w:multiLevelType w:val="hybridMultilevel"/>
    <w:tmpl w:val="FB3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0029FD"/>
    <w:multiLevelType w:val="hybridMultilevel"/>
    <w:tmpl w:val="A9CA598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CC26840"/>
    <w:multiLevelType w:val="hybridMultilevel"/>
    <w:tmpl w:val="4A66BB8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2"/>
  </w:num>
  <w:num w:numId="5">
    <w:abstractNumId w:val="7"/>
  </w:num>
  <w:num w:numId="6">
    <w:abstractNumId w:val="9"/>
  </w:num>
  <w:num w:numId="7">
    <w:abstractNumId w:val="3"/>
  </w:num>
  <w:num w:numId="8">
    <w:abstractNumId w:val="10"/>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BE"/>
    <w:rsid w:val="0001799B"/>
    <w:rsid w:val="00027C6D"/>
    <w:rsid w:val="00035040"/>
    <w:rsid w:val="00046892"/>
    <w:rsid w:val="000514D6"/>
    <w:rsid w:val="00051501"/>
    <w:rsid w:val="00090D0B"/>
    <w:rsid w:val="0009144E"/>
    <w:rsid w:val="000B079C"/>
    <w:rsid w:val="000C5940"/>
    <w:rsid w:val="000D4C76"/>
    <w:rsid w:val="000D52EF"/>
    <w:rsid w:val="00111569"/>
    <w:rsid w:val="00127070"/>
    <w:rsid w:val="001757B3"/>
    <w:rsid w:val="00176CB9"/>
    <w:rsid w:val="00176FC1"/>
    <w:rsid w:val="001803C7"/>
    <w:rsid w:val="001922E5"/>
    <w:rsid w:val="001A492B"/>
    <w:rsid w:val="001C27DD"/>
    <w:rsid w:val="001F48E9"/>
    <w:rsid w:val="001F52EC"/>
    <w:rsid w:val="00213D9F"/>
    <w:rsid w:val="00244E4F"/>
    <w:rsid w:val="002741D2"/>
    <w:rsid w:val="002761DE"/>
    <w:rsid w:val="002C20E4"/>
    <w:rsid w:val="002C6E3F"/>
    <w:rsid w:val="002E020F"/>
    <w:rsid w:val="002E5700"/>
    <w:rsid w:val="003026A1"/>
    <w:rsid w:val="00336963"/>
    <w:rsid w:val="00354513"/>
    <w:rsid w:val="00371ADF"/>
    <w:rsid w:val="0038195D"/>
    <w:rsid w:val="003C4403"/>
    <w:rsid w:val="003D3A7C"/>
    <w:rsid w:val="003D523D"/>
    <w:rsid w:val="003F3EDE"/>
    <w:rsid w:val="003F4E95"/>
    <w:rsid w:val="00405690"/>
    <w:rsid w:val="004676BC"/>
    <w:rsid w:val="00471EEA"/>
    <w:rsid w:val="004A6465"/>
    <w:rsid w:val="004C59B9"/>
    <w:rsid w:val="004C651F"/>
    <w:rsid w:val="004D71F4"/>
    <w:rsid w:val="004E5CC4"/>
    <w:rsid w:val="00501724"/>
    <w:rsid w:val="005176C4"/>
    <w:rsid w:val="005421C4"/>
    <w:rsid w:val="0055693A"/>
    <w:rsid w:val="00585102"/>
    <w:rsid w:val="005902FD"/>
    <w:rsid w:val="005A6FCE"/>
    <w:rsid w:val="005D56C9"/>
    <w:rsid w:val="005F03FA"/>
    <w:rsid w:val="00625430"/>
    <w:rsid w:val="00642787"/>
    <w:rsid w:val="00693891"/>
    <w:rsid w:val="0072053C"/>
    <w:rsid w:val="00761C11"/>
    <w:rsid w:val="00774E7D"/>
    <w:rsid w:val="007804B0"/>
    <w:rsid w:val="00787BB3"/>
    <w:rsid w:val="007A43DA"/>
    <w:rsid w:val="007E4474"/>
    <w:rsid w:val="008128D2"/>
    <w:rsid w:val="00816FD9"/>
    <w:rsid w:val="00820504"/>
    <w:rsid w:val="0082298F"/>
    <w:rsid w:val="00870B13"/>
    <w:rsid w:val="00877096"/>
    <w:rsid w:val="00887493"/>
    <w:rsid w:val="00892D52"/>
    <w:rsid w:val="008F1847"/>
    <w:rsid w:val="0090156C"/>
    <w:rsid w:val="009101AF"/>
    <w:rsid w:val="00943160"/>
    <w:rsid w:val="00954780"/>
    <w:rsid w:val="00972192"/>
    <w:rsid w:val="009C01A1"/>
    <w:rsid w:val="009E37AA"/>
    <w:rsid w:val="009F7A56"/>
    <w:rsid w:val="00A0483E"/>
    <w:rsid w:val="00A212BA"/>
    <w:rsid w:val="00A24B53"/>
    <w:rsid w:val="00A3056F"/>
    <w:rsid w:val="00A70329"/>
    <w:rsid w:val="00A7436B"/>
    <w:rsid w:val="00AE4818"/>
    <w:rsid w:val="00AE5169"/>
    <w:rsid w:val="00AF6F21"/>
    <w:rsid w:val="00B03981"/>
    <w:rsid w:val="00B22439"/>
    <w:rsid w:val="00B30BE7"/>
    <w:rsid w:val="00B40A17"/>
    <w:rsid w:val="00B534BE"/>
    <w:rsid w:val="00BD55CD"/>
    <w:rsid w:val="00BE1A9D"/>
    <w:rsid w:val="00BF074E"/>
    <w:rsid w:val="00C17C6B"/>
    <w:rsid w:val="00C17D66"/>
    <w:rsid w:val="00C50D2F"/>
    <w:rsid w:val="00CB6708"/>
    <w:rsid w:val="00CD7501"/>
    <w:rsid w:val="00CE057F"/>
    <w:rsid w:val="00CE163A"/>
    <w:rsid w:val="00CE2721"/>
    <w:rsid w:val="00D247A6"/>
    <w:rsid w:val="00D37454"/>
    <w:rsid w:val="00D37FEC"/>
    <w:rsid w:val="00D467C8"/>
    <w:rsid w:val="00D6548A"/>
    <w:rsid w:val="00D66985"/>
    <w:rsid w:val="00D8379C"/>
    <w:rsid w:val="00D97DBC"/>
    <w:rsid w:val="00E050A6"/>
    <w:rsid w:val="00E23D98"/>
    <w:rsid w:val="00E54DF1"/>
    <w:rsid w:val="00E93C97"/>
    <w:rsid w:val="00EB44D8"/>
    <w:rsid w:val="00ED2B58"/>
    <w:rsid w:val="00ED5076"/>
    <w:rsid w:val="00F15970"/>
    <w:rsid w:val="00F174ED"/>
    <w:rsid w:val="00F236A0"/>
    <w:rsid w:val="00F63B21"/>
    <w:rsid w:val="00F87464"/>
    <w:rsid w:val="00F96FBA"/>
    <w:rsid w:val="00FA370B"/>
    <w:rsid w:val="00FA7830"/>
    <w:rsid w:val="00FB252D"/>
    <w:rsid w:val="00FB2652"/>
    <w:rsid w:val="00FC752A"/>
    <w:rsid w:val="00FE725B"/>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DBC"/>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3"/>
      </w:numPr>
      <w:spacing w:before="120"/>
      <w:ind w:left="317" w:hanging="317"/>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4"/>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DBC"/>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3"/>
      </w:numPr>
      <w:spacing w:before="120"/>
      <w:ind w:left="317" w:hanging="317"/>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4"/>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 w:id="1673295220">
      <w:bodyDiv w:val="1"/>
      <w:marLeft w:val="0"/>
      <w:marRight w:val="0"/>
      <w:marTop w:val="0"/>
      <w:marBottom w:val="0"/>
      <w:divBdr>
        <w:top w:val="none" w:sz="0" w:space="0" w:color="auto"/>
        <w:left w:val="none" w:sz="0" w:space="0" w:color="auto"/>
        <w:bottom w:val="none" w:sz="0" w:space="0" w:color="auto"/>
        <w:right w:val="none" w:sz="0" w:space="0" w:color="auto"/>
      </w:divBdr>
    </w:div>
    <w:div w:id="1766682829">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ex.gr/el/web/guest/company-profile/-/select-company/266" TargetMode="External"/><Relationship Id="rId13" Type="http://schemas.openxmlformats.org/officeDocument/2006/relationships/hyperlink" Target="http://www.helex.gr/documents/10180/4295312/2016_02_01_Company_Profile_GR.pdf/9bdce111-feae-401d-bb5f-422468df176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thexgroup.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lex.gr/el/web/guest/company-profile/-/select-company/76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elex.gr/el/company-profile/-/select-company/869" TargetMode="External"/><Relationship Id="rId4" Type="http://schemas.openxmlformats.org/officeDocument/2006/relationships/settings" Target="settings.xml"/><Relationship Id="rId9" Type="http://schemas.openxmlformats.org/officeDocument/2006/relationships/hyperlink" Target="http://www.helex.gr/el/company-profile/-/select-company/687" TargetMode="External"/><Relationship Id="rId14" Type="http://schemas.openxmlformats.org/officeDocument/2006/relationships/hyperlink" Target="http://www.helex.gr/documents/10180/2333122/2015_12_31_Market_Profile_GR.pdf/25f8af93-c2ee-4678-9c06-dc51c60cc17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lastModifiedBy>Domalis, Dimitrios</cp:lastModifiedBy>
  <cp:revision>2</cp:revision>
  <cp:lastPrinted>2016-02-11T16:36:00Z</cp:lastPrinted>
  <dcterms:created xsi:type="dcterms:W3CDTF">2016-02-12T07:52:00Z</dcterms:created>
  <dcterms:modified xsi:type="dcterms:W3CDTF">2016-02-12T07:52:00Z</dcterms:modified>
</cp:coreProperties>
</file>