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802" w:rsidRPr="002C7F4F" w:rsidRDefault="004056B1" w:rsidP="00A11A7E">
      <w:pPr>
        <w:spacing w:before="240" w:after="120"/>
        <w:rPr>
          <w:rFonts w:ascii="Calibri" w:hAnsi="Calibri" w:cs="Tahoma"/>
          <w:b/>
          <w:sz w:val="32"/>
          <w:szCs w:val="32"/>
          <w:lang w:val="en-GB"/>
        </w:rPr>
      </w:pPr>
      <w:bookmarkStart w:id="0" w:name="_GoBack"/>
      <w:bookmarkEnd w:id="0"/>
      <w:r w:rsidRPr="002C7F4F">
        <w:rPr>
          <w:rFonts w:ascii="Calibri" w:hAnsi="Calibri" w:cs="Tahoma"/>
          <w:b/>
          <w:sz w:val="32"/>
          <w:szCs w:val="32"/>
          <w:lang w:val="en-GB"/>
        </w:rPr>
        <w:t>ΑξIA</w:t>
      </w:r>
      <w:r w:rsidR="00581802" w:rsidRPr="002C7F4F">
        <w:rPr>
          <w:rFonts w:ascii="Calibri" w:hAnsi="Calibri" w:cs="Tahoma"/>
          <w:b/>
          <w:sz w:val="32"/>
          <w:szCs w:val="32"/>
          <w:lang w:val="en-GB"/>
        </w:rPr>
        <w:t>numbers Monthly Publication</w:t>
      </w:r>
    </w:p>
    <w:p w:rsidR="00E20BEF" w:rsidRPr="002C7F4F" w:rsidRDefault="003C1C58" w:rsidP="00E20BEF">
      <w:pPr>
        <w:spacing w:after="120"/>
        <w:jc w:val="both"/>
        <w:rPr>
          <w:rFonts w:ascii="Calibri" w:hAnsi="Calibri" w:cs="Tahoma"/>
          <w:sz w:val="22"/>
          <w:szCs w:val="22"/>
          <w:lang w:val="en-GB"/>
        </w:rPr>
      </w:pPr>
      <w:r w:rsidRPr="002C7F4F">
        <w:rPr>
          <w:rFonts w:ascii="Calibri" w:hAnsi="Calibri" w:cs="Tahoma"/>
          <w:b/>
          <w:sz w:val="22"/>
          <w:szCs w:val="22"/>
          <w:lang w:val="en-GB"/>
        </w:rPr>
        <w:t>February</w:t>
      </w:r>
      <w:r w:rsidR="00742C69" w:rsidRPr="002C7F4F">
        <w:rPr>
          <w:rFonts w:ascii="Calibri" w:hAnsi="Calibri" w:cs="Tahoma"/>
          <w:b/>
          <w:sz w:val="22"/>
          <w:szCs w:val="22"/>
          <w:lang w:val="en-GB"/>
        </w:rPr>
        <w:t xml:space="preserve">, </w:t>
      </w:r>
      <w:r w:rsidRPr="002C7F4F">
        <w:rPr>
          <w:rFonts w:ascii="Calibri" w:hAnsi="Calibri" w:cs="Tahoma"/>
          <w:b/>
          <w:sz w:val="22"/>
          <w:szCs w:val="22"/>
          <w:lang w:val="en-GB"/>
        </w:rPr>
        <w:t>4</w:t>
      </w:r>
      <w:r w:rsidR="00742C69" w:rsidRPr="002C7F4F">
        <w:rPr>
          <w:rFonts w:ascii="Calibri" w:hAnsi="Calibri" w:cs="Tahoma"/>
          <w:b/>
          <w:sz w:val="22"/>
          <w:szCs w:val="22"/>
          <w:lang w:val="en-GB"/>
        </w:rPr>
        <w:t xml:space="preserve"> 201</w:t>
      </w:r>
      <w:r w:rsidRPr="002C7F4F">
        <w:rPr>
          <w:rFonts w:ascii="Calibri" w:hAnsi="Calibri" w:cs="Tahoma"/>
          <w:b/>
          <w:sz w:val="22"/>
          <w:szCs w:val="22"/>
          <w:lang w:val="en-GB"/>
        </w:rPr>
        <w:t>6</w:t>
      </w:r>
      <w:r w:rsidR="00E20BEF" w:rsidRPr="002C7F4F">
        <w:rPr>
          <w:rFonts w:ascii="Calibri" w:hAnsi="Calibri" w:cs="Tahoma"/>
          <w:b/>
          <w:sz w:val="22"/>
          <w:szCs w:val="22"/>
          <w:lang w:val="en-GB"/>
        </w:rPr>
        <w:t xml:space="preserve"> – </w:t>
      </w:r>
      <w:r w:rsidR="00AE6050">
        <w:rPr>
          <w:rFonts w:ascii="Calibri" w:hAnsi="Calibri" w:cs="Tahoma"/>
          <w:b/>
          <w:sz w:val="22"/>
          <w:szCs w:val="22"/>
          <w:lang w:val="en-GB"/>
        </w:rPr>
        <w:t>Athens Exchange Group (ATHEX Group)</w:t>
      </w:r>
      <w:r w:rsidR="00E20BEF"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publishes its Monthly Statistics Bulletin for</w:t>
      </w:r>
      <w:r w:rsidR="00E20BEF" w:rsidRPr="002C7F4F">
        <w:rPr>
          <w:rFonts w:ascii="Calibri" w:hAnsi="Calibri" w:cs="Tahoma"/>
          <w:sz w:val="22"/>
          <w:szCs w:val="22"/>
          <w:lang w:val="en-GB"/>
        </w:rPr>
        <w:t xml:space="preserve"> </w:t>
      </w:r>
      <w:r w:rsidR="00432C35" w:rsidRPr="002C7F4F">
        <w:rPr>
          <w:rFonts w:ascii="Calibri" w:hAnsi="Calibri" w:cs="Tahoma"/>
          <w:b/>
          <w:sz w:val="22"/>
          <w:szCs w:val="22"/>
          <w:lang w:val="en-GB"/>
        </w:rPr>
        <w:t>January 2016</w:t>
      </w:r>
      <w:r w:rsidR="00E20BEF" w:rsidRPr="002C7F4F">
        <w:rPr>
          <w:rFonts w:ascii="Calibri" w:hAnsi="Calibri" w:cs="Tahoma"/>
          <w:sz w:val="22"/>
          <w:szCs w:val="22"/>
          <w:lang w:val="en-GB"/>
        </w:rPr>
        <w:t>.</w:t>
      </w:r>
    </w:p>
    <w:p w:rsidR="00E20BEF" w:rsidRPr="002C7F4F" w:rsidRDefault="00E20BEF" w:rsidP="00E20BEF">
      <w:pPr>
        <w:spacing w:before="120" w:after="120"/>
        <w:jc w:val="both"/>
        <w:rPr>
          <w:rFonts w:ascii="Calibri" w:hAnsi="Calibri" w:cs="Tahoma"/>
          <w:b/>
          <w:bCs/>
          <w:sz w:val="22"/>
          <w:szCs w:val="22"/>
          <w:lang w:val="en-GB"/>
        </w:rPr>
      </w:pP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Summary of </w:t>
      </w:r>
      <w:r w:rsidR="003728F5" w:rsidRPr="002C7F4F">
        <w:rPr>
          <w:rFonts w:ascii="Calibri" w:hAnsi="Calibri" w:cs="Tahoma"/>
          <w:b/>
          <w:bCs/>
          <w:sz w:val="22"/>
          <w:szCs w:val="22"/>
          <w:lang w:val="en-GB"/>
        </w:rPr>
        <w:t>basic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</w:t>
      </w:r>
      <w:r w:rsidR="003728F5"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statistical information 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for </w:t>
      </w:r>
      <w:r w:rsidR="00432C35" w:rsidRPr="002C7F4F">
        <w:rPr>
          <w:rFonts w:ascii="Calibri" w:hAnsi="Calibri" w:cs="Tahoma"/>
          <w:b/>
          <w:bCs/>
          <w:sz w:val="22"/>
          <w:szCs w:val="22"/>
          <w:lang w:val="en-GB"/>
        </w:rPr>
        <w:t>January 2016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>:</w:t>
      </w:r>
    </w:p>
    <w:p w:rsidR="00D5239B" w:rsidRPr="002C7F4F" w:rsidRDefault="00D5239B" w:rsidP="00D5239B">
      <w:pPr>
        <w:numPr>
          <w:ilvl w:val="0"/>
          <w:numId w:val="4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Calibri" w:hAnsi="Calibri" w:cs="Tahoma"/>
          <w:b/>
          <w:bCs/>
          <w:sz w:val="22"/>
          <w:szCs w:val="22"/>
          <w:lang w:val="en-GB"/>
        </w:rPr>
      </w:pP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>Total ATHEX capitalization closed up at €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>34.08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billion, 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>decreased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by </w:t>
      </w:r>
      <w:r w:rsidR="00F12F60" w:rsidRPr="002C7F4F">
        <w:rPr>
          <w:rFonts w:ascii="Calibri" w:hAnsi="Calibri" w:cs="Tahoma"/>
          <w:b/>
          <w:bCs/>
          <w:sz w:val="22"/>
          <w:szCs w:val="22"/>
          <w:lang w:val="en-GB"/>
        </w:rPr>
        <w:t>13.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>1%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since the previous month. In case that HFSF was not counted there was 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>a decrease of 12.1%.</w:t>
      </w:r>
    </w:p>
    <w:p w:rsidR="00F85A13" w:rsidRPr="002C7F4F" w:rsidRDefault="002C7F4F" w:rsidP="00F85A13">
      <w:pPr>
        <w:numPr>
          <w:ilvl w:val="0"/>
          <w:numId w:val="4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Calibri" w:hAnsi="Calibri" w:cs="Tahoma"/>
          <w:b/>
          <w:bCs/>
          <w:sz w:val="22"/>
          <w:szCs w:val="22"/>
          <w:lang w:val="en-GB"/>
        </w:rPr>
      </w:pPr>
      <w:r>
        <w:rPr>
          <w:rFonts w:ascii="Calibri" w:hAnsi="Calibri" w:cs="Tahoma"/>
          <w:b/>
          <w:bCs/>
          <w:sz w:val="22"/>
          <w:szCs w:val="22"/>
          <w:lang w:val="en-GB"/>
        </w:rPr>
        <w:t>C</w:t>
      </w:r>
      <w:r w:rsidR="00F85A13"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apital inflows from foreign investors in the Greek capital, during </w:t>
      </w:r>
      <w:r w:rsidR="003C1C58" w:rsidRPr="002C7F4F">
        <w:rPr>
          <w:rFonts w:ascii="Calibri" w:hAnsi="Calibri" w:cs="Tahoma"/>
          <w:b/>
          <w:sz w:val="22"/>
          <w:szCs w:val="22"/>
          <w:lang w:val="en-GB"/>
        </w:rPr>
        <w:t>January</w:t>
      </w:r>
      <w:r w:rsidR="00F85A13"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, were 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>more</w:t>
      </w:r>
      <w:r w:rsidR="00F85A13"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than outflows.</w:t>
      </w:r>
    </w:p>
    <w:p w:rsidR="00CA645C" w:rsidRPr="002C7F4F" w:rsidRDefault="00CA645C" w:rsidP="00CA645C">
      <w:pPr>
        <w:numPr>
          <w:ilvl w:val="0"/>
          <w:numId w:val="4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Calibri" w:hAnsi="Calibri" w:cs="Tahoma"/>
          <w:b/>
          <w:bCs/>
          <w:sz w:val="22"/>
          <w:szCs w:val="22"/>
          <w:lang w:val="en-GB"/>
        </w:rPr>
      </w:pP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Participation of foreign investors in the total market capitalization reached 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>61.8%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compared to 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>64.2%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at the end of previous month 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>de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creased by 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>3.7%.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In case the participation of HFSF capitalization was counted 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(€1,686.34 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million or 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>4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>.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>9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>%) the participation of foreign investors amount</w:t>
      </w:r>
      <w:r w:rsidR="007864C0">
        <w:rPr>
          <w:rFonts w:ascii="Calibri" w:hAnsi="Calibri" w:cs="Tahoma"/>
          <w:b/>
          <w:bCs/>
          <w:sz w:val="22"/>
          <w:szCs w:val="22"/>
          <w:lang w:val="en-GB"/>
        </w:rPr>
        <w:t>s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t</w:t>
      </w:r>
      <w:r w:rsidR="007864C0">
        <w:rPr>
          <w:rFonts w:ascii="Calibri" w:hAnsi="Calibri" w:cs="Tahoma"/>
          <w:b/>
          <w:bCs/>
          <w:sz w:val="22"/>
          <w:szCs w:val="22"/>
          <w:lang w:val="en-GB"/>
        </w:rPr>
        <w:t>o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58.7% 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compared to </w:t>
      </w:r>
      <w:r w:rsidR="00432C35" w:rsidRPr="002C7F4F">
        <w:rPr>
          <w:rFonts w:ascii="Calibri" w:hAnsi="Calibri" w:cs="Tahoma"/>
          <w:b/>
          <w:bCs/>
          <w:sz w:val="22"/>
          <w:szCs w:val="22"/>
          <w:lang w:val="en-GB"/>
        </w:rPr>
        <w:t>60.3%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at the end of previous month 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>de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creased by 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>2.6%</w:t>
      </w:r>
    </w:p>
    <w:p w:rsidR="00E20BEF" w:rsidRPr="002C7F4F" w:rsidRDefault="00E20BEF" w:rsidP="00E20BEF">
      <w:pPr>
        <w:numPr>
          <w:ilvl w:val="0"/>
          <w:numId w:val="4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Calibri" w:hAnsi="Calibri" w:cs="Tahoma"/>
          <w:b/>
          <w:bCs/>
          <w:sz w:val="22"/>
          <w:szCs w:val="22"/>
          <w:lang w:val="en-GB"/>
        </w:rPr>
      </w:pP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>Total turnover €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>1.42</w:t>
      </w:r>
      <w:r w:rsidR="00406E73"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billion (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>decreased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by 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>63.9%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compared </w:t>
      </w:r>
      <w:r w:rsidR="00406E73" w:rsidRPr="002C7F4F">
        <w:rPr>
          <w:rFonts w:ascii="Calibri" w:hAnsi="Calibri" w:cs="Tahoma"/>
          <w:b/>
          <w:bCs/>
          <w:sz w:val="22"/>
          <w:szCs w:val="22"/>
          <w:lang w:val="en-GB"/>
        </w:rPr>
        <w:t>to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</w:t>
      </w:r>
      <w:r w:rsidR="00406E73" w:rsidRPr="002C7F4F">
        <w:rPr>
          <w:rFonts w:ascii="Calibri" w:hAnsi="Calibri" w:cs="Tahoma"/>
          <w:b/>
          <w:bCs/>
          <w:sz w:val="22"/>
          <w:szCs w:val="22"/>
          <w:lang w:val="en-GB"/>
        </w:rPr>
        <w:t>the previous month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</w:t>
      </w:r>
      <w:r w:rsidR="00406E73" w:rsidRPr="002C7F4F">
        <w:rPr>
          <w:rFonts w:ascii="Calibri" w:hAnsi="Calibri" w:cs="Tahoma"/>
          <w:b/>
          <w:bCs/>
          <w:sz w:val="22"/>
          <w:szCs w:val="22"/>
          <w:lang w:val="en-GB"/>
        </w:rPr>
        <w:t>and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>decreased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b</w:t>
      </w:r>
      <w:r w:rsidR="00406E73"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y 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>33.6%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compared </w:t>
      </w:r>
      <w:r w:rsidR="00406E73" w:rsidRPr="002C7F4F">
        <w:rPr>
          <w:rFonts w:ascii="Calibri" w:hAnsi="Calibri" w:cs="Tahoma"/>
          <w:b/>
          <w:bCs/>
          <w:sz w:val="22"/>
          <w:szCs w:val="22"/>
          <w:lang w:val="en-GB"/>
        </w:rPr>
        <w:t>to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</w:t>
      </w:r>
      <w:r w:rsidR="007E1B55" w:rsidRPr="002C7F4F">
        <w:rPr>
          <w:rFonts w:ascii="Calibri" w:hAnsi="Calibri" w:cs="Tahoma"/>
          <w:b/>
          <w:bCs/>
          <w:sz w:val="22"/>
          <w:szCs w:val="22"/>
          <w:lang w:val="en-GB"/>
        </w:rPr>
        <w:t>the same month of the previous year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>)</w:t>
      </w:r>
      <w:r w:rsidR="00CA645C" w:rsidRPr="002C7F4F">
        <w:rPr>
          <w:rFonts w:ascii="Calibri" w:hAnsi="Calibri" w:cs="Tahoma"/>
          <w:b/>
          <w:bCs/>
          <w:sz w:val="22"/>
          <w:szCs w:val="22"/>
          <w:lang w:val="en-GB"/>
        </w:rPr>
        <w:t>.</w:t>
      </w:r>
    </w:p>
    <w:p w:rsidR="003728F5" w:rsidRPr="002C7F4F" w:rsidRDefault="003728F5" w:rsidP="003728F5">
      <w:pPr>
        <w:numPr>
          <w:ilvl w:val="0"/>
          <w:numId w:val="4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Calibri" w:hAnsi="Calibri" w:cs="Tahoma"/>
          <w:b/>
          <w:bCs/>
          <w:sz w:val="22"/>
          <w:szCs w:val="22"/>
          <w:lang w:val="en-GB"/>
        </w:rPr>
      </w:pP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Total number of securities transferred due to settlement of stock exchange transactions amounted at </w:t>
      </w:r>
      <w:r w:rsidR="00B05CDA" w:rsidRPr="002C7F4F">
        <w:rPr>
          <w:rFonts w:ascii="Calibri" w:hAnsi="Calibri" w:cs="Tahoma"/>
          <w:b/>
          <w:bCs/>
          <w:sz w:val="22"/>
          <w:szCs w:val="22"/>
          <w:lang w:val="en-GB"/>
        </w:rPr>
        <w:t>2,241,992,250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items 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>de</w:t>
      </w:r>
      <w:r w:rsidR="00742C69" w:rsidRPr="002C7F4F">
        <w:rPr>
          <w:rFonts w:ascii="Calibri" w:hAnsi="Calibri" w:cs="Tahoma"/>
          <w:b/>
          <w:bCs/>
          <w:sz w:val="22"/>
          <w:szCs w:val="22"/>
          <w:lang w:val="en-GB"/>
        </w:rPr>
        <w:t>c</w:t>
      </w:r>
      <w:r w:rsidR="00474F38"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reased 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by </w:t>
      </w:r>
      <w:r w:rsidR="00675325">
        <w:rPr>
          <w:rFonts w:ascii="Calibri" w:hAnsi="Calibri" w:cs="Tahoma"/>
          <w:b/>
          <w:bCs/>
          <w:sz w:val="22"/>
          <w:szCs w:val="22"/>
          <w:lang w:val="en-GB"/>
        </w:rPr>
        <w:t>60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>.</w:t>
      </w:r>
      <w:r w:rsidR="00675325">
        <w:rPr>
          <w:rFonts w:ascii="Calibri" w:hAnsi="Calibri" w:cs="Tahoma"/>
          <w:b/>
          <w:bCs/>
          <w:sz w:val="22"/>
          <w:szCs w:val="22"/>
          <w:lang w:val="en-GB"/>
        </w:rPr>
        <w:t>9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>% compared to last month (</w:t>
      </w:r>
      <w:r w:rsidR="00B05CDA" w:rsidRPr="002C7F4F">
        <w:rPr>
          <w:rFonts w:ascii="Calibri" w:hAnsi="Calibri" w:cs="Tahoma"/>
          <w:b/>
          <w:bCs/>
          <w:sz w:val="22"/>
          <w:szCs w:val="22"/>
          <w:lang w:val="en-GB"/>
        </w:rPr>
        <w:t>5,737,223,659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) and 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>de</w:t>
      </w:r>
      <w:r w:rsidR="00A12EA1" w:rsidRPr="002C7F4F">
        <w:rPr>
          <w:rFonts w:ascii="Calibri" w:hAnsi="Calibri" w:cs="Tahoma"/>
          <w:b/>
          <w:bCs/>
          <w:sz w:val="22"/>
          <w:szCs w:val="22"/>
          <w:lang w:val="en-GB"/>
        </w:rPr>
        <w:t>creased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by </w:t>
      </w:r>
      <w:r w:rsidR="009B7CD2" w:rsidRPr="002C7F4F">
        <w:rPr>
          <w:rFonts w:ascii="Calibri" w:hAnsi="Calibri" w:cs="Tahoma"/>
          <w:b/>
          <w:bCs/>
          <w:sz w:val="22"/>
          <w:szCs w:val="22"/>
          <w:lang w:val="en-GB"/>
        </w:rPr>
        <w:t>24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>.</w:t>
      </w:r>
      <w:r w:rsidR="009B7CD2" w:rsidRPr="002C7F4F">
        <w:rPr>
          <w:rFonts w:ascii="Calibri" w:hAnsi="Calibri" w:cs="Tahoma"/>
          <w:b/>
          <w:bCs/>
          <w:sz w:val="22"/>
          <w:szCs w:val="22"/>
          <w:lang w:val="en-GB"/>
        </w:rPr>
        <w:t>8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% compared to </w:t>
      </w:r>
      <w:r w:rsidR="00432C35" w:rsidRPr="002C7F4F">
        <w:rPr>
          <w:rFonts w:ascii="Calibri" w:hAnsi="Calibri" w:cs="Tahoma"/>
          <w:b/>
          <w:bCs/>
          <w:sz w:val="22"/>
          <w:szCs w:val="22"/>
          <w:lang w:val="en-GB"/>
        </w:rPr>
        <w:t>January 201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>5</w:t>
      </w:r>
      <w:r w:rsidR="00474F38"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>(</w:t>
      </w:r>
      <w:r w:rsidR="003C1C58" w:rsidRPr="002C7F4F">
        <w:rPr>
          <w:rFonts w:ascii="Calibri" w:hAnsi="Calibri" w:cs="Tahoma"/>
          <w:b/>
          <w:bCs/>
          <w:sz w:val="22"/>
          <w:szCs w:val="22"/>
          <w:lang w:val="en-GB"/>
        </w:rPr>
        <w:t>2,984,330,892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items).</w:t>
      </w:r>
    </w:p>
    <w:p w:rsidR="00E20BEF" w:rsidRPr="002C7F4F" w:rsidRDefault="00E20BEF" w:rsidP="00E20BEF">
      <w:pPr>
        <w:numPr>
          <w:ilvl w:val="0"/>
          <w:numId w:val="4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Calibri" w:hAnsi="Calibri" w:cs="Tahoma"/>
          <w:b/>
          <w:bCs/>
          <w:sz w:val="22"/>
          <w:szCs w:val="22"/>
          <w:lang w:val="en-GB"/>
        </w:rPr>
      </w:pP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Foreign investors in </w:t>
      </w:r>
      <w:r w:rsidR="00432C35" w:rsidRPr="002C7F4F">
        <w:rPr>
          <w:rFonts w:ascii="Calibri" w:hAnsi="Calibri" w:cs="Tahoma"/>
          <w:b/>
          <w:bCs/>
          <w:sz w:val="22"/>
          <w:szCs w:val="22"/>
          <w:lang w:val="en-GB"/>
        </w:rPr>
        <w:t>January 2016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made </w:t>
      </w:r>
      <w:r w:rsidR="00AC6555" w:rsidRPr="002C7F4F">
        <w:rPr>
          <w:rFonts w:ascii="Calibri" w:hAnsi="Calibri" w:cs="Tahoma"/>
          <w:b/>
          <w:bCs/>
          <w:sz w:val="22"/>
          <w:szCs w:val="22"/>
          <w:lang w:val="en-GB"/>
        </w:rPr>
        <w:t>61.9%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of total turnover.</w:t>
      </w:r>
    </w:p>
    <w:p w:rsidR="00E20BEF" w:rsidRPr="002C7F4F" w:rsidRDefault="00E20BEF" w:rsidP="00E20BEF">
      <w:pPr>
        <w:numPr>
          <w:ilvl w:val="0"/>
          <w:numId w:val="4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Calibri" w:hAnsi="Calibri" w:cs="Tahoma"/>
          <w:b/>
          <w:bCs/>
          <w:sz w:val="22"/>
          <w:szCs w:val="22"/>
          <w:lang w:val="en-GB"/>
        </w:rPr>
      </w:pP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The number of Active investors’ </w:t>
      </w:r>
      <w:r w:rsidR="00513DA8" w:rsidRPr="002C7F4F">
        <w:rPr>
          <w:rFonts w:ascii="Calibri" w:hAnsi="Calibri" w:cs="Tahoma"/>
          <w:b/>
          <w:bCs/>
          <w:sz w:val="22"/>
          <w:szCs w:val="22"/>
          <w:lang w:val="en-GB"/>
        </w:rPr>
        <w:t>Accounts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reached </w:t>
      </w:r>
      <w:r w:rsidR="00AC6555" w:rsidRPr="002C7F4F">
        <w:rPr>
          <w:rFonts w:ascii="Calibri" w:hAnsi="Calibri" w:cs="Tahoma"/>
          <w:b/>
          <w:bCs/>
          <w:sz w:val="22"/>
          <w:szCs w:val="22"/>
          <w:lang w:val="en-GB"/>
        </w:rPr>
        <w:t>17.56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thousand (previous month: </w:t>
      </w:r>
      <w:r w:rsidR="00432C35" w:rsidRPr="002C7F4F">
        <w:rPr>
          <w:rFonts w:ascii="Calibri" w:hAnsi="Calibri" w:cs="Tahoma"/>
          <w:b/>
          <w:bCs/>
          <w:sz w:val="22"/>
          <w:szCs w:val="22"/>
          <w:lang w:val="en-GB"/>
        </w:rPr>
        <w:t>26.32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thousand)</w:t>
      </w:r>
      <w:r w:rsidR="00CA645C" w:rsidRPr="002C7F4F">
        <w:rPr>
          <w:rFonts w:ascii="Calibri" w:hAnsi="Calibri" w:cs="Tahoma"/>
          <w:b/>
          <w:bCs/>
          <w:sz w:val="22"/>
          <w:szCs w:val="22"/>
          <w:lang w:val="en-GB"/>
        </w:rPr>
        <w:t>.</w:t>
      </w:r>
    </w:p>
    <w:p w:rsidR="00E20BEF" w:rsidRPr="002C7F4F" w:rsidRDefault="00AC6555" w:rsidP="00E20BEF">
      <w:pPr>
        <w:numPr>
          <w:ilvl w:val="0"/>
          <w:numId w:val="4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Calibri" w:hAnsi="Calibri" w:cs="Tahoma"/>
          <w:b/>
          <w:bCs/>
          <w:sz w:val="22"/>
          <w:szCs w:val="22"/>
          <w:lang w:val="en-GB"/>
        </w:rPr>
      </w:pP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>708</w:t>
      </w:r>
      <w:r w:rsidR="00E20BEF"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New investors’ </w:t>
      </w:r>
      <w:r w:rsidR="00513DA8" w:rsidRPr="002C7F4F">
        <w:rPr>
          <w:rFonts w:ascii="Calibri" w:hAnsi="Calibri" w:cs="Tahoma"/>
          <w:b/>
          <w:bCs/>
          <w:sz w:val="22"/>
          <w:szCs w:val="22"/>
          <w:lang w:val="en-GB"/>
        </w:rPr>
        <w:t>Accounts</w:t>
      </w:r>
      <w:r w:rsidR="00E20BEF"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(previous month: </w:t>
      </w:r>
      <w:r w:rsidR="00432C35" w:rsidRPr="002C7F4F">
        <w:rPr>
          <w:rFonts w:ascii="Calibri" w:hAnsi="Calibri" w:cs="Tahoma"/>
          <w:b/>
          <w:bCs/>
          <w:sz w:val="22"/>
          <w:szCs w:val="22"/>
          <w:lang w:val="en-GB"/>
        </w:rPr>
        <w:t>3,524</w:t>
      </w:r>
      <w:r w:rsidR="00C464C0"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</w:t>
      </w:r>
      <w:r w:rsidR="00E20BEF" w:rsidRPr="002C7F4F">
        <w:rPr>
          <w:rFonts w:ascii="Calibri" w:hAnsi="Calibri" w:cs="Tahoma"/>
          <w:b/>
          <w:bCs/>
          <w:sz w:val="22"/>
          <w:szCs w:val="22"/>
          <w:lang w:val="en-GB"/>
        </w:rPr>
        <w:t>Shares)</w:t>
      </w:r>
      <w:r w:rsidR="00CA645C" w:rsidRPr="002C7F4F">
        <w:rPr>
          <w:rFonts w:ascii="Calibri" w:hAnsi="Calibri" w:cs="Tahoma"/>
          <w:b/>
          <w:bCs/>
          <w:sz w:val="22"/>
          <w:szCs w:val="22"/>
          <w:lang w:val="en-GB"/>
        </w:rPr>
        <w:t>.</w:t>
      </w:r>
    </w:p>
    <w:p w:rsidR="00E20BEF" w:rsidRPr="002C7F4F" w:rsidRDefault="00432C35" w:rsidP="00E20BEF">
      <w:pPr>
        <w:numPr>
          <w:ilvl w:val="0"/>
          <w:numId w:val="4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Calibri" w:hAnsi="Calibri" w:cs="Tahoma"/>
          <w:b/>
          <w:bCs/>
          <w:sz w:val="22"/>
          <w:szCs w:val="22"/>
          <w:lang w:val="en-GB"/>
        </w:rPr>
      </w:pP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>Losses</w:t>
      </w:r>
      <w:r w:rsidR="00E20BEF"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in the price of ATHEX Composite Share Price Index by 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>11.0%</w:t>
      </w:r>
      <w:r w:rsidR="00E20BEF"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since the beginning of the month.</w:t>
      </w:r>
    </w:p>
    <w:p w:rsidR="00943691" w:rsidRPr="002C7F4F" w:rsidRDefault="00E20BEF" w:rsidP="00E20BEF">
      <w:pPr>
        <w:spacing w:before="120" w:after="120"/>
        <w:jc w:val="both"/>
        <w:rPr>
          <w:rFonts w:ascii="Calibri" w:hAnsi="Calibri" w:cs="Tahoma"/>
          <w:bCs/>
          <w:sz w:val="22"/>
          <w:szCs w:val="22"/>
          <w:lang w:val="en-GB"/>
        </w:rPr>
      </w:pP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>Transactions Value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in </w:t>
      </w:r>
      <w:r w:rsidR="00432C35" w:rsidRPr="002C7F4F">
        <w:rPr>
          <w:rFonts w:ascii="Calibri" w:hAnsi="Calibri" w:cs="Tahoma"/>
          <w:b/>
          <w:bCs/>
          <w:sz w:val="22"/>
          <w:szCs w:val="22"/>
          <w:lang w:val="en-GB"/>
        </w:rPr>
        <w:t>January 2016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reached 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>€</w:t>
      </w:r>
      <w:r w:rsidR="00AC6555" w:rsidRPr="002C7F4F">
        <w:rPr>
          <w:rFonts w:ascii="Calibri" w:hAnsi="Calibri" w:cs="Tahoma"/>
          <w:b/>
          <w:bCs/>
          <w:sz w:val="22"/>
          <w:szCs w:val="22"/>
          <w:lang w:val="en-GB"/>
        </w:rPr>
        <w:t>1,421.93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million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</w:t>
      </w:r>
      <w:r w:rsidRPr="002C7F4F">
        <w:rPr>
          <w:rFonts w:ascii="Calibri" w:hAnsi="Calibri" w:cs="Tahoma"/>
          <w:bCs/>
          <w:i/>
          <w:sz w:val="22"/>
          <w:szCs w:val="22"/>
          <w:lang w:val="en-GB"/>
        </w:rPr>
        <w:t>(see Chart 1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>)</w:t>
      </w:r>
      <w:r w:rsidR="004414AD" w:rsidRPr="002C7F4F">
        <w:rPr>
          <w:rFonts w:ascii="Calibri" w:hAnsi="Calibri" w:cs="Tahoma"/>
          <w:bCs/>
          <w:i/>
          <w:sz w:val="22"/>
          <w:szCs w:val="22"/>
          <w:lang w:val="en-GB"/>
        </w:rPr>
        <w:t>,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</w:t>
      </w:r>
      <w:r w:rsidR="00AC6555" w:rsidRPr="002C7F4F">
        <w:rPr>
          <w:rFonts w:ascii="Calibri" w:hAnsi="Calibri" w:cs="Tahoma"/>
          <w:bCs/>
          <w:sz w:val="22"/>
          <w:szCs w:val="22"/>
          <w:lang w:val="en-GB"/>
        </w:rPr>
        <w:t>decreased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by </w:t>
      </w:r>
      <w:r w:rsidR="00AC6555" w:rsidRPr="002C7F4F">
        <w:rPr>
          <w:rFonts w:ascii="Calibri" w:hAnsi="Calibri" w:cs="Tahoma"/>
          <w:b/>
          <w:bCs/>
          <w:sz w:val="22"/>
          <w:szCs w:val="22"/>
          <w:lang w:val="en-GB"/>
        </w:rPr>
        <w:t>63.9%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since </w:t>
      </w:r>
      <w:r w:rsidR="00A74DFC" w:rsidRPr="002C7F4F">
        <w:rPr>
          <w:rFonts w:ascii="Calibri" w:hAnsi="Calibri" w:cs="Tahoma"/>
          <w:bCs/>
          <w:sz w:val="22"/>
          <w:szCs w:val="22"/>
          <w:lang w:val="en-GB"/>
        </w:rPr>
        <w:t>the previous month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when transactions value </w:t>
      </w:r>
      <w:r w:rsidR="004414AD" w:rsidRPr="002C7F4F">
        <w:rPr>
          <w:rFonts w:ascii="Calibri" w:hAnsi="Calibri" w:cs="Tahoma"/>
          <w:bCs/>
          <w:sz w:val="22"/>
          <w:szCs w:val="22"/>
          <w:lang w:val="en-GB"/>
        </w:rPr>
        <w:t>reached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€</w:t>
      </w:r>
      <w:r w:rsidR="00432C35" w:rsidRPr="002C7F4F">
        <w:rPr>
          <w:rFonts w:ascii="Calibri" w:hAnsi="Calibri" w:cs="Tahoma"/>
          <w:bCs/>
          <w:sz w:val="22"/>
          <w:szCs w:val="22"/>
          <w:lang w:val="en-GB"/>
        </w:rPr>
        <w:t>3,942.33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million. Compared </w:t>
      </w:r>
      <w:r w:rsidR="00915FDF" w:rsidRPr="002C7F4F">
        <w:rPr>
          <w:rFonts w:ascii="Calibri" w:hAnsi="Calibri" w:cs="Tahoma"/>
          <w:bCs/>
          <w:sz w:val="22"/>
          <w:szCs w:val="22"/>
          <w:lang w:val="en-GB"/>
        </w:rPr>
        <w:t>to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</w:t>
      </w:r>
      <w:r w:rsidR="00A74DFC" w:rsidRPr="002C7F4F">
        <w:rPr>
          <w:rFonts w:ascii="Calibri" w:hAnsi="Calibri" w:cs="Tahoma"/>
          <w:bCs/>
          <w:sz w:val="22"/>
          <w:szCs w:val="22"/>
          <w:lang w:val="en-GB"/>
        </w:rPr>
        <w:t>the same month of the previous year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when transactions value was €</w:t>
      </w:r>
      <w:r w:rsidR="00432C35" w:rsidRPr="002C7F4F">
        <w:rPr>
          <w:rFonts w:ascii="Calibri" w:hAnsi="Calibri" w:cs="Tahoma"/>
          <w:bCs/>
          <w:sz w:val="22"/>
          <w:szCs w:val="22"/>
          <w:lang w:val="en-GB"/>
        </w:rPr>
        <w:t>2,142.23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million there was </w:t>
      </w:r>
      <w:r w:rsidR="00D01BF8" w:rsidRPr="002C7F4F">
        <w:rPr>
          <w:rFonts w:ascii="Calibri" w:hAnsi="Calibri" w:cs="Tahoma"/>
          <w:bCs/>
          <w:sz w:val="22"/>
          <w:szCs w:val="22"/>
          <w:lang w:val="en-GB"/>
        </w:rPr>
        <w:t>a</w:t>
      </w:r>
      <w:r w:rsidR="00AC6555" w:rsidRPr="002C7F4F">
        <w:rPr>
          <w:rFonts w:ascii="Calibri" w:hAnsi="Calibri" w:cs="Tahoma"/>
          <w:bCs/>
          <w:sz w:val="22"/>
          <w:szCs w:val="22"/>
          <w:lang w:val="en-GB"/>
        </w:rPr>
        <w:t xml:space="preserve"> decrease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of</w:t>
      </w:r>
      <w:r w:rsidR="00915FDF" w:rsidRPr="002C7F4F">
        <w:rPr>
          <w:rFonts w:ascii="Calibri" w:hAnsi="Calibri" w:cs="Tahoma"/>
          <w:bCs/>
          <w:sz w:val="22"/>
          <w:szCs w:val="22"/>
          <w:lang w:val="en-GB"/>
        </w:rPr>
        <w:t xml:space="preserve"> </w:t>
      </w:r>
      <w:r w:rsidR="00AC6555" w:rsidRPr="002C7F4F">
        <w:rPr>
          <w:rFonts w:ascii="Calibri" w:hAnsi="Calibri" w:cs="Tahoma"/>
          <w:bCs/>
          <w:sz w:val="22"/>
          <w:szCs w:val="22"/>
          <w:lang w:val="en-GB"/>
        </w:rPr>
        <w:t>33.6%.</w:t>
      </w:r>
    </w:p>
    <w:p w:rsidR="00227A1A" w:rsidRPr="002C7F4F" w:rsidRDefault="009D57CD" w:rsidP="002E5590">
      <w:pPr>
        <w:spacing w:before="120" w:after="120"/>
        <w:jc w:val="center"/>
        <w:rPr>
          <w:rFonts w:ascii="Calibri" w:hAnsi="Calibri" w:cs="Tahoma"/>
          <w:bCs/>
          <w:lang w:val="en-GB"/>
        </w:rPr>
      </w:pPr>
      <w:r>
        <w:rPr>
          <w:noProof/>
        </w:rPr>
        <w:lastRenderedPageBreak/>
        <w:drawing>
          <wp:inline distT="0" distB="0" distL="0" distR="0">
            <wp:extent cx="6316980" cy="16383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A1A" w:rsidRPr="002C7F4F">
        <w:rPr>
          <w:rFonts w:ascii="Arial" w:hAnsi="Arial"/>
          <w:b/>
          <w:sz w:val="18"/>
          <w:szCs w:val="18"/>
          <w:lang w:val="en-GB" w:eastAsia="en-US"/>
        </w:rPr>
        <w:t xml:space="preserve">Chart </w:t>
      </w:r>
      <w:r w:rsidR="00227A1A" w:rsidRPr="002C7F4F">
        <w:rPr>
          <w:rFonts w:ascii="Arial" w:hAnsi="Arial"/>
          <w:b/>
          <w:sz w:val="18"/>
          <w:szCs w:val="18"/>
          <w:lang w:val="en-GB" w:eastAsia="en-US"/>
        </w:rPr>
        <w:fldChar w:fldCharType="begin"/>
      </w:r>
      <w:r w:rsidR="00227A1A" w:rsidRPr="002C7F4F">
        <w:rPr>
          <w:rFonts w:ascii="Arial" w:hAnsi="Arial"/>
          <w:b/>
          <w:sz w:val="18"/>
          <w:szCs w:val="18"/>
          <w:lang w:val="en-GB" w:eastAsia="en-US"/>
        </w:rPr>
        <w:instrText xml:space="preserve"> SEQ Chart \* ARABIC </w:instrText>
      </w:r>
      <w:r w:rsidR="00227A1A" w:rsidRPr="002C7F4F">
        <w:rPr>
          <w:rFonts w:ascii="Arial" w:hAnsi="Arial"/>
          <w:b/>
          <w:sz w:val="18"/>
          <w:szCs w:val="18"/>
          <w:lang w:val="en-GB" w:eastAsia="en-US"/>
        </w:rPr>
        <w:fldChar w:fldCharType="separate"/>
      </w:r>
      <w:r w:rsidR="008C706A">
        <w:rPr>
          <w:rFonts w:ascii="Arial" w:hAnsi="Arial"/>
          <w:b/>
          <w:noProof/>
          <w:sz w:val="18"/>
          <w:szCs w:val="18"/>
          <w:lang w:val="en-GB" w:eastAsia="en-US"/>
        </w:rPr>
        <w:t>1</w:t>
      </w:r>
      <w:r w:rsidR="00227A1A" w:rsidRPr="002C7F4F">
        <w:rPr>
          <w:rFonts w:ascii="Arial" w:hAnsi="Arial"/>
          <w:b/>
          <w:sz w:val="18"/>
          <w:szCs w:val="18"/>
          <w:lang w:val="en-GB" w:eastAsia="en-US"/>
        </w:rPr>
        <w:fldChar w:fldCharType="end"/>
      </w:r>
    </w:p>
    <w:p w:rsidR="00667CCE" w:rsidRPr="002C7F4F" w:rsidRDefault="00E20BEF" w:rsidP="00667CCE">
      <w:pPr>
        <w:spacing w:before="120" w:after="120"/>
        <w:jc w:val="both"/>
        <w:rPr>
          <w:rFonts w:ascii="Calibri" w:hAnsi="Calibri" w:cs="Tahoma"/>
          <w:bCs/>
          <w:sz w:val="22"/>
          <w:szCs w:val="22"/>
          <w:lang w:val="en-GB"/>
        </w:rPr>
      </w:pP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Correspondingly, 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>Average Daily Value (ADV) of Transactions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in </w:t>
      </w:r>
      <w:r w:rsidR="00432C35" w:rsidRPr="002C7F4F">
        <w:rPr>
          <w:rFonts w:ascii="Calibri" w:hAnsi="Calibri" w:cs="Tahoma"/>
          <w:b/>
          <w:bCs/>
          <w:sz w:val="22"/>
          <w:szCs w:val="22"/>
          <w:lang w:val="en-GB"/>
        </w:rPr>
        <w:t>January 2016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was 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>€</w:t>
      </w:r>
      <w:r w:rsidR="0087513B" w:rsidRPr="002C7F4F">
        <w:rPr>
          <w:rFonts w:ascii="Calibri" w:hAnsi="Calibri" w:cs="Tahoma"/>
          <w:b/>
          <w:bCs/>
          <w:sz w:val="22"/>
          <w:szCs w:val="22"/>
          <w:lang w:val="en-GB"/>
        </w:rPr>
        <w:t>74.84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million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which is </w:t>
      </w:r>
      <w:r w:rsidR="0087513B" w:rsidRPr="002C7F4F">
        <w:rPr>
          <w:rFonts w:ascii="Calibri" w:hAnsi="Calibri" w:cs="Tahoma"/>
          <w:bCs/>
          <w:sz w:val="22"/>
          <w:szCs w:val="22"/>
          <w:lang w:val="en-GB"/>
        </w:rPr>
        <w:t>decreased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compared to </w:t>
      </w:r>
      <w:r w:rsidR="00895847" w:rsidRPr="002C7F4F">
        <w:rPr>
          <w:rFonts w:ascii="Calibri" w:hAnsi="Calibri" w:cs="Tahoma"/>
          <w:bCs/>
          <w:sz w:val="22"/>
          <w:szCs w:val="22"/>
          <w:lang w:val="en-GB"/>
        </w:rPr>
        <w:t>the previous month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(€</w:t>
      </w:r>
      <w:r w:rsidR="00432C35" w:rsidRPr="002C7F4F">
        <w:rPr>
          <w:rFonts w:ascii="Calibri" w:hAnsi="Calibri" w:cs="Tahoma"/>
          <w:bCs/>
          <w:sz w:val="22"/>
          <w:szCs w:val="22"/>
          <w:lang w:val="en-GB"/>
        </w:rPr>
        <w:t>187.73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million) </w:t>
      </w:r>
      <w:r w:rsidR="00915FDF" w:rsidRPr="002C7F4F">
        <w:rPr>
          <w:rFonts w:ascii="Calibri" w:hAnsi="Calibri" w:cs="Tahoma"/>
          <w:bCs/>
          <w:sz w:val="22"/>
          <w:szCs w:val="22"/>
          <w:lang w:val="en-GB"/>
        </w:rPr>
        <w:t xml:space="preserve">and </w:t>
      </w:r>
      <w:r w:rsidR="0087513B" w:rsidRPr="002C7F4F">
        <w:rPr>
          <w:rFonts w:ascii="Calibri" w:hAnsi="Calibri" w:cs="Tahoma"/>
          <w:bCs/>
          <w:sz w:val="22"/>
          <w:szCs w:val="22"/>
          <w:lang w:val="en-GB"/>
        </w:rPr>
        <w:t xml:space="preserve">decreased </w:t>
      </w:r>
      <w:r w:rsidR="00667CCE" w:rsidRPr="002C7F4F">
        <w:rPr>
          <w:rFonts w:ascii="Calibri" w:hAnsi="Calibri" w:cs="Tahoma"/>
          <w:bCs/>
          <w:sz w:val="22"/>
          <w:szCs w:val="22"/>
          <w:lang w:val="en-GB"/>
        </w:rPr>
        <w:t>compared to the same month of the previous year (€</w:t>
      </w:r>
      <w:r w:rsidR="0087513B" w:rsidRPr="002C7F4F">
        <w:rPr>
          <w:rFonts w:ascii="Calibri" w:hAnsi="Calibri" w:cs="Tahoma"/>
          <w:bCs/>
          <w:sz w:val="22"/>
          <w:szCs w:val="22"/>
          <w:lang w:val="en-GB"/>
        </w:rPr>
        <w:t>107</w:t>
      </w:r>
      <w:r w:rsidR="00667CCE" w:rsidRPr="002C7F4F">
        <w:rPr>
          <w:rFonts w:ascii="Calibri" w:hAnsi="Calibri" w:cs="Tahoma"/>
          <w:bCs/>
          <w:sz w:val="22"/>
          <w:szCs w:val="22"/>
          <w:lang w:val="en-GB"/>
        </w:rPr>
        <w:t>.</w:t>
      </w:r>
      <w:r w:rsidR="0087513B" w:rsidRPr="002C7F4F">
        <w:rPr>
          <w:rFonts w:ascii="Calibri" w:hAnsi="Calibri" w:cs="Tahoma"/>
          <w:bCs/>
          <w:sz w:val="22"/>
          <w:szCs w:val="22"/>
          <w:lang w:val="en-GB"/>
        </w:rPr>
        <w:t>11</w:t>
      </w:r>
      <w:r w:rsidR="00667CCE" w:rsidRPr="002C7F4F">
        <w:rPr>
          <w:rFonts w:ascii="Calibri" w:hAnsi="Calibri" w:cs="Tahoma"/>
          <w:bCs/>
          <w:sz w:val="22"/>
          <w:szCs w:val="22"/>
          <w:lang w:val="en-GB"/>
        </w:rPr>
        <w:t xml:space="preserve"> million).</w:t>
      </w:r>
    </w:p>
    <w:p w:rsidR="00E20BEF" w:rsidRPr="002C7F4F" w:rsidRDefault="00E20BEF" w:rsidP="00E20BEF">
      <w:pPr>
        <w:spacing w:before="120" w:after="120"/>
        <w:jc w:val="both"/>
        <w:rPr>
          <w:rFonts w:ascii="Calibri" w:hAnsi="Calibri" w:cs="Tahoma"/>
          <w:bCs/>
          <w:sz w:val="22"/>
          <w:szCs w:val="22"/>
          <w:lang w:val="en-GB"/>
        </w:rPr>
      </w:pPr>
      <w:r w:rsidRPr="002C7F4F">
        <w:rPr>
          <w:rFonts w:ascii="Calibri" w:hAnsi="Calibri" w:cs="Tahoma"/>
          <w:bCs/>
          <w:sz w:val="22"/>
          <w:szCs w:val="22"/>
          <w:lang w:val="en-GB"/>
        </w:rPr>
        <w:t>The number of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Active </w:t>
      </w:r>
      <w:r w:rsidR="00CB7B41" w:rsidRPr="002C7F4F">
        <w:rPr>
          <w:rFonts w:ascii="Calibri" w:hAnsi="Calibri" w:cs="Tahoma"/>
          <w:b/>
          <w:bCs/>
          <w:sz w:val="22"/>
          <w:szCs w:val="22"/>
          <w:lang w:val="en-GB"/>
        </w:rPr>
        <w:t>I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nvestors Accounts for </w:t>
      </w:r>
      <w:r w:rsidR="00432C35" w:rsidRPr="002C7F4F">
        <w:rPr>
          <w:rFonts w:ascii="Calibri" w:hAnsi="Calibri" w:cs="Tahoma"/>
          <w:b/>
          <w:bCs/>
          <w:sz w:val="22"/>
          <w:szCs w:val="22"/>
          <w:lang w:val="en-GB"/>
        </w:rPr>
        <w:t>January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reached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</w:t>
      </w:r>
      <w:r w:rsidR="0087513B" w:rsidRPr="002C7F4F">
        <w:rPr>
          <w:rFonts w:ascii="Calibri" w:hAnsi="Calibri" w:cs="Tahoma"/>
          <w:b/>
          <w:bCs/>
          <w:sz w:val="22"/>
          <w:szCs w:val="22"/>
          <w:lang w:val="en-GB"/>
        </w:rPr>
        <w:t>17,556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accounts compared to </w:t>
      </w:r>
      <w:r w:rsidR="00432C35" w:rsidRPr="002C7F4F">
        <w:rPr>
          <w:rFonts w:ascii="Calibri" w:hAnsi="Calibri" w:cs="Tahoma"/>
          <w:bCs/>
          <w:sz w:val="22"/>
          <w:szCs w:val="22"/>
          <w:lang w:val="en-GB"/>
        </w:rPr>
        <w:t>26,322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of the previous month (</w:t>
      </w:r>
      <w:r w:rsidR="00432C35" w:rsidRPr="002C7F4F">
        <w:rPr>
          <w:rFonts w:ascii="Calibri" w:hAnsi="Calibri" w:cs="Tahoma"/>
          <w:bCs/>
          <w:sz w:val="22"/>
          <w:szCs w:val="22"/>
          <w:lang w:val="en-GB"/>
        </w:rPr>
        <w:t>January 2015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: </w:t>
      </w:r>
      <w:r w:rsidR="00432C35" w:rsidRPr="002C7F4F">
        <w:rPr>
          <w:rFonts w:ascii="Calibri" w:hAnsi="Calibri" w:cs="Tahoma"/>
          <w:bCs/>
          <w:sz w:val="22"/>
          <w:szCs w:val="22"/>
          <w:lang w:val="en-GB"/>
        </w:rPr>
        <w:t>28,532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). </w:t>
      </w:r>
    </w:p>
    <w:p w:rsidR="00E20BEF" w:rsidRPr="002C7F4F" w:rsidRDefault="00E20BEF" w:rsidP="00E20BEF">
      <w:pPr>
        <w:spacing w:before="120" w:after="120"/>
        <w:jc w:val="both"/>
        <w:rPr>
          <w:rFonts w:ascii="Calibri" w:hAnsi="Calibri" w:cs="Tahoma"/>
          <w:bCs/>
          <w:sz w:val="22"/>
          <w:szCs w:val="22"/>
          <w:lang w:val="en-GB"/>
        </w:rPr>
      </w:pP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In </w:t>
      </w:r>
      <w:r w:rsidR="00432C35" w:rsidRPr="002C7F4F">
        <w:rPr>
          <w:rFonts w:ascii="Calibri" w:hAnsi="Calibri" w:cs="Tahoma"/>
          <w:b/>
          <w:bCs/>
          <w:sz w:val="22"/>
          <w:szCs w:val="22"/>
          <w:lang w:val="en-GB"/>
        </w:rPr>
        <w:t>January 2016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there were </w:t>
      </w:r>
      <w:r w:rsidR="0087513B" w:rsidRPr="002C7F4F">
        <w:rPr>
          <w:rFonts w:ascii="Calibri" w:hAnsi="Calibri" w:cs="Tahoma"/>
          <w:b/>
          <w:bCs/>
          <w:sz w:val="22"/>
          <w:szCs w:val="22"/>
          <w:lang w:val="en-GB"/>
        </w:rPr>
        <w:t>708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new Investor </w:t>
      </w:r>
      <w:r w:rsidR="006F3024" w:rsidRPr="002C7F4F">
        <w:rPr>
          <w:rFonts w:ascii="Calibri" w:hAnsi="Calibri" w:cs="Tahoma"/>
          <w:b/>
          <w:bCs/>
          <w:sz w:val="22"/>
          <w:szCs w:val="22"/>
          <w:lang w:val="en-GB"/>
        </w:rPr>
        <w:t>Accounts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created against the </w:t>
      </w:r>
      <w:r w:rsidR="00432C35" w:rsidRPr="002C7F4F">
        <w:rPr>
          <w:rFonts w:ascii="Calibri" w:hAnsi="Calibri" w:cs="Tahoma"/>
          <w:bCs/>
          <w:sz w:val="22"/>
          <w:szCs w:val="22"/>
          <w:lang w:val="en-GB"/>
        </w:rPr>
        <w:t>3,524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new </w:t>
      </w:r>
      <w:r w:rsidR="0087513B" w:rsidRPr="002C7F4F">
        <w:rPr>
          <w:rFonts w:ascii="Calibri" w:hAnsi="Calibri" w:cs="Tahoma"/>
          <w:bCs/>
          <w:sz w:val="22"/>
          <w:szCs w:val="22"/>
          <w:lang w:val="en-GB"/>
        </w:rPr>
        <w:t>Accounts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that had been created during </w:t>
      </w:r>
      <w:r w:rsidR="004414AD" w:rsidRPr="002C7F4F">
        <w:rPr>
          <w:rFonts w:ascii="Calibri" w:hAnsi="Calibri" w:cs="Tahoma"/>
          <w:bCs/>
          <w:sz w:val="22"/>
          <w:szCs w:val="22"/>
          <w:lang w:val="en-GB"/>
        </w:rPr>
        <w:t xml:space="preserve">the 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>previous month.</w:t>
      </w:r>
    </w:p>
    <w:p w:rsidR="00BE6750" w:rsidRPr="002C7F4F" w:rsidRDefault="00E20BEF" w:rsidP="00E20BEF">
      <w:pPr>
        <w:spacing w:before="120" w:after="120"/>
        <w:jc w:val="both"/>
        <w:rPr>
          <w:rFonts w:ascii="Calibri" w:hAnsi="Calibri" w:cs="Tahoma"/>
          <w:b/>
          <w:bCs/>
          <w:sz w:val="22"/>
          <w:szCs w:val="22"/>
          <w:lang w:val="en-GB"/>
        </w:rPr>
      </w:pP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>Market capitalization of the Athens Exchange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by the end of </w:t>
      </w:r>
      <w:r w:rsidR="00432C35" w:rsidRPr="002C7F4F">
        <w:rPr>
          <w:rFonts w:ascii="Calibri" w:hAnsi="Calibri" w:cs="Tahoma"/>
          <w:bCs/>
          <w:sz w:val="22"/>
          <w:szCs w:val="22"/>
          <w:lang w:val="en-GB"/>
        </w:rPr>
        <w:t>January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</w:t>
      </w:r>
      <w:r w:rsidR="0031209C" w:rsidRPr="002C7F4F">
        <w:rPr>
          <w:rFonts w:ascii="Calibri" w:hAnsi="Calibri" w:cs="Tahoma"/>
          <w:bCs/>
          <w:sz w:val="22"/>
          <w:szCs w:val="22"/>
          <w:lang w:val="en-GB"/>
        </w:rPr>
        <w:t>reached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>€</w:t>
      </w:r>
      <w:r w:rsidR="00356938" w:rsidRPr="002C7F4F">
        <w:rPr>
          <w:rFonts w:ascii="Calibri" w:hAnsi="Calibri" w:cs="Tahoma"/>
          <w:b/>
          <w:bCs/>
          <w:sz w:val="22"/>
          <w:szCs w:val="22"/>
          <w:lang w:val="en-GB"/>
        </w:rPr>
        <w:t>34.08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billion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(</w:t>
      </w:r>
      <w:r w:rsidRPr="002C7F4F">
        <w:rPr>
          <w:rFonts w:ascii="Calibri" w:hAnsi="Calibri" w:cs="Tahoma"/>
          <w:bCs/>
          <w:i/>
          <w:sz w:val="22"/>
          <w:szCs w:val="22"/>
          <w:lang w:val="en-GB"/>
        </w:rPr>
        <w:t>see Chart 2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). Compared </w:t>
      </w:r>
      <w:r w:rsidR="004414AD" w:rsidRPr="002C7F4F">
        <w:rPr>
          <w:rFonts w:ascii="Calibri" w:hAnsi="Calibri" w:cs="Tahoma"/>
          <w:bCs/>
          <w:sz w:val="22"/>
          <w:szCs w:val="22"/>
          <w:lang w:val="en-GB"/>
        </w:rPr>
        <w:t>to</w:t>
      </w:r>
      <w:r w:rsidR="007B10C4" w:rsidRPr="002C7F4F">
        <w:rPr>
          <w:rFonts w:ascii="Calibri" w:hAnsi="Calibri" w:cs="Tahoma"/>
          <w:bCs/>
          <w:sz w:val="22"/>
          <w:szCs w:val="22"/>
          <w:lang w:val="en-GB"/>
        </w:rPr>
        <w:t xml:space="preserve"> 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capitalization </w:t>
      </w:r>
      <w:r w:rsidR="009F29C0" w:rsidRPr="002C7F4F">
        <w:rPr>
          <w:rFonts w:ascii="Calibri" w:hAnsi="Calibri" w:cs="Tahoma"/>
          <w:bCs/>
          <w:sz w:val="22"/>
          <w:szCs w:val="22"/>
          <w:lang w:val="en-GB"/>
        </w:rPr>
        <w:t xml:space="preserve">at the </w:t>
      </w:r>
      <w:r w:rsidR="00874842" w:rsidRPr="002C7F4F">
        <w:rPr>
          <w:rFonts w:ascii="Calibri" w:hAnsi="Calibri" w:cs="Tahoma"/>
          <w:bCs/>
          <w:sz w:val="22"/>
          <w:szCs w:val="22"/>
          <w:lang w:val="en-GB"/>
        </w:rPr>
        <w:t xml:space="preserve">end 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of </w:t>
      </w:r>
      <w:r w:rsidR="0031209C" w:rsidRPr="002C7F4F">
        <w:rPr>
          <w:rFonts w:ascii="Calibri" w:hAnsi="Calibri" w:cs="Tahoma"/>
          <w:bCs/>
          <w:sz w:val="22"/>
          <w:szCs w:val="22"/>
          <w:lang w:val="en-GB"/>
        </w:rPr>
        <w:t>the previous month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>, which was €</w:t>
      </w:r>
      <w:r w:rsidR="00432C35" w:rsidRPr="002C7F4F">
        <w:rPr>
          <w:rFonts w:ascii="Calibri" w:hAnsi="Calibri" w:cs="Tahoma"/>
          <w:bCs/>
          <w:sz w:val="22"/>
          <w:szCs w:val="22"/>
          <w:lang w:val="en-GB"/>
        </w:rPr>
        <w:t>39.22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billion, the</w:t>
      </w:r>
      <w:r w:rsidR="00004A5A" w:rsidRPr="002C7F4F">
        <w:rPr>
          <w:rFonts w:ascii="Calibri" w:hAnsi="Calibri" w:cs="Tahoma"/>
          <w:bCs/>
          <w:sz w:val="22"/>
          <w:szCs w:val="22"/>
          <w:lang w:val="en-GB"/>
        </w:rPr>
        <w:t>re was a</w:t>
      </w:r>
      <w:r w:rsidR="00976115" w:rsidRPr="002C7F4F">
        <w:rPr>
          <w:rFonts w:ascii="Calibri" w:hAnsi="Calibri" w:cs="Tahoma"/>
          <w:bCs/>
          <w:sz w:val="22"/>
          <w:szCs w:val="22"/>
          <w:lang w:val="en-GB"/>
        </w:rPr>
        <w:t xml:space="preserve"> </w:t>
      </w:r>
      <w:r w:rsidR="00356938" w:rsidRPr="002C7F4F">
        <w:rPr>
          <w:rFonts w:ascii="Calibri" w:hAnsi="Calibri" w:cs="Tahoma"/>
          <w:bCs/>
          <w:sz w:val="22"/>
          <w:szCs w:val="22"/>
          <w:lang w:val="en-GB"/>
        </w:rPr>
        <w:t>decrease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of </w:t>
      </w:r>
      <w:r w:rsidR="00356938" w:rsidRPr="002C7F4F">
        <w:rPr>
          <w:rFonts w:ascii="Calibri" w:hAnsi="Calibri" w:cs="Tahoma"/>
          <w:bCs/>
          <w:sz w:val="22"/>
          <w:szCs w:val="22"/>
          <w:lang w:val="en-GB"/>
        </w:rPr>
        <w:t>13.1%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, </w:t>
      </w:r>
      <w:r w:rsidR="009F29C0" w:rsidRPr="002C7F4F">
        <w:rPr>
          <w:rFonts w:ascii="Calibri" w:hAnsi="Calibri" w:cs="Tahoma"/>
          <w:bCs/>
          <w:sz w:val="22"/>
          <w:szCs w:val="22"/>
          <w:lang w:val="en-GB"/>
        </w:rPr>
        <w:t>whilst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compared </w:t>
      </w:r>
      <w:r w:rsidR="004414AD" w:rsidRPr="002C7F4F">
        <w:rPr>
          <w:rFonts w:ascii="Calibri" w:hAnsi="Calibri" w:cs="Tahoma"/>
          <w:bCs/>
          <w:sz w:val="22"/>
          <w:szCs w:val="22"/>
          <w:lang w:val="en-GB"/>
        </w:rPr>
        <w:t>to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</w:t>
      </w:r>
      <w:r w:rsidR="009F29C0" w:rsidRPr="002C7F4F">
        <w:rPr>
          <w:rFonts w:ascii="Calibri" w:hAnsi="Calibri" w:cs="Tahoma"/>
          <w:bCs/>
          <w:sz w:val="22"/>
          <w:szCs w:val="22"/>
          <w:lang w:val="en-GB"/>
        </w:rPr>
        <w:t xml:space="preserve">market 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capitalization </w:t>
      </w:r>
      <w:r w:rsidR="007E4EF4" w:rsidRPr="002C7F4F">
        <w:rPr>
          <w:rFonts w:ascii="Calibri" w:hAnsi="Calibri" w:cs="Tahoma"/>
          <w:bCs/>
          <w:sz w:val="22"/>
          <w:szCs w:val="22"/>
          <w:lang w:val="en-GB"/>
        </w:rPr>
        <w:t xml:space="preserve">at the end 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of </w:t>
      </w:r>
      <w:r w:rsidR="00432C35" w:rsidRPr="002C7F4F">
        <w:rPr>
          <w:rFonts w:ascii="Calibri" w:hAnsi="Calibri" w:cs="Tahoma"/>
          <w:bCs/>
          <w:sz w:val="22"/>
          <w:szCs w:val="22"/>
          <w:lang w:val="en-GB"/>
        </w:rPr>
        <w:t>January 2015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which was €</w:t>
      </w:r>
      <w:r w:rsidR="00432C35" w:rsidRPr="002C7F4F">
        <w:rPr>
          <w:rFonts w:ascii="Calibri" w:hAnsi="Calibri" w:cs="Tahoma"/>
          <w:bCs/>
          <w:sz w:val="22"/>
          <w:szCs w:val="22"/>
          <w:lang w:val="en-GB"/>
        </w:rPr>
        <w:t>38.26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billion, </w:t>
      </w:r>
      <w:r w:rsidR="00356938" w:rsidRPr="002C7F4F">
        <w:rPr>
          <w:rFonts w:ascii="Calibri" w:hAnsi="Calibri" w:cs="Tahoma"/>
          <w:bCs/>
          <w:sz w:val="22"/>
          <w:szCs w:val="22"/>
          <w:lang w:val="en-GB"/>
        </w:rPr>
        <w:t>the decrease was 10.9%.</w:t>
      </w:r>
    </w:p>
    <w:p w:rsidR="00227A1A" w:rsidRPr="002C7F4F" w:rsidRDefault="00227A1A" w:rsidP="00E20BEF">
      <w:pPr>
        <w:spacing w:before="120" w:after="120"/>
        <w:jc w:val="both"/>
        <w:rPr>
          <w:rFonts w:ascii="Calibri" w:hAnsi="Calibri" w:cs="Tahoma"/>
          <w:b/>
          <w:bCs/>
          <w:sz w:val="22"/>
          <w:szCs w:val="22"/>
          <w:lang w:val="en-GB"/>
        </w:rPr>
      </w:pPr>
    </w:p>
    <w:p w:rsidR="00227A1A" w:rsidRPr="002C7F4F" w:rsidRDefault="009D57CD" w:rsidP="002E5590">
      <w:pPr>
        <w:spacing w:before="120" w:after="120"/>
        <w:jc w:val="center"/>
        <w:rPr>
          <w:lang w:val="en-GB"/>
        </w:rPr>
      </w:pPr>
      <w:r>
        <w:rPr>
          <w:noProof/>
        </w:rPr>
        <w:drawing>
          <wp:inline distT="0" distB="0" distL="0" distR="0">
            <wp:extent cx="6316980" cy="163830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A1A" w:rsidRPr="002C7F4F">
        <w:rPr>
          <w:rFonts w:ascii="Arial" w:hAnsi="Arial"/>
          <w:b/>
          <w:sz w:val="18"/>
          <w:szCs w:val="18"/>
          <w:lang w:val="en-GB" w:eastAsia="en-US"/>
        </w:rPr>
        <w:t xml:space="preserve">Chart </w:t>
      </w:r>
      <w:r w:rsidR="00227A1A" w:rsidRPr="002C7F4F">
        <w:rPr>
          <w:rFonts w:ascii="Arial" w:hAnsi="Arial"/>
          <w:b/>
          <w:sz w:val="18"/>
          <w:szCs w:val="18"/>
          <w:lang w:val="en-GB" w:eastAsia="en-US"/>
        </w:rPr>
        <w:fldChar w:fldCharType="begin"/>
      </w:r>
      <w:r w:rsidR="00227A1A" w:rsidRPr="002C7F4F">
        <w:rPr>
          <w:rFonts w:ascii="Arial" w:hAnsi="Arial"/>
          <w:b/>
          <w:sz w:val="18"/>
          <w:szCs w:val="18"/>
          <w:lang w:val="en-GB" w:eastAsia="en-US"/>
        </w:rPr>
        <w:instrText xml:space="preserve"> SEQ Chart \* ARABIC </w:instrText>
      </w:r>
      <w:r w:rsidR="00227A1A" w:rsidRPr="002C7F4F">
        <w:rPr>
          <w:rFonts w:ascii="Arial" w:hAnsi="Arial"/>
          <w:b/>
          <w:sz w:val="18"/>
          <w:szCs w:val="18"/>
          <w:lang w:val="en-GB" w:eastAsia="en-US"/>
        </w:rPr>
        <w:fldChar w:fldCharType="separate"/>
      </w:r>
      <w:r w:rsidR="008C706A">
        <w:rPr>
          <w:rFonts w:ascii="Arial" w:hAnsi="Arial"/>
          <w:b/>
          <w:noProof/>
          <w:sz w:val="18"/>
          <w:szCs w:val="18"/>
          <w:lang w:val="en-GB" w:eastAsia="en-US"/>
        </w:rPr>
        <w:t>2</w:t>
      </w:r>
      <w:r w:rsidR="00227A1A" w:rsidRPr="002C7F4F">
        <w:rPr>
          <w:rFonts w:ascii="Arial" w:hAnsi="Arial"/>
          <w:b/>
          <w:sz w:val="18"/>
          <w:szCs w:val="18"/>
          <w:lang w:val="en-GB" w:eastAsia="en-US"/>
        </w:rPr>
        <w:fldChar w:fldCharType="end"/>
      </w:r>
    </w:p>
    <w:p w:rsidR="00227A1A" w:rsidRPr="002C7F4F" w:rsidRDefault="00227A1A" w:rsidP="00E20BEF">
      <w:pPr>
        <w:spacing w:before="120" w:after="120"/>
        <w:jc w:val="both"/>
        <w:rPr>
          <w:rFonts w:ascii="Calibri" w:hAnsi="Calibri" w:cs="Tahoma"/>
          <w:bCs/>
          <w:sz w:val="22"/>
          <w:szCs w:val="22"/>
          <w:lang w:val="en-GB"/>
        </w:rPr>
      </w:pPr>
    </w:p>
    <w:p w:rsidR="00E20BEF" w:rsidRPr="002C7F4F" w:rsidRDefault="00E20BEF" w:rsidP="00E20BEF">
      <w:pPr>
        <w:spacing w:before="240" w:after="120"/>
        <w:jc w:val="both"/>
        <w:rPr>
          <w:rFonts w:ascii="Calibri" w:hAnsi="Calibri" w:cs="Tahoma"/>
          <w:b/>
          <w:bCs/>
          <w:color w:val="FF0000"/>
          <w:sz w:val="22"/>
          <w:szCs w:val="22"/>
          <w:lang w:val="en-GB"/>
        </w:rPr>
      </w:pP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Trade Analysis based on origin of investors </w:t>
      </w:r>
    </w:p>
    <w:p w:rsidR="00E20BEF" w:rsidRPr="002C7F4F" w:rsidRDefault="00E20BEF" w:rsidP="00A334DE">
      <w:pPr>
        <w:jc w:val="both"/>
        <w:rPr>
          <w:rFonts w:ascii="Calibri" w:hAnsi="Calibri" w:cs="Tahoma"/>
          <w:bCs/>
          <w:sz w:val="22"/>
          <w:szCs w:val="22"/>
          <w:lang w:val="en-GB"/>
        </w:rPr>
      </w:pP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In </w:t>
      </w:r>
      <w:r w:rsidR="00432C35" w:rsidRPr="002C7F4F">
        <w:rPr>
          <w:rFonts w:ascii="Calibri" w:hAnsi="Calibri" w:cs="Tahoma"/>
          <w:bCs/>
          <w:sz w:val="22"/>
          <w:szCs w:val="22"/>
          <w:lang w:val="en-GB"/>
        </w:rPr>
        <w:t>January 2016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, 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international investors as a whole </w:t>
      </w:r>
      <w:r w:rsidR="00C03451" w:rsidRPr="002C7F4F">
        <w:rPr>
          <w:rFonts w:ascii="Calibri" w:hAnsi="Calibri" w:cs="Tahoma"/>
          <w:b/>
          <w:bCs/>
          <w:sz w:val="22"/>
          <w:szCs w:val="22"/>
          <w:lang w:val="en-GB"/>
        </w:rPr>
        <w:t>accounted for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</w:t>
      </w:r>
      <w:r w:rsidR="00076191" w:rsidRPr="002C7F4F">
        <w:rPr>
          <w:rFonts w:ascii="Calibri" w:hAnsi="Calibri" w:cs="Tahoma"/>
          <w:b/>
          <w:bCs/>
          <w:sz w:val="22"/>
          <w:szCs w:val="22"/>
          <w:lang w:val="en-GB"/>
        </w:rPr>
        <w:t>inflows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which </w:t>
      </w:r>
      <w:r w:rsidR="00C03451" w:rsidRPr="002C7F4F">
        <w:rPr>
          <w:rFonts w:ascii="Calibri" w:hAnsi="Calibri" w:cs="Tahoma"/>
          <w:b/>
          <w:bCs/>
          <w:sz w:val="22"/>
          <w:szCs w:val="22"/>
          <w:lang w:val="en-GB"/>
        </w:rPr>
        <w:t>reached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€</w:t>
      </w:r>
      <w:r w:rsidR="00076191" w:rsidRPr="002C7F4F">
        <w:rPr>
          <w:rFonts w:ascii="Calibri" w:hAnsi="Calibri" w:cs="Tahoma"/>
          <w:b/>
          <w:bCs/>
          <w:sz w:val="22"/>
          <w:szCs w:val="22"/>
          <w:lang w:val="en-GB"/>
        </w:rPr>
        <w:t>25.96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mil.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The</w:t>
      </w:r>
      <w:r w:rsidRPr="002C7F4F">
        <w:rPr>
          <w:rFonts w:ascii="Calibri" w:hAnsi="Calibri" w:cs="Tahoma"/>
          <w:bCs/>
          <w:sz w:val="22"/>
          <w:szCs w:val="22"/>
          <w:highlight w:val="yellow"/>
          <w:lang w:val="en-GB"/>
        </w:rPr>
        <w:t xml:space="preserve"> </w:t>
      </w:r>
      <w:r w:rsidR="00076191"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largest </w:t>
      </w:r>
      <w:r w:rsidR="00A13B2B" w:rsidRPr="002C7F4F">
        <w:rPr>
          <w:rFonts w:ascii="Calibri" w:hAnsi="Calibri" w:cs="Tahoma"/>
          <w:b/>
          <w:bCs/>
          <w:sz w:val="22"/>
          <w:szCs w:val="22"/>
          <w:lang w:val="en-GB"/>
        </w:rPr>
        <w:t>inflows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derived from</w:t>
      </w:r>
      <w:r w:rsidR="00A85B30" w:rsidRPr="002C7F4F">
        <w:rPr>
          <w:rFonts w:ascii="Calibri" w:hAnsi="Calibri" w:cs="Tahoma"/>
          <w:bCs/>
          <w:sz w:val="22"/>
          <w:szCs w:val="22"/>
          <w:lang w:val="en-GB"/>
        </w:rPr>
        <w:t xml:space="preserve"> </w:t>
      </w:r>
      <w:r w:rsidR="00076191" w:rsidRPr="002C7F4F">
        <w:rPr>
          <w:rFonts w:ascii="Calibri" w:hAnsi="Calibri" w:cs="Tahoma"/>
          <w:bCs/>
          <w:sz w:val="22"/>
          <w:szCs w:val="22"/>
          <w:lang w:val="en-GB"/>
        </w:rPr>
        <w:t xml:space="preserve">Deposit-taking Corporations (€39.61 million), Other Financial Intermediaries except insurance corporations &amp; pension funds (€31.01 million), Non-Financial Corporations (€6.77 </w:t>
      </w:r>
      <w:r w:rsidR="00076191" w:rsidRPr="002C7F4F">
        <w:rPr>
          <w:rFonts w:ascii="Calibri" w:hAnsi="Calibri" w:cs="Tahoma"/>
          <w:bCs/>
          <w:sz w:val="22"/>
          <w:szCs w:val="22"/>
          <w:lang w:val="en-GB"/>
        </w:rPr>
        <w:lastRenderedPageBreak/>
        <w:t>million)</w:t>
      </w:r>
      <w:r w:rsidR="00521000" w:rsidRPr="002C7F4F">
        <w:rPr>
          <w:rFonts w:ascii="Calibri" w:hAnsi="Calibri" w:cs="Tahoma"/>
          <w:bCs/>
          <w:sz w:val="22"/>
          <w:szCs w:val="22"/>
          <w:lang w:val="en-GB"/>
        </w:rPr>
        <w:t xml:space="preserve"> &amp; </w:t>
      </w:r>
      <w:r w:rsidR="00076191" w:rsidRPr="002C7F4F">
        <w:rPr>
          <w:rFonts w:ascii="Calibri" w:hAnsi="Calibri" w:cs="Tahoma"/>
          <w:bCs/>
          <w:sz w:val="22"/>
          <w:szCs w:val="22"/>
          <w:lang w:val="en-GB"/>
        </w:rPr>
        <w:t>Pension Funds (€1.04 million)</w:t>
      </w:r>
      <w:r w:rsidR="008E0689" w:rsidRPr="002C7F4F">
        <w:rPr>
          <w:rFonts w:ascii="Calibri" w:hAnsi="Calibri" w:cs="Tahoma"/>
          <w:bCs/>
          <w:sz w:val="22"/>
          <w:szCs w:val="22"/>
          <w:lang w:val="en-GB"/>
        </w:rPr>
        <w:t xml:space="preserve">, </w:t>
      </w:r>
      <w:r w:rsidR="00254678" w:rsidRPr="002C7F4F">
        <w:rPr>
          <w:rFonts w:ascii="Calibri" w:hAnsi="Calibri" w:cs="Tahoma"/>
          <w:bCs/>
          <w:sz w:val="22"/>
          <w:szCs w:val="22"/>
          <w:lang w:val="en-GB"/>
        </w:rPr>
        <w:t>while</w:t>
      </w:r>
      <w:r w:rsidR="00A13B2B" w:rsidRPr="002C7F4F">
        <w:rPr>
          <w:rFonts w:ascii="Calibri" w:hAnsi="Calibri" w:cs="Tahoma"/>
          <w:bCs/>
          <w:sz w:val="22"/>
          <w:szCs w:val="22"/>
          <w:lang w:val="en-GB"/>
        </w:rPr>
        <w:t xml:space="preserve"> the </w:t>
      </w:r>
      <w:r w:rsidR="00521000"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largest </w:t>
      </w:r>
      <w:r w:rsidR="00A13B2B" w:rsidRPr="002C7F4F">
        <w:rPr>
          <w:rFonts w:ascii="Calibri" w:hAnsi="Calibri" w:cs="Tahoma"/>
          <w:b/>
          <w:bCs/>
          <w:sz w:val="22"/>
          <w:szCs w:val="22"/>
          <w:lang w:val="en-GB"/>
        </w:rPr>
        <w:t>outflows</w:t>
      </w:r>
      <w:r w:rsidR="00254678" w:rsidRPr="002C7F4F">
        <w:rPr>
          <w:rFonts w:ascii="Calibri" w:hAnsi="Calibri" w:cs="Tahoma"/>
          <w:bCs/>
          <w:sz w:val="22"/>
          <w:szCs w:val="22"/>
          <w:lang w:val="en-GB"/>
        </w:rPr>
        <w:t xml:space="preserve"> </w:t>
      </w:r>
      <w:r w:rsidR="008E0689" w:rsidRPr="002C7F4F">
        <w:rPr>
          <w:rFonts w:ascii="Calibri" w:hAnsi="Calibri" w:cs="Tahoma"/>
          <w:bCs/>
          <w:sz w:val="22"/>
          <w:szCs w:val="22"/>
          <w:lang w:val="en-GB"/>
        </w:rPr>
        <w:t xml:space="preserve">derived </w:t>
      </w:r>
      <w:r w:rsidR="00521000" w:rsidRPr="002C7F4F">
        <w:rPr>
          <w:rFonts w:ascii="Calibri" w:hAnsi="Calibri" w:cs="Tahoma"/>
          <w:bCs/>
          <w:sz w:val="22"/>
          <w:szCs w:val="22"/>
          <w:lang w:val="en-GB"/>
        </w:rPr>
        <w:t>from Non-Member Countries  &amp; International Organisations Non-Resident of EU (€39.06 millions), Non-MMF Investment Funds (€11.90 millions) &amp; Money Market Funds (MMFs) (€1.42 millions).</w:t>
      </w:r>
    </w:p>
    <w:p w:rsidR="00E20BEF" w:rsidRPr="002C7F4F" w:rsidRDefault="00E20BEF" w:rsidP="00066D3B">
      <w:pPr>
        <w:jc w:val="both"/>
        <w:rPr>
          <w:rFonts w:ascii="Calibri" w:hAnsi="Calibri" w:cs="Tahoma"/>
          <w:bCs/>
          <w:sz w:val="22"/>
          <w:szCs w:val="22"/>
          <w:lang w:val="en-GB"/>
        </w:rPr>
      </w:pP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Greek investors were net </w:t>
      </w:r>
      <w:r w:rsidR="00066D3B" w:rsidRPr="002C7F4F">
        <w:rPr>
          <w:rFonts w:ascii="Calibri" w:hAnsi="Calibri" w:cs="Tahoma"/>
          <w:b/>
          <w:bCs/>
          <w:sz w:val="22"/>
          <w:szCs w:val="22"/>
          <w:lang w:val="en-GB"/>
        </w:rPr>
        <w:t>sellers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by €</w:t>
      </w:r>
      <w:r w:rsidR="00066D3B" w:rsidRPr="002C7F4F">
        <w:rPr>
          <w:rFonts w:ascii="Calibri" w:hAnsi="Calibri" w:cs="Tahoma"/>
          <w:b/>
          <w:bCs/>
          <w:sz w:val="22"/>
          <w:szCs w:val="22"/>
          <w:lang w:val="en-GB"/>
        </w:rPr>
        <w:t>25.95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million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, </w:t>
      </w:r>
      <w:r w:rsidR="00E7205E" w:rsidRPr="002C7F4F">
        <w:rPr>
          <w:rFonts w:ascii="Calibri" w:hAnsi="Calibri" w:cs="Tahoma"/>
          <w:bCs/>
          <w:sz w:val="22"/>
          <w:szCs w:val="22"/>
          <w:lang w:val="en-GB"/>
        </w:rPr>
        <w:t xml:space="preserve">with </w:t>
      </w:r>
      <w:r w:rsidR="00066D3B" w:rsidRPr="002C7F4F">
        <w:rPr>
          <w:rFonts w:ascii="Calibri" w:hAnsi="Calibri" w:cs="Tahoma"/>
          <w:b/>
          <w:bCs/>
          <w:sz w:val="22"/>
          <w:szCs w:val="22"/>
          <w:lang w:val="en-GB"/>
        </w:rPr>
        <w:t>largest out</w:t>
      </w:r>
      <w:r w:rsidR="00A13B2B" w:rsidRPr="002C7F4F">
        <w:rPr>
          <w:rFonts w:ascii="Calibri" w:hAnsi="Calibri" w:cs="Tahoma"/>
          <w:b/>
          <w:bCs/>
          <w:sz w:val="22"/>
          <w:szCs w:val="22"/>
          <w:lang w:val="en-GB"/>
        </w:rPr>
        <w:t>flows</w:t>
      </w:r>
      <w:r w:rsidR="00E7205E" w:rsidRPr="002C7F4F">
        <w:rPr>
          <w:rFonts w:ascii="Calibri" w:hAnsi="Calibri" w:cs="Tahoma"/>
          <w:bCs/>
          <w:sz w:val="22"/>
          <w:szCs w:val="22"/>
          <w:lang w:val="en-GB"/>
        </w:rPr>
        <w:t xml:space="preserve"> which </w:t>
      </w:r>
      <w:r w:rsidR="00C72E17" w:rsidRPr="002C7F4F">
        <w:rPr>
          <w:rFonts w:ascii="Calibri" w:hAnsi="Calibri" w:cs="Tahoma"/>
          <w:bCs/>
          <w:sz w:val="22"/>
          <w:szCs w:val="22"/>
          <w:lang w:val="en-GB"/>
        </w:rPr>
        <w:t>related to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</w:t>
      </w:r>
      <w:r w:rsidR="00066D3B" w:rsidRPr="002C7F4F">
        <w:rPr>
          <w:rFonts w:ascii="Calibri" w:hAnsi="Calibri" w:cs="Tahoma"/>
          <w:bCs/>
          <w:sz w:val="22"/>
          <w:szCs w:val="22"/>
          <w:lang w:val="en-GB"/>
        </w:rPr>
        <w:t>Insurance Corporations (€32.15 millions), Deposit-taking Corporations (€7.31 million), Money Market Funds (MMFs) (€6.46 million), Non-MMF Investment Funds (€</w:t>
      </w:r>
      <w:r w:rsidR="00E92359" w:rsidRPr="002C7F4F">
        <w:rPr>
          <w:rFonts w:ascii="Calibri" w:hAnsi="Calibri" w:cs="Tahoma"/>
          <w:bCs/>
          <w:sz w:val="22"/>
          <w:szCs w:val="22"/>
          <w:lang w:val="en-GB"/>
        </w:rPr>
        <w:t>4</w:t>
      </w:r>
      <w:r w:rsidR="00066D3B" w:rsidRPr="002C7F4F">
        <w:rPr>
          <w:rFonts w:ascii="Calibri" w:hAnsi="Calibri" w:cs="Tahoma"/>
          <w:bCs/>
          <w:sz w:val="22"/>
          <w:szCs w:val="22"/>
          <w:lang w:val="en-GB"/>
        </w:rPr>
        <w:t>.</w:t>
      </w:r>
      <w:r w:rsidR="00E92359" w:rsidRPr="002C7F4F">
        <w:rPr>
          <w:rFonts w:ascii="Calibri" w:hAnsi="Calibri" w:cs="Tahoma"/>
          <w:bCs/>
          <w:sz w:val="22"/>
          <w:szCs w:val="22"/>
          <w:lang w:val="en-GB"/>
        </w:rPr>
        <w:t>96</w:t>
      </w:r>
      <w:r w:rsidR="00066D3B" w:rsidRPr="002C7F4F">
        <w:rPr>
          <w:rFonts w:ascii="Calibri" w:hAnsi="Calibri" w:cs="Tahoma"/>
          <w:bCs/>
          <w:sz w:val="22"/>
          <w:szCs w:val="22"/>
          <w:lang w:val="en-GB"/>
        </w:rPr>
        <w:t xml:space="preserve"> million), </w:t>
      </w:r>
      <w:r w:rsidR="00D84542" w:rsidRPr="002C7F4F">
        <w:rPr>
          <w:rFonts w:ascii="Calibri" w:hAnsi="Calibri" w:cs="Tahoma"/>
          <w:bCs/>
          <w:sz w:val="22"/>
          <w:szCs w:val="22"/>
          <w:lang w:val="en-GB"/>
        </w:rPr>
        <w:t xml:space="preserve">and </w:t>
      </w:r>
      <w:r w:rsidR="00066D3B" w:rsidRPr="002C7F4F">
        <w:rPr>
          <w:rFonts w:ascii="Calibri" w:hAnsi="Calibri" w:cs="Tahoma"/>
          <w:b/>
          <w:bCs/>
          <w:sz w:val="22"/>
          <w:szCs w:val="22"/>
          <w:lang w:val="en-GB"/>
        </w:rPr>
        <w:t>largest in</w:t>
      </w:r>
      <w:r w:rsidR="00D84542"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flows </w:t>
      </w:r>
      <w:r w:rsidR="00D84542" w:rsidRPr="002C7F4F">
        <w:rPr>
          <w:rFonts w:ascii="Calibri" w:hAnsi="Calibri" w:cs="Tahoma"/>
          <w:bCs/>
          <w:sz w:val="22"/>
          <w:szCs w:val="22"/>
          <w:lang w:val="en-GB"/>
        </w:rPr>
        <w:t xml:space="preserve">which related to </w:t>
      </w:r>
      <w:r w:rsidR="00066D3B" w:rsidRPr="002C7F4F">
        <w:rPr>
          <w:rFonts w:ascii="Calibri" w:hAnsi="Calibri" w:cs="Tahoma"/>
          <w:bCs/>
          <w:sz w:val="22"/>
          <w:szCs w:val="22"/>
          <w:lang w:val="en-GB"/>
        </w:rPr>
        <w:t>Households (€21.88 million) &amp; Other Financial Intermediaries except insurance corporations &amp; pension funds (€3.78 million).</w:t>
      </w:r>
    </w:p>
    <w:p w:rsidR="00976115" w:rsidRPr="002C7F4F" w:rsidRDefault="00E20BEF" w:rsidP="00E20BEF">
      <w:pPr>
        <w:spacing w:before="120"/>
        <w:jc w:val="both"/>
        <w:rPr>
          <w:rFonts w:ascii="Calibri" w:hAnsi="Calibri" w:cs="Tahoma"/>
          <w:bCs/>
          <w:sz w:val="22"/>
          <w:szCs w:val="22"/>
          <w:lang w:val="en-GB"/>
        </w:rPr>
      </w:pP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International investors in </w:t>
      </w:r>
      <w:r w:rsidR="00432C35" w:rsidRPr="002C7F4F">
        <w:rPr>
          <w:rFonts w:ascii="Calibri" w:hAnsi="Calibri" w:cs="Tahoma"/>
          <w:b/>
          <w:bCs/>
          <w:sz w:val="22"/>
          <w:szCs w:val="22"/>
          <w:lang w:val="en-GB"/>
        </w:rPr>
        <w:t>January 2016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</w:t>
      </w:r>
      <w:r w:rsidR="00C02EAD" w:rsidRPr="002C7F4F">
        <w:rPr>
          <w:rFonts w:ascii="Calibri" w:hAnsi="Calibri" w:cs="Tahoma"/>
          <w:b/>
          <w:bCs/>
          <w:sz w:val="22"/>
          <w:szCs w:val="22"/>
          <w:lang w:val="en-GB"/>
        </w:rPr>
        <w:t>accounted for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</w:t>
      </w:r>
      <w:r w:rsidR="000B68F2" w:rsidRPr="002C7F4F">
        <w:rPr>
          <w:rFonts w:ascii="Calibri" w:hAnsi="Calibri" w:cs="Tahoma"/>
          <w:b/>
          <w:bCs/>
          <w:sz w:val="22"/>
          <w:szCs w:val="22"/>
          <w:lang w:val="en-GB"/>
        </w:rPr>
        <w:t>61.9%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of the transactions’ value (in </w:t>
      </w:r>
      <w:r w:rsidR="00B40251" w:rsidRPr="002C7F4F">
        <w:rPr>
          <w:rFonts w:ascii="Calibri" w:hAnsi="Calibri" w:cs="Tahoma"/>
          <w:bCs/>
          <w:sz w:val="22"/>
          <w:szCs w:val="22"/>
          <w:lang w:val="en-GB"/>
        </w:rPr>
        <w:t>the previous month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</w:t>
      </w:r>
      <w:r w:rsidR="00F17283" w:rsidRPr="002C7F4F">
        <w:rPr>
          <w:rFonts w:ascii="Calibri" w:hAnsi="Calibri" w:cs="Tahoma"/>
          <w:bCs/>
          <w:sz w:val="22"/>
          <w:szCs w:val="22"/>
          <w:lang w:val="en-GB"/>
        </w:rPr>
        <w:t>they realized</w:t>
      </w:r>
      <w:r w:rsidR="00F36D2B" w:rsidRPr="002C7F4F">
        <w:rPr>
          <w:rFonts w:ascii="Calibri" w:hAnsi="Calibri" w:cs="Tahoma"/>
          <w:bCs/>
          <w:sz w:val="22"/>
          <w:szCs w:val="22"/>
          <w:lang w:val="en-GB"/>
        </w:rPr>
        <w:t xml:space="preserve"> </w:t>
      </w:r>
      <w:r w:rsidR="00432C35" w:rsidRPr="002C7F4F">
        <w:rPr>
          <w:rFonts w:ascii="Calibri" w:hAnsi="Calibri" w:cs="Tahoma"/>
          <w:bCs/>
          <w:sz w:val="22"/>
          <w:szCs w:val="22"/>
          <w:lang w:val="en-GB"/>
        </w:rPr>
        <w:t>65.1%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, while in </w:t>
      </w:r>
      <w:r w:rsidR="00432C35" w:rsidRPr="002C7F4F">
        <w:rPr>
          <w:rFonts w:ascii="Calibri" w:hAnsi="Calibri" w:cs="Tahoma"/>
          <w:bCs/>
          <w:sz w:val="22"/>
          <w:szCs w:val="22"/>
          <w:lang w:val="en-GB"/>
        </w:rPr>
        <w:t>January 2015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they had </w:t>
      </w:r>
      <w:r w:rsidR="00C02EAD" w:rsidRPr="002C7F4F">
        <w:rPr>
          <w:rFonts w:ascii="Calibri" w:hAnsi="Calibri" w:cs="Tahoma"/>
          <w:bCs/>
          <w:sz w:val="22"/>
          <w:szCs w:val="22"/>
          <w:lang w:val="en-GB"/>
        </w:rPr>
        <w:t>accounted for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</w:t>
      </w:r>
      <w:r w:rsidR="00432C35" w:rsidRPr="002C7F4F">
        <w:rPr>
          <w:rFonts w:ascii="Calibri" w:hAnsi="Calibri" w:cs="Tahoma"/>
          <w:bCs/>
          <w:sz w:val="22"/>
          <w:szCs w:val="22"/>
          <w:lang w:val="en-GB"/>
        </w:rPr>
        <w:t>71.1%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of the transactions’ value). </w:t>
      </w:r>
    </w:p>
    <w:p w:rsidR="000B68F2" w:rsidRPr="002C7F4F" w:rsidRDefault="00E20BEF" w:rsidP="000B68F2">
      <w:pPr>
        <w:spacing w:before="120"/>
        <w:jc w:val="both"/>
        <w:rPr>
          <w:rFonts w:ascii="Calibri" w:hAnsi="Calibri" w:cs="Tahoma"/>
          <w:bCs/>
          <w:sz w:val="22"/>
          <w:szCs w:val="22"/>
          <w:lang w:val="en-GB"/>
        </w:rPr>
      </w:pP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Greek </w:t>
      </w:r>
      <w:r w:rsidR="000B68F2" w:rsidRPr="002C7F4F">
        <w:rPr>
          <w:rFonts w:ascii="Calibri" w:hAnsi="Calibri" w:cs="Tahoma"/>
          <w:b/>
          <w:bCs/>
          <w:sz w:val="22"/>
          <w:szCs w:val="22"/>
          <w:lang w:val="en-GB"/>
        </w:rPr>
        <w:t>R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>etail investors</w:t>
      </w:r>
      <w:r w:rsidR="000B68F2"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(households)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in </w:t>
      </w:r>
      <w:r w:rsidR="00432C35" w:rsidRPr="002C7F4F">
        <w:rPr>
          <w:rFonts w:ascii="Calibri" w:hAnsi="Calibri" w:cs="Tahoma"/>
          <w:b/>
          <w:bCs/>
          <w:sz w:val="22"/>
          <w:szCs w:val="22"/>
          <w:lang w:val="en-GB"/>
        </w:rPr>
        <w:t>January 2016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</w:t>
      </w:r>
      <w:r w:rsidR="00C02EAD" w:rsidRPr="002C7F4F">
        <w:rPr>
          <w:rFonts w:ascii="Calibri" w:hAnsi="Calibri" w:cs="Tahoma"/>
          <w:b/>
          <w:bCs/>
          <w:sz w:val="22"/>
          <w:szCs w:val="22"/>
          <w:lang w:val="en-GB"/>
        </w:rPr>
        <w:t>accounted for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</w:t>
      </w:r>
      <w:r w:rsidR="000B68F2" w:rsidRPr="002C7F4F">
        <w:rPr>
          <w:rFonts w:ascii="Calibri" w:hAnsi="Calibri" w:cs="Tahoma"/>
          <w:b/>
          <w:bCs/>
          <w:sz w:val="22"/>
          <w:szCs w:val="22"/>
          <w:lang w:val="en-GB"/>
        </w:rPr>
        <w:t>14.4%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of the transactions’ value (in </w:t>
      </w:r>
      <w:r w:rsidR="005E1A64" w:rsidRPr="002C7F4F">
        <w:rPr>
          <w:rFonts w:ascii="Calibri" w:hAnsi="Calibri" w:cs="Tahoma"/>
          <w:bCs/>
          <w:sz w:val="22"/>
          <w:szCs w:val="22"/>
          <w:lang w:val="en-GB"/>
        </w:rPr>
        <w:t>the previous month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they </w:t>
      </w:r>
      <w:r w:rsidR="00F17283" w:rsidRPr="002C7F4F">
        <w:rPr>
          <w:rFonts w:ascii="Calibri" w:hAnsi="Calibri" w:cs="Tahoma"/>
          <w:bCs/>
          <w:sz w:val="22"/>
          <w:szCs w:val="22"/>
          <w:lang w:val="en-GB"/>
        </w:rPr>
        <w:t>realized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</w:t>
      </w:r>
      <w:r w:rsidR="00432C35" w:rsidRPr="002C7F4F">
        <w:rPr>
          <w:rFonts w:ascii="Calibri" w:hAnsi="Calibri" w:cs="Tahoma"/>
          <w:bCs/>
          <w:sz w:val="22"/>
          <w:szCs w:val="22"/>
          <w:lang w:val="en-GB"/>
        </w:rPr>
        <w:t>8.9%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of the transactions’ value, while in </w:t>
      </w:r>
      <w:r w:rsidR="00432C35" w:rsidRPr="002C7F4F">
        <w:rPr>
          <w:rFonts w:ascii="Calibri" w:hAnsi="Calibri" w:cs="Tahoma"/>
          <w:bCs/>
          <w:sz w:val="22"/>
          <w:szCs w:val="22"/>
          <w:lang w:val="en-GB"/>
        </w:rPr>
        <w:t>January 2015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they had </w:t>
      </w:r>
      <w:r w:rsidR="00024B94" w:rsidRPr="002C7F4F">
        <w:rPr>
          <w:rFonts w:ascii="Calibri" w:hAnsi="Calibri" w:cs="Tahoma"/>
          <w:bCs/>
          <w:sz w:val="22"/>
          <w:szCs w:val="22"/>
          <w:lang w:val="en-GB"/>
        </w:rPr>
        <w:t>accounted for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</w:t>
      </w:r>
      <w:r w:rsidR="00432C35" w:rsidRPr="002C7F4F">
        <w:rPr>
          <w:rFonts w:ascii="Calibri" w:hAnsi="Calibri" w:cs="Tahoma"/>
          <w:bCs/>
          <w:sz w:val="22"/>
          <w:szCs w:val="22"/>
          <w:lang w:val="en-GB"/>
        </w:rPr>
        <w:t>15.4%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of the transactions’ value).</w:t>
      </w:r>
      <w:r w:rsidR="000B68F2" w:rsidRPr="002C7F4F">
        <w:rPr>
          <w:rFonts w:ascii="Calibri" w:hAnsi="Calibri" w:cs="Tahoma"/>
          <w:bCs/>
          <w:sz w:val="22"/>
          <w:szCs w:val="22"/>
          <w:lang w:val="en-GB"/>
        </w:rPr>
        <w:t xml:space="preserve"> (see Chart 3)</w:t>
      </w:r>
    </w:p>
    <w:p w:rsidR="00227A1A" w:rsidRPr="002C7F4F" w:rsidRDefault="009D57CD" w:rsidP="002E5590">
      <w:pPr>
        <w:spacing w:before="120"/>
        <w:jc w:val="center"/>
        <w:rPr>
          <w:lang w:val="en-GB"/>
        </w:rPr>
      </w:pPr>
      <w:r>
        <w:rPr>
          <w:noProof/>
        </w:rPr>
        <w:drawing>
          <wp:inline distT="0" distB="0" distL="0" distR="0">
            <wp:extent cx="6416040" cy="1630680"/>
            <wp:effectExtent l="0" t="0" r="381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A1A" w:rsidRPr="002C7F4F">
        <w:rPr>
          <w:rFonts w:ascii="Arial" w:hAnsi="Arial"/>
          <w:b/>
          <w:sz w:val="18"/>
          <w:szCs w:val="18"/>
          <w:lang w:val="en-GB" w:eastAsia="en-US"/>
        </w:rPr>
        <w:t xml:space="preserve">Chart </w:t>
      </w:r>
      <w:r w:rsidR="00227A1A" w:rsidRPr="002C7F4F">
        <w:rPr>
          <w:rFonts w:ascii="Arial" w:hAnsi="Arial"/>
          <w:b/>
          <w:sz w:val="18"/>
          <w:szCs w:val="18"/>
          <w:lang w:val="en-GB" w:eastAsia="en-US"/>
        </w:rPr>
        <w:fldChar w:fldCharType="begin"/>
      </w:r>
      <w:r w:rsidR="00227A1A" w:rsidRPr="002C7F4F">
        <w:rPr>
          <w:rFonts w:ascii="Arial" w:hAnsi="Arial"/>
          <w:b/>
          <w:sz w:val="18"/>
          <w:szCs w:val="18"/>
          <w:lang w:val="en-GB" w:eastAsia="en-US"/>
        </w:rPr>
        <w:instrText xml:space="preserve"> SEQ Chart \* ARABIC </w:instrText>
      </w:r>
      <w:r w:rsidR="00227A1A" w:rsidRPr="002C7F4F">
        <w:rPr>
          <w:rFonts w:ascii="Arial" w:hAnsi="Arial"/>
          <w:b/>
          <w:sz w:val="18"/>
          <w:szCs w:val="18"/>
          <w:lang w:val="en-GB" w:eastAsia="en-US"/>
        </w:rPr>
        <w:fldChar w:fldCharType="separate"/>
      </w:r>
      <w:r w:rsidR="008C706A">
        <w:rPr>
          <w:rFonts w:ascii="Arial" w:hAnsi="Arial"/>
          <w:b/>
          <w:noProof/>
          <w:sz w:val="18"/>
          <w:szCs w:val="18"/>
          <w:lang w:val="en-GB" w:eastAsia="en-US"/>
        </w:rPr>
        <w:t>3</w:t>
      </w:r>
      <w:r w:rsidR="00227A1A" w:rsidRPr="002C7F4F">
        <w:rPr>
          <w:rFonts w:ascii="Arial" w:hAnsi="Arial"/>
          <w:b/>
          <w:sz w:val="18"/>
          <w:szCs w:val="18"/>
          <w:lang w:val="en-GB" w:eastAsia="en-US"/>
        </w:rPr>
        <w:fldChar w:fldCharType="end"/>
      </w:r>
    </w:p>
    <w:p w:rsidR="00E20BEF" w:rsidRPr="002C7F4F" w:rsidRDefault="00E20BEF" w:rsidP="00E20BEF">
      <w:pPr>
        <w:spacing w:before="360" w:after="120"/>
        <w:jc w:val="both"/>
        <w:rPr>
          <w:rFonts w:ascii="Calibri" w:hAnsi="Calibri" w:cs="Tahoma"/>
          <w:b/>
          <w:bCs/>
          <w:sz w:val="22"/>
          <w:szCs w:val="22"/>
          <w:lang w:val="en-GB"/>
        </w:rPr>
      </w:pP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>Investors’ Participation in the Athens Stock Exchange</w:t>
      </w:r>
    </w:p>
    <w:p w:rsidR="00FB1318" w:rsidRPr="002C7F4F" w:rsidRDefault="00FB1318" w:rsidP="00FB1318">
      <w:pPr>
        <w:spacing w:before="120"/>
        <w:jc w:val="both"/>
        <w:rPr>
          <w:rFonts w:ascii="Calibri" w:hAnsi="Calibri" w:cs="Tahoma"/>
          <w:bCs/>
          <w:sz w:val="22"/>
          <w:szCs w:val="22"/>
          <w:lang w:val="en-GB"/>
        </w:rPr>
      </w:pP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>The participation of international investors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in the capitalization of the Greek Exchange at the end of the month -if HFSF participation was included – would account to 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58.7%, 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>decreased compared to the percentage that was at the end of December 2015.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If HFSF participation was not included the percentage would account to 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61.8% from 64.2% 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>that was at the end of December 2015.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 xml:space="preserve"> 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At the end of January 2015, foreign investors’ participation was 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>49.5%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(with the HFSF participation) and 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>61.1%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(without the HFSF participation). (see chart 4). </w:t>
      </w:r>
    </w:p>
    <w:p w:rsidR="00C5173E" w:rsidRPr="002C7F4F" w:rsidRDefault="00E20BEF" w:rsidP="00E20BEF">
      <w:pPr>
        <w:spacing w:before="120"/>
        <w:jc w:val="both"/>
        <w:rPr>
          <w:rFonts w:ascii="Calibri" w:hAnsi="Calibri" w:cs="Tahoma"/>
          <w:bCs/>
          <w:sz w:val="22"/>
          <w:szCs w:val="22"/>
          <w:lang w:val="en-GB"/>
        </w:rPr>
      </w:pP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The </w:t>
      </w:r>
      <w:r w:rsidRPr="002C7F4F">
        <w:rPr>
          <w:rFonts w:ascii="Calibri" w:hAnsi="Calibri" w:cs="Tahoma"/>
          <w:b/>
          <w:bCs/>
          <w:sz w:val="22"/>
          <w:szCs w:val="22"/>
          <w:lang w:val="en-GB"/>
        </w:rPr>
        <w:t>Greek investors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</w:t>
      </w:r>
      <w:r w:rsidR="00DB3EA7" w:rsidRPr="002C7F4F">
        <w:rPr>
          <w:rFonts w:ascii="Calibri" w:hAnsi="Calibri" w:cs="Tahoma"/>
          <w:bCs/>
          <w:sz w:val="22"/>
          <w:szCs w:val="22"/>
          <w:lang w:val="en-GB"/>
        </w:rPr>
        <w:t>at the end of the month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held </w:t>
      </w:r>
      <w:r w:rsidR="00FB1318" w:rsidRPr="002C7F4F">
        <w:rPr>
          <w:rFonts w:ascii="Calibri" w:hAnsi="Calibri" w:cs="Tahoma"/>
          <w:b/>
          <w:bCs/>
          <w:sz w:val="22"/>
          <w:szCs w:val="22"/>
          <w:lang w:val="en-GB"/>
        </w:rPr>
        <w:t>39.9%</w:t>
      </w:r>
      <w:r w:rsidRPr="002C7F4F">
        <w:rPr>
          <w:rFonts w:ascii="Calibri" w:hAnsi="Calibri" w:cs="Tahoma"/>
          <w:bCs/>
          <w:sz w:val="22"/>
          <w:szCs w:val="22"/>
          <w:lang w:val="en-GB"/>
        </w:rPr>
        <w:t xml:space="preserve"> of the total capitalization of the ATHEX listed stocks.</w:t>
      </w:r>
    </w:p>
    <w:p w:rsidR="002E5590" w:rsidRPr="002C7F4F" w:rsidRDefault="002E5590" w:rsidP="00E20BEF">
      <w:pPr>
        <w:spacing w:before="120"/>
        <w:jc w:val="both"/>
        <w:rPr>
          <w:rFonts w:ascii="Calibri" w:hAnsi="Calibri" w:cs="Tahoma"/>
          <w:bCs/>
          <w:sz w:val="22"/>
          <w:szCs w:val="22"/>
          <w:lang w:val="en-GB"/>
        </w:rPr>
      </w:pPr>
    </w:p>
    <w:p w:rsidR="00C0145E" w:rsidRPr="002C7F4F" w:rsidRDefault="009D57CD" w:rsidP="002E5590">
      <w:pPr>
        <w:spacing w:before="120"/>
        <w:jc w:val="center"/>
        <w:rPr>
          <w:noProof/>
          <w:lang w:val="en-GB"/>
        </w:rPr>
      </w:pPr>
      <w:r>
        <w:rPr>
          <w:noProof/>
        </w:rPr>
        <w:lastRenderedPageBreak/>
        <w:drawing>
          <wp:inline distT="0" distB="0" distL="0" distR="0">
            <wp:extent cx="6576060" cy="23698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A1A" w:rsidRPr="002C7F4F" w:rsidRDefault="00227A1A" w:rsidP="002E5590">
      <w:pPr>
        <w:spacing w:before="120"/>
        <w:jc w:val="center"/>
        <w:rPr>
          <w:lang w:val="en-GB"/>
        </w:rPr>
      </w:pPr>
      <w:r w:rsidRPr="002C7F4F">
        <w:rPr>
          <w:rFonts w:ascii="Arial" w:hAnsi="Arial"/>
          <w:b/>
          <w:sz w:val="18"/>
          <w:szCs w:val="18"/>
          <w:lang w:val="en-GB" w:eastAsia="en-US"/>
        </w:rPr>
        <w:t xml:space="preserve">Chart </w:t>
      </w:r>
      <w:r w:rsidRPr="002C7F4F">
        <w:rPr>
          <w:rFonts w:ascii="Arial" w:hAnsi="Arial"/>
          <w:b/>
          <w:sz w:val="18"/>
          <w:szCs w:val="18"/>
          <w:lang w:val="en-GB" w:eastAsia="en-US"/>
        </w:rPr>
        <w:fldChar w:fldCharType="begin"/>
      </w:r>
      <w:r w:rsidRPr="002C7F4F">
        <w:rPr>
          <w:rFonts w:ascii="Arial" w:hAnsi="Arial"/>
          <w:b/>
          <w:sz w:val="18"/>
          <w:szCs w:val="18"/>
          <w:lang w:val="en-GB" w:eastAsia="en-US"/>
        </w:rPr>
        <w:instrText xml:space="preserve"> SEQ Chart \* ARABIC </w:instrText>
      </w:r>
      <w:r w:rsidRPr="002C7F4F">
        <w:rPr>
          <w:rFonts w:ascii="Arial" w:hAnsi="Arial"/>
          <w:b/>
          <w:sz w:val="18"/>
          <w:szCs w:val="18"/>
          <w:lang w:val="en-GB" w:eastAsia="en-US"/>
        </w:rPr>
        <w:fldChar w:fldCharType="separate"/>
      </w:r>
      <w:r w:rsidR="008C706A">
        <w:rPr>
          <w:rFonts w:ascii="Arial" w:hAnsi="Arial"/>
          <w:b/>
          <w:noProof/>
          <w:sz w:val="18"/>
          <w:szCs w:val="18"/>
          <w:lang w:val="en-GB" w:eastAsia="en-US"/>
        </w:rPr>
        <w:t>4</w:t>
      </w:r>
      <w:r w:rsidRPr="002C7F4F">
        <w:rPr>
          <w:rFonts w:ascii="Arial" w:hAnsi="Arial"/>
          <w:b/>
          <w:sz w:val="18"/>
          <w:szCs w:val="18"/>
          <w:lang w:val="en-GB" w:eastAsia="en-US"/>
        </w:rPr>
        <w:fldChar w:fldCharType="end"/>
      </w:r>
    </w:p>
    <w:p w:rsidR="00227A1A" w:rsidRPr="002C7F4F" w:rsidRDefault="00227A1A" w:rsidP="00E20BEF">
      <w:pPr>
        <w:spacing w:before="120"/>
        <w:jc w:val="both"/>
        <w:rPr>
          <w:rFonts w:ascii="Calibri" w:hAnsi="Calibri" w:cs="Tahoma"/>
          <w:bCs/>
          <w:sz w:val="16"/>
          <w:szCs w:val="16"/>
          <w:lang w:val="en-GB"/>
        </w:rPr>
      </w:pPr>
      <w:r w:rsidRPr="002C7F4F">
        <w:rPr>
          <w:rFonts w:ascii="Calibri" w:hAnsi="Calibri" w:cs="Tahoma"/>
          <w:b/>
          <w:bCs/>
          <w:sz w:val="16"/>
          <w:szCs w:val="16"/>
          <w:u w:val="single"/>
          <w:lang w:val="en-GB"/>
        </w:rPr>
        <w:t>Important Note:</w:t>
      </w:r>
      <w:r w:rsidRPr="002C7F4F">
        <w:rPr>
          <w:rFonts w:ascii="Calibri" w:hAnsi="Calibri" w:cs="Tahoma"/>
          <w:bCs/>
          <w:sz w:val="16"/>
          <w:szCs w:val="16"/>
          <w:lang w:val="en-GB"/>
        </w:rPr>
        <w:t xml:space="preserve"> In the chart above the percentage that remains refers to Other Not </w:t>
      </w:r>
      <w:r w:rsidR="002C7F4F" w:rsidRPr="002C7F4F">
        <w:rPr>
          <w:rFonts w:ascii="Calibri" w:hAnsi="Calibri" w:cs="Tahoma"/>
          <w:bCs/>
          <w:sz w:val="16"/>
          <w:szCs w:val="16"/>
          <w:lang w:val="en-GB"/>
        </w:rPr>
        <w:t>Identified</w:t>
      </w:r>
      <w:r w:rsidRPr="002C7F4F">
        <w:rPr>
          <w:rFonts w:ascii="Calibri" w:hAnsi="Calibri" w:cs="Tahoma"/>
          <w:bCs/>
          <w:sz w:val="16"/>
          <w:szCs w:val="16"/>
          <w:lang w:val="en-GB"/>
        </w:rPr>
        <w:t xml:space="preserve"> Investors and it is below 2%.</w:t>
      </w:r>
    </w:p>
    <w:p w:rsidR="005D6754" w:rsidRPr="002C7F4F" w:rsidRDefault="005D6754" w:rsidP="00E20BEF">
      <w:pPr>
        <w:spacing w:before="120"/>
        <w:jc w:val="both"/>
        <w:rPr>
          <w:rFonts w:ascii="Calibri" w:hAnsi="Calibri" w:cs="Tahoma"/>
          <w:bCs/>
          <w:sz w:val="16"/>
          <w:szCs w:val="16"/>
          <w:lang w:val="en-GB"/>
        </w:rPr>
      </w:pPr>
    </w:p>
    <w:p w:rsidR="005D6754" w:rsidRPr="002C7F4F" w:rsidRDefault="005D6754" w:rsidP="00E20BEF">
      <w:pPr>
        <w:spacing w:before="120"/>
        <w:jc w:val="both"/>
        <w:rPr>
          <w:rFonts w:ascii="Calibri" w:hAnsi="Calibri" w:cs="Tahoma"/>
          <w:bCs/>
          <w:sz w:val="16"/>
          <w:szCs w:val="16"/>
          <w:lang w:val="en-GB"/>
        </w:rPr>
      </w:pPr>
    </w:p>
    <w:p w:rsidR="005D6754" w:rsidRPr="002C7F4F" w:rsidRDefault="005D6754" w:rsidP="00E20BEF">
      <w:pPr>
        <w:spacing w:before="120"/>
        <w:jc w:val="both"/>
        <w:rPr>
          <w:rFonts w:ascii="Calibri" w:hAnsi="Calibri" w:cs="Tahoma"/>
          <w:bCs/>
          <w:sz w:val="16"/>
          <w:szCs w:val="16"/>
          <w:lang w:val="en-GB"/>
        </w:rPr>
      </w:pPr>
    </w:p>
    <w:p w:rsidR="00A057D0" w:rsidRPr="002C7F4F" w:rsidRDefault="00A057D0" w:rsidP="00E20BEF">
      <w:pPr>
        <w:spacing w:before="120"/>
        <w:jc w:val="both"/>
        <w:rPr>
          <w:rFonts w:ascii="Calibri" w:hAnsi="Calibri" w:cs="Tahoma"/>
          <w:b/>
          <w:bCs/>
          <w:sz w:val="22"/>
          <w:szCs w:val="22"/>
          <w:lang w:val="en-GB"/>
        </w:rPr>
      </w:pPr>
    </w:p>
    <w:sectPr w:rsidR="00A057D0" w:rsidRPr="002C7F4F" w:rsidSect="00C05E08">
      <w:headerReference w:type="default" r:id="rId12"/>
      <w:headerReference w:type="first" r:id="rId13"/>
      <w:pgSz w:w="11906" w:h="16838" w:code="9"/>
      <w:pgMar w:top="1843" w:right="127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5C7" w:rsidRDefault="00CE65C7">
      <w:r>
        <w:separator/>
      </w:r>
    </w:p>
  </w:endnote>
  <w:endnote w:type="continuationSeparator" w:id="0">
    <w:p w:rsidR="00CE65C7" w:rsidRDefault="00CE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5C7" w:rsidRDefault="00CE65C7">
      <w:r>
        <w:separator/>
      </w:r>
    </w:p>
  </w:footnote>
  <w:footnote w:type="continuationSeparator" w:id="0">
    <w:p w:rsidR="00CE65C7" w:rsidRDefault="00CE6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C0" w:rsidRDefault="009D57CD" w:rsidP="003509C0">
    <w:pPr>
      <w:pStyle w:val="Header"/>
      <w:spacing w:before="720" w:after="120"/>
      <w:jc w:val="center"/>
      <w:rPr>
        <w:rFonts w:ascii="Calibri" w:hAnsi="Calibri"/>
        <w:b/>
        <w:i/>
        <w:color w:val="333399"/>
        <w:sz w:val="28"/>
        <w:szCs w:val="28"/>
        <w:lang w:val="en-US"/>
      </w:rPr>
    </w:pPr>
    <w:r>
      <w:rPr>
        <w:rFonts w:ascii="Verdana" w:hAnsi="Verdana"/>
        <w:b/>
        <w:noProof/>
        <w:color w:val="333399"/>
        <w:sz w:val="48"/>
        <w:szCs w:val="48"/>
      </w:rPr>
      <w:drawing>
        <wp:inline distT="0" distB="0" distL="0" distR="0">
          <wp:extent cx="1144905" cy="10439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D6754" w:rsidRPr="00CE7217" w:rsidRDefault="005D6754" w:rsidP="005D6754">
    <w:pPr>
      <w:pStyle w:val="Header"/>
      <w:spacing w:before="720" w:after="120"/>
      <w:rPr>
        <w:rFonts w:ascii="Calibri" w:hAnsi="Calibri"/>
        <w:i/>
        <w:sz w:val="28"/>
        <w:szCs w:val="28"/>
        <w:lang w:val="en-US"/>
      </w:rPr>
    </w:pPr>
    <w:r>
      <w:rPr>
        <w:rFonts w:ascii="Calibri" w:hAnsi="Calibri"/>
        <w:b/>
        <w:i/>
        <w:color w:val="333399"/>
        <w:sz w:val="28"/>
        <w:szCs w:val="28"/>
        <w:lang w:val="en-US"/>
      </w:rPr>
      <w:t>Announcement</w:t>
    </w:r>
    <w:r w:rsidRPr="007A52EE">
      <w:rPr>
        <w:rFonts w:ascii="Calibri" w:hAnsi="Calibri"/>
        <w:b/>
        <w:i/>
        <w:color w:val="333399"/>
        <w:sz w:val="28"/>
        <w:szCs w:val="28"/>
        <w:lang w:val="en-US"/>
      </w:rPr>
      <w:t xml:space="preserve"> </w:t>
    </w:r>
    <w:r w:rsidRPr="007B6F14">
      <w:rPr>
        <w:rFonts w:ascii="Calibri" w:hAnsi="Calibri"/>
        <w:b/>
        <w:i/>
        <w:color w:val="333399"/>
        <w:sz w:val="28"/>
        <w:szCs w:val="28"/>
        <w:lang w:val="en-US"/>
      </w:rPr>
      <w:t>(</w:t>
    </w:r>
    <w:r>
      <w:rPr>
        <w:rFonts w:ascii="Calibri" w:hAnsi="Calibri"/>
        <w:b/>
        <w:i/>
        <w:color w:val="333399"/>
        <w:sz w:val="28"/>
        <w:szCs w:val="28"/>
        <w:lang w:val="en-US"/>
      </w:rPr>
      <w:t>continued</w:t>
    </w:r>
    <w:r w:rsidRPr="007B6F14">
      <w:rPr>
        <w:rFonts w:ascii="Calibri" w:hAnsi="Calibri"/>
        <w:b/>
        <w:i/>
        <w:color w:val="333399"/>
        <w:sz w:val="28"/>
        <w:szCs w:val="28"/>
        <w:lang w:val="en-US"/>
      </w:rPr>
      <w:t>)</w:t>
    </w:r>
  </w:p>
  <w:p w:rsidR="005D6754" w:rsidRPr="007B6F14" w:rsidRDefault="005D6754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C0" w:rsidRDefault="009D57CD" w:rsidP="003509C0">
    <w:pPr>
      <w:pStyle w:val="Header"/>
      <w:spacing w:before="1200"/>
      <w:jc w:val="center"/>
      <w:rPr>
        <w:rFonts w:ascii="Verdana" w:hAnsi="Verdana"/>
        <w:b/>
        <w:color w:val="333399"/>
        <w:sz w:val="48"/>
        <w:szCs w:val="48"/>
        <w:lang w:val="en-US"/>
      </w:rPr>
    </w:pPr>
    <w:r>
      <w:rPr>
        <w:rFonts w:ascii="Verdana" w:hAnsi="Verdana"/>
        <w:b/>
        <w:noProof/>
        <w:color w:val="333399"/>
        <w:sz w:val="48"/>
        <w:szCs w:val="48"/>
      </w:rPr>
      <w:drawing>
        <wp:inline distT="0" distB="0" distL="0" distR="0">
          <wp:extent cx="1144905" cy="10439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D6754" w:rsidRPr="003509C0" w:rsidRDefault="005D6754" w:rsidP="003509C0">
    <w:pPr>
      <w:pStyle w:val="Header"/>
      <w:spacing w:before="720" w:after="120"/>
      <w:rPr>
        <w:rFonts w:ascii="Verdana" w:hAnsi="Verdana"/>
        <w:b/>
        <w:color w:val="333399"/>
        <w:sz w:val="36"/>
        <w:szCs w:val="36"/>
        <w:lang w:val="en-US"/>
      </w:rPr>
    </w:pPr>
    <w:r w:rsidRPr="003509C0">
      <w:rPr>
        <w:rFonts w:ascii="Verdana" w:hAnsi="Verdana"/>
        <w:b/>
        <w:color w:val="333399"/>
        <w:sz w:val="36"/>
        <w:szCs w:val="36"/>
        <w:lang w:val="en-US"/>
      </w:rPr>
      <w:t>Announcement</w:t>
    </w:r>
  </w:p>
  <w:p w:rsidR="005D6754" w:rsidRPr="005D6754" w:rsidRDefault="005D6754" w:rsidP="00CC706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7.6pt;height:86.4pt" o:bullet="t">
        <v:imagedata r:id="rId1" o:title="Helex Top"/>
      </v:shape>
    </w:pict>
  </w:numPicBullet>
  <w:abstractNum w:abstractNumId="0">
    <w:nsid w:val="2B533E73"/>
    <w:multiLevelType w:val="hybridMultilevel"/>
    <w:tmpl w:val="F97EF3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1F004A"/>
    <w:multiLevelType w:val="hybridMultilevel"/>
    <w:tmpl w:val="8926EDB4"/>
    <w:lvl w:ilvl="0" w:tplc="40427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9E0950"/>
    <w:multiLevelType w:val="hybridMultilevel"/>
    <w:tmpl w:val="DB1E88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77616"/>
    <w:multiLevelType w:val="hybridMultilevel"/>
    <w:tmpl w:val="FC920F8A"/>
    <w:lvl w:ilvl="0" w:tplc="40427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5221E0"/>
    <w:multiLevelType w:val="hybridMultilevel"/>
    <w:tmpl w:val="8C30AB8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E6"/>
    <w:rsid w:val="000005EF"/>
    <w:rsid w:val="00000A03"/>
    <w:rsid w:val="00002D7F"/>
    <w:rsid w:val="00003B40"/>
    <w:rsid w:val="00004A5A"/>
    <w:rsid w:val="00004B7E"/>
    <w:rsid w:val="00005DD1"/>
    <w:rsid w:val="000115A6"/>
    <w:rsid w:val="00014941"/>
    <w:rsid w:val="00015651"/>
    <w:rsid w:val="00015E31"/>
    <w:rsid w:val="00015FE0"/>
    <w:rsid w:val="00016069"/>
    <w:rsid w:val="000165D1"/>
    <w:rsid w:val="00024B94"/>
    <w:rsid w:val="00025385"/>
    <w:rsid w:val="00034092"/>
    <w:rsid w:val="00034F07"/>
    <w:rsid w:val="00035640"/>
    <w:rsid w:val="000366BF"/>
    <w:rsid w:val="0004256A"/>
    <w:rsid w:val="00043143"/>
    <w:rsid w:val="00044037"/>
    <w:rsid w:val="00047614"/>
    <w:rsid w:val="0005114D"/>
    <w:rsid w:val="00051A34"/>
    <w:rsid w:val="00054423"/>
    <w:rsid w:val="00060ABE"/>
    <w:rsid w:val="000647C1"/>
    <w:rsid w:val="000653CB"/>
    <w:rsid w:val="00065BED"/>
    <w:rsid w:val="00066D3B"/>
    <w:rsid w:val="00066E8A"/>
    <w:rsid w:val="00067658"/>
    <w:rsid w:val="0006790F"/>
    <w:rsid w:val="00071308"/>
    <w:rsid w:val="0007141E"/>
    <w:rsid w:val="00071B33"/>
    <w:rsid w:val="00076191"/>
    <w:rsid w:val="0007654C"/>
    <w:rsid w:val="0008466D"/>
    <w:rsid w:val="00084DD7"/>
    <w:rsid w:val="00085390"/>
    <w:rsid w:val="00086949"/>
    <w:rsid w:val="000872FA"/>
    <w:rsid w:val="0009155E"/>
    <w:rsid w:val="00092922"/>
    <w:rsid w:val="00093A7E"/>
    <w:rsid w:val="0009438A"/>
    <w:rsid w:val="000953C8"/>
    <w:rsid w:val="00096447"/>
    <w:rsid w:val="00096519"/>
    <w:rsid w:val="000A1841"/>
    <w:rsid w:val="000A5977"/>
    <w:rsid w:val="000A5D46"/>
    <w:rsid w:val="000A7E13"/>
    <w:rsid w:val="000B09BB"/>
    <w:rsid w:val="000B2946"/>
    <w:rsid w:val="000B68F2"/>
    <w:rsid w:val="000B70BF"/>
    <w:rsid w:val="000C0C45"/>
    <w:rsid w:val="000C0E3A"/>
    <w:rsid w:val="000C3A33"/>
    <w:rsid w:val="000C3ABB"/>
    <w:rsid w:val="000C6E2D"/>
    <w:rsid w:val="000C7539"/>
    <w:rsid w:val="000D0B36"/>
    <w:rsid w:val="000D6C1E"/>
    <w:rsid w:val="000E068E"/>
    <w:rsid w:val="000E0D88"/>
    <w:rsid w:val="000E2EB2"/>
    <w:rsid w:val="000E3A3E"/>
    <w:rsid w:val="000E42D2"/>
    <w:rsid w:val="000E4345"/>
    <w:rsid w:val="000F184B"/>
    <w:rsid w:val="000F37AD"/>
    <w:rsid w:val="000F4D4A"/>
    <w:rsid w:val="000F711C"/>
    <w:rsid w:val="00103374"/>
    <w:rsid w:val="00103930"/>
    <w:rsid w:val="00106FE6"/>
    <w:rsid w:val="001079F8"/>
    <w:rsid w:val="00110190"/>
    <w:rsid w:val="00113811"/>
    <w:rsid w:val="00113F59"/>
    <w:rsid w:val="001144CA"/>
    <w:rsid w:val="00114E8D"/>
    <w:rsid w:val="00116C88"/>
    <w:rsid w:val="00123B9C"/>
    <w:rsid w:val="00125EA1"/>
    <w:rsid w:val="00131254"/>
    <w:rsid w:val="001313E2"/>
    <w:rsid w:val="00131AAC"/>
    <w:rsid w:val="001356CA"/>
    <w:rsid w:val="00136EC0"/>
    <w:rsid w:val="00140A05"/>
    <w:rsid w:val="00142500"/>
    <w:rsid w:val="00144E50"/>
    <w:rsid w:val="001469EE"/>
    <w:rsid w:val="00147AFF"/>
    <w:rsid w:val="00150A46"/>
    <w:rsid w:val="00150F8F"/>
    <w:rsid w:val="001533A6"/>
    <w:rsid w:val="001545AD"/>
    <w:rsid w:val="00154D37"/>
    <w:rsid w:val="00154FC4"/>
    <w:rsid w:val="001567B3"/>
    <w:rsid w:val="00160428"/>
    <w:rsid w:val="00162366"/>
    <w:rsid w:val="00162D62"/>
    <w:rsid w:val="00166410"/>
    <w:rsid w:val="00166733"/>
    <w:rsid w:val="0017000A"/>
    <w:rsid w:val="00170724"/>
    <w:rsid w:val="00170ACD"/>
    <w:rsid w:val="00170BF7"/>
    <w:rsid w:val="001716BD"/>
    <w:rsid w:val="00172746"/>
    <w:rsid w:val="001731FF"/>
    <w:rsid w:val="0017428A"/>
    <w:rsid w:val="001748EE"/>
    <w:rsid w:val="00174D82"/>
    <w:rsid w:val="00175C24"/>
    <w:rsid w:val="00176687"/>
    <w:rsid w:val="0017742F"/>
    <w:rsid w:val="001813D4"/>
    <w:rsid w:val="00182F64"/>
    <w:rsid w:val="00183EC2"/>
    <w:rsid w:val="001841BD"/>
    <w:rsid w:val="00186509"/>
    <w:rsid w:val="00187DEA"/>
    <w:rsid w:val="001908FC"/>
    <w:rsid w:val="00192638"/>
    <w:rsid w:val="001926C1"/>
    <w:rsid w:val="001928D8"/>
    <w:rsid w:val="0019317D"/>
    <w:rsid w:val="001934F7"/>
    <w:rsid w:val="00193502"/>
    <w:rsid w:val="0019364A"/>
    <w:rsid w:val="0019442D"/>
    <w:rsid w:val="0019471F"/>
    <w:rsid w:val="00195380"/>
    <w:rsid w:val="0019569E"/>
    <w:rsid w:val="0019653F"/>
    <w:rsid w:val="00197DDF"/>
    <w:rsid w:val="001A73C8"/>
    <w:rsid w:val="001B2961"/>
    <w:rsid w:val="001B30F2"/>
    <w:rsid w:val="001B369D"/>
    <w:rsid w:val="001C0B32"/>
    <w:rsid w:val="001C2628"/>
    <w:rsid w:val="001C6689"/>
    <w:rsid w:val="001C7849"/>
    <w:rsid w:val="001D2265"/>
    <w:rsid w:val="001D4673"/>
    <w:rsid w:val="001D4E06"/>
    <w:rsid w:val="001D6097"/>
    <w:rsid w:val="001E1530"/>
    <w:rsid w:val="001E335A"/>
    <w:rsid w:val="001E3DE6"/>
    <w:rsid w:val="001E42BE"/>
    <w:rsid w:val="001E4D16"/>
    <w:rsid w:val="001E5C3A"/>
    <w:rsid w:val="001E6985"/>
    <w:rsid w:val="001F1286"/>
    <w:rsid w:val="001F1F5E"/>
    <w:rsid w:val="001F26B5"/>
    <w:rsid w:val="001F2DE9"/>
    <w:rsid w:val="001F4F54"/>
    <w:rsid w:val="002034D8"/>
    <w:rsid w:val="00204722"/>
    <w:rsid w:val="002050CC"/>
    <w:rsid w:val="00205139"/>
    <w:rsid w:val="00206CFC"/>
    <w:rsid w:val="00212E10"/>
    <w:rsid w:val="00213554"/>
    <w:rsid w:val="00213684"/>
    <w:rsid w:val="00217683"/>
    <w:rsid w:val="00220EB2"/>
    <w:rsid w:val="00222992"/>
    <w:rsid w:val="00227A1A"/>
    <w:rsid w:val="00227CE6"/>
    <w:rsid w:val="00237521"/>
    <w:rsid w:val="0023767D"/>
    <w:rsid w:val="00237812"/>
    <w:rsid w:val="00244035"/>
    <w:rsid w:val="002445EC"/>
    <w:rsid w:val="002507F7"/>
    <w:rsid w:val="0025105E"/>
    <w:rsid w:val="00254678"/>
    <w:rsid w:val="002558E8"/>
    <w:rsid w:val="00256464"/>
    <w:rsid w:val="00257A18"/>
    <w:rsid w:val="0026191F"/>
    <w:rsid w:val="002620C3"/>
    <w:rsid w:val="00262908"/>
    <w:rsid w:val="00262D37"/>
    <w:rsid w:val="0026411B"/>
    <w:rsid w:val="0026434C"/>
    <w:rsid w:val="00264CAF"/>
    <w:rsid w:val="0026531B"/>
    <w:rsid w:val="0026582E"/>
    <w:rsid w:val="002658BD"/>
    <w:rsid w:val="002712F0"/>
    <w:rsid w:val="00274315"/>
    <w:rsid w:val="00276C74"/>
    <w:rsid w:val="00280917"/>
    <w:rsid w:val="002820C3"/>
    <w:rsid w:val="002823D1"/>
    <w:rsid w:val="00283792"/>
    <w:rsid w:val="00286C58"/>
    <w:rsid w:val="0028742C"/>
    <w:rsid w:val="002874C3"/>
    <w:rsid w:val="00290D43"/>
    <w:rsid w:val="002910D2"/>
    <w:rsid w:val="00292BB1"/>
    <w:rsid w:val="0029363B"/>
    <w:rsid w:val="0029529A"/>
    <w:rsid w:val="002A429B"/>
    <w:rsid w:val="002B12DD"/>
    <w:rsid w:val="002B2D09"/>
    <w:rsid w:val="002B602C"/>
    <w:rsid w:val="002C041D"/>
    <w:rsid w:val="002C094B"/>
    <w:rsid w:val="002C20A3"/>
    <w:rsid w:val="002C2ADB"/>
    <w:rsid w:val="002C39E5"/>
    <w:rsid w:val="002C5741"/>
    <w:rsid w:val="002C7A78"/>
    <w:rsid w:val="002C7AED"/>
    <w:rsid w:val="002C7F4F"/>
    <w:rsid w:val="002D16CB"/>
    <w:rsid w:val="002D2B5C"/>
    <w:rsid w:val="002D3C5A"/>
    <w:rsid w:val="002D472E"/>
    <w:rsid w:val="002D6233"/>
    <w:rsid w:val="002D7826"/>
    <w:rsid w:val="002D7E38"/>
    <w:rsid w:val="002E0958"/>
    <w:rsid w:val="002E5440"/>
    <w:rsid w:val="002E5590"/>
    <w:rsid w:val="002E57E5"/>
    <w:rsid w:val="002E7DE7"/>
    <w:rsid w:val="002F0349"/>
    <w:rsid w:val="002F27B7"/>
    <w:rsid w:val="002F2DC1"/>
    <w:rsid w:val="00302124"/>
    <w:rsid w:val="00302277"/>
    <w:rsid w:val="00302650"/>
    <w:rsid w:val="0030270E"/>
    <w:rsid w:val="003035E5"/>
    <w:rsid w:val="00304AAE"/>
    <w:rsid w:val="00306864"/>
    <w:rsid w:val="003078C3"/>
    <w:rsid w:val="003108BB"/>
    <w:rsid w:val="00311FF6"/>
    <w:rsid w:val="0031209C"/>
    <w:rsid w:val="00313448"/>
    <w:rsid w:val="003145E9"/>
    <w:rsid w:val="00314FDC"/>
    <w:rsid w:val="00317604"/>
    <w:rsid w:val="00322984"/>
    <w:rsid w:val="00322EF2"/>
    <w:rsid w:val="0032430A"/>
    <w:rsid w:val="0032629D"/>
    <w:rsid w:val="003311CA"/>
    <w:rsid w:val="003344A2"/>
    <w:rsid w:val="00334C76"/>
    <w:rsid w:val="00335743"/>
    <w:rsid w:val="00335A9E"/>
    <w:rsid w:val="00336245"/>
    <w:rsid w:val="00336C85"/>
    <w:rsid w:val="00341151"/>
    <w:rsid w:val="00343BBB"/>
    <w:rsid w:val="003455FA"/>
    <w:rsid w:val="003457A0"/>
    <w:rsid w:val="00346BAE"/>
    <w:rsid w:val="003508B8"/>
    <w:rsid w:val="003509C0"/>
    <w:rsid w:val="00353317"/>
    <w:rsid w:val="00354182"/>
    <w:rsid w:val="00356938"/>
    <w:rsid w:val="00356D0D"/>
    <w:rsid w:val="00363DF9"/>
    <w:rsid w:val="003650B6"/>
    <w:rsid w:val="003713DE"/>
    <w:rsid w:val="003720BD"/>
    <w:rsid w:val="003728F5"/>
    <w:rsid w:val="00375B24"/>
    <w:rsid w:val="00382176"/>
    <w:rsid w:val="00383DE9"/>
    <w:rsid w:val="00387F5E"/>
    <w:rsid w:val="00395A3C"/>
    <w:rsid w:val="003A2030"/>
    <w:rsid w:val="003A442F"/>
    <w:rsid w:val="003A60E6"/>
    <w:rsid w:val="003A7BA8"/>
    <w:rsid w:val="003B0BFE"/>
    <w:rsid w:val="003B6D3B"/>
    <w:rsid w:val="003B6F3B"/>
    <w:rsid w:val="003C1C58"/>
    <w:rsid w:val="003C3CDE"/>
    <w:rsid w:val="003C55B8"/>
    <w:rsid w:val="003C5A5B"/>
    <w:rsid w:val="003C60EA"/>
    <w:rsid w:val="003C7B6D"/>
    <w:rsid w:val="003C7F25"/>
    <w:rsid w:val="003D0F7A"/>
    <w:rsid w:val="003D193B"/>
    <w:rsid w:val="003D3AF0"/>
    <w:rsid w:val="003D5CAA"/>
    <w:rsid w:val="003E4220"/>
    <w:rsid w:val="003F129D"/>
    <w:rsid w:val="003F3037"/>
    <w:rsid w:val="003F43FD"/>
    <w:rsid w:val="003F4674"/>
    <w:rsid w:val="003F4791"/>
    <w:rsid w:val="003F6013"/>
    <w:rsid w:val="003F6305"/>
    <w:rsid w:val="003F7345"/>
    <w:rsid w:val="003F7A8E"/>
    <w:rsid w:val="0040108B"/>
    <w:rsid w:val="00401713"/>
    <w:rsid w:val="004022CA"/>
    <w:rsid w:val="00403005"/>
    <w:rsid w:val="004039FA"/>
    <w:rsid w:val="0040448D"/>
    <w:rsid w:val="004056B1"/>
    <w:rsid w:val="00405EFC"/>
    <w:rsid w:val="004066B6"/>
    <w:rsid w:val="00406E73"/>
    <w:rsid w:val="00410B73"/>
    <w:rsid w:val="00412F6E"/>
    <w:rsid w:val="00413359"/>
    <w:rsid w:val="004142B7"/>
    <w:rsid w:val="0041469B"/>
    <w:rsid w:val="0041799B"/>
    <w:rsid w:val="0042103F"/>
    <w:rsid w:val="004215F7"/>
    <w:rsid w:val="00424536"/>
    <w:rsid w:val="004258E4"/>
    <w:rsid w:val="00426E53"/>
    <w:rsid w:val="00432C35"/>
    <w:rsid w:val="004346E4"/>
    <w:rsid w:val="004357FB"/>
    <w:rsid w:val="00436F9A"/>
    <w:rsid w:val="0043727C"/>
    <w:rsid w:val="004414AD"/>
    <w:rsid w:val="00443774"/>
    <w:rsid w:val="004437B0"/>
    <w:rsid w:val="004437E3"/>
    <w:rsid w:val="004449EF"/>
    <w:rsid w:val="00445663"/>
    <w:rsid w:val="00451F59"/>
    <w:rsid w:val="0045608B"/>
    <w:rsid w:val="00462AEC"/>
    <w:rsid w:val="00462FCA"/>
    <w:rsid w:val="00463268"/>
    <w:rsid w:val="0046347D"/>
    <w:rsid w:val="004637A6"/>
    <w:rsid w:val="00464AE3"/>
    <w:rsid w:val="00465D5B"/>
    <w:rsid w:val="0047162B"/>
    <w:rsid w:val="00473714"/>
    <w:rsid w:val="00474896"/>
    <w:rsid w:val="00474F38"/>
    <w:rsid w:val="0047538C"/>
    <w:rsid w:val="004809A3"/>
    <w:rsid w:val="00484834"/>
    <w:rsid w:val="0048506F"/>
    <w:rsid w:val="004856FE"/>
    <w:rsid w:val="0048726D"/>
    <w:rsid w:val="00487FEE"/>
    <w:rsid w:val="0049042C"/>
    <w:rsid w:val="0049208C"/>
    <w:rsid w:val="00497A0F"/>
    <w:rsid w:val="004A083C"/>
    <w:rsid w:val="004A2FF6"/>
    <w:rsid w:val="004A31D8"/>
    <w:rsid w:val="004A3811"/>
    <w:rsid w:val="004B08C3"/>
    <w:rsid w:val="004B10CE"/>
    <w:rsid w:val="004B1C84"/>
    <w:rsid w:val="004B3CB2"/>
    <w:rsid w:val="004B472A"/>
    <w:rsid w:val="004B71EC"/>
    <w:rsid w:val="004B7612"/>
    <w:rsid w:val="004C02BD"/>
    <w:rsid w:val="004C1BA2"/>
    <w:rsid w:val="004C2B1E"/>
    <w:rsid w:val="004C33BC"/>
    <w:rsid w:val="004C345F"/>
    <w:rsid w:val="004D0142"/>
    <w:rsid w:val="004D38F6"/>
    <w:rsid w:val="004D44EC"/>
    <w:rsid w:val="004D55BB"/>
    <w:rsid w:val="004D67F1"/>
    <w:rsid w:val="004D6E55"/>
    <w:rsid w:val="004D7B1D"/>
    <w:rsid w:val="004E0008"/>
    <w:rsid w:val="004E2AA1"/>
    <w:rsid w:val="004E74AC"/>
    <w:rsid w:val="004F0741"/>
    <w:rsid w:val="004F0883"/>
    <w:rsid w:val="004F0DAD"/>
    <w:rsid w:val="004F1AAB"/>
    <w:rsid w:val="004F2A09"/>
    <w:rsid w:val="004F4CD2"/>
    <w:rsid w:val="004F64F6"/>
    <w:rsid w:val="004F6FA3"/>
    <w:rsid w:val="00500340"/>
    <w:rsid w:val="0050317A"/>
    <w:rsid w:val="00505779"/>
    <w:rsid w:val="00506816"/>
    <w:rsid w:val="00510137"/>
    <w:rsid w:val="00511821"/>
    <w:rsid w:val="00512149"/>
    <w:rsid w:val="0051217A"/>
    <w:rsid w:val="00512D6F"/>
    <w:rsid w:val="00513A6B"/>
    <w:rsid w:val="00513DA8"/>
    <w:rsid w:val="00514008"/>
    <w:rsid w:val="005162EF"/>
    <w:rsid w:val="005170CE"/>
    <w:rsid w:val="00521000"/>
    <w:rsid w:val="00521D18"/>
    <w:rsid w:val="005221E8"/>
    <w:rsid w:val="00524A55"/>
    <w:rsid w:val="005255E6"/>
    <w:rsid w:val="00526EF4"/>
    <w:rsid w:val="00527513"/>
    <w:rsid w:val="00527526"/>
    <w:rsid w:val="005275C1"/>
    <w:rsid w:val="00532CCA"/>
    <w:rsid w:val="00534048"/>
    <w:rsid w:val="005366BD"/>
    <w:rsid w:val="005403AE"/>
    <w:rsid w:val="00542F53"/>
    <w:rsid w:val="00544DA9"/>
    <w:rsid w:val="0054656E"/>
    <w:rsid w:val="00547A53"/>
    <w:rsid w:val="00553660"/>
    <w:rsid w:val="005539EC"/>
    <w:rsid w:val="00556C0E"/>
    <w:rsid w:val="005615B2"/>
    <w:rsid w:val="00563123"/>
    <w:rsid w:val="00565058"/>
    <w:rsid w:val="005651C4"/>
    <w:rsid w:val="00566EA5"/>
    <w:rsid w:val="005677B9"/>
    <w:rsid w:val="00570A26"/>
    <w:rsid w:val="00571426"/>
    <w:rsid w:val="00572338"/>
    <w:rsid w:val="00574A90"/>
    <w:rsid w:val="00576967"/>
    <w:rsid w:val="00576AD9"/>
    <w:rsid w:val="00577993"/>
    <w:rsid w:val="00580D8A"/>
    <w:rsid w:val="00580E59"/>
    <w:rsid w:val="00581802"/>
    <w:rsid w:val="00583D77"/>
    <w:rsid w:val="00587C90"/>
    <w:rsid w:val="0059128F"/>
    <w:rsid w:val="0059383F"/>
    <w:rsid w:val="00595F52"/>
    <w:rsid w:val="0059641A"/>
    <w:rsid w:val="00596853"/>
    <w:rsid w:val="00597D1E"/>
    <w:rsid w:val="005A1922"/>
    <w:rsid w:val="005A2ED7"/>
    <w:rsid w:val="005A32C8"/>
    <w:rsid w:val="005A5195"/>
    <w:rsid w:val="005A662A"/>
    <w:rsid w:val="005B2064"/>
    <w:rsid w:val="005B23A0"/>
    <w:rsid w:val="005B305A"/>
    <w:rsid w:val="005B4569"/>
    <w:rsid w:val="005B7A7A"/>
    <w:rsid w:val="005C2229"/>
    <w:rsid w:val="005C4731"/>
    <w:rsid w:val="005C528B"/>
    <w:rsid w:val="005C76FF"/>
    <w:rsid w:val="005C7C00"/>
    <w:rsid w:val="005D0742"/>
    <w:rsid w:val="005D0BBB"/>
    <w:rsid w:val="005D148B"/>
    <w:rsid w:val="005D1586"/>
    <w:rsid w:val="005D211B"/>
    <w:rsid w:val="005D236C"/>
    <w:rsid w:val="005D2817"/>
    <w:rsid w:val="005D46EA"/>
    <w:rsid w:val="005D626E"/>
    <w:rsid w:val="005D654E"/>
    <w:rsid w:val="005D6754"/>
    <w:rsid w:val="005E1400"/>
    <w:rsid w:val="005E1A64"/>
    <w:rsid w:val="005E1EE7"/>
    <w:rsid w:val="005E2C77"/>
    <w:rsid w:val="005E57D9"/>
    <w:rsid w:val="005E58A5"/>
    <w:rsid w:val="005E619D"/>
    <w:rsid w:val="005F349B"/>
    <w:rsid w:val="005F3D68"/>
    <w:rsid w:val="005F4313"/>
    <w:rsid w:val="005F4E15"/>
    <w:rsid w:val="005F6430"/>
    <w:rsid w:val="005F648F"/>
    <w:rsid w:val="005F6601"/>
    <w:rsid w:val="005F677A"/>
    <w:rsid w:val="005F7266"/>
    <w:rsid w:val="005F7846"/>
    <w:rsid w:val="00602D77"/>
    <w:rsid w:val="00603938"/>
    <w:rsid w:val="00605B89"/>
    <w:rsid w:val="0060626B"/>
    <w:rsid w:val="0061267B"/>
    <w:rsid w:val="00613BF1"/>
    <w:rsid w:val="00613F22"/>
    <w:rsid w:val="00616692"/>
    <w:rsid w:val="00616F65"/>
    <w:rsid w:val="006171CC"/>
    <w:rsid w:val="00623510"/>
    <w:rsid w:val="0062514D"/>
    <w:rsid w:val="00625EBE"/>
    <w:rsid w:val="00626387"/>
    <w:rsid w:val="00626DEE"/>
    <w:rsid w:val="006273D8"/>
    <w:rsid w:val="0062760E"/>
    <w:rsid w:val="00636A59"/>
    <w:rsid w:val="00640277"/>
    <w:rsid w:val="0064564B"/>
    <w:rsid w:val="00645EA8"/>
    <w:rsid w:val="006468E0"/>
    <w:rsid w:val="00651364"/>
    <w:rsid w:val="0065248C"/>
    <w:rsid w:val="00653057"/>
    <w:rsid w:val="00653561"/>
    <w:rsid w:val="0065465D"/>
    <w:rsid w:val="0065545F"/>
    <w:rsid w:val="006561E6"/>
    <w:rsid w:val="00657016"/>
    <w:rsid w:val="00657307"/>
    <w:rsid w:val="00657F73"/>
    <w:rsid w:val="0066078E"/>
    <w:rsid w:val="00661B16"/>
    <w:rsid w:val="006622A8"/>
    <w:rsid w:val="00663FB4"/>
    <w:rsid w:val="00664076"/>
    <w:rsid w:val="00664899"/>
    <w:rsid w:val="006656E2"/>
    <w:rsid w:val="006664CB"/>
    <w:rsid w:val="00667CCE"/>
    <w:rsid w:val="00672407"/>
    <w:rsid w:val="00672EAB"/>
    <w:rsid w:val="00674EE2"/>
    <w:rsid w:val="00675325"/>
    <w:rsid w:val="00677534"/>
    <w:rsid w:val="00681F66"/>
    <w:rsid w:val="0068367A"/>
    <w:rsid w:val="0068450A"/>
    <w:rsid w:val="00684891"/>
    <w:rsid w:val="00685F87"/>
    <w:rsid w:val="00687BE6"/>
    <w:rsid w:val="00693019"/>
    <w:rsid w:val="00693B63"/>
    <w:rsid w:val="00694FEC"/>
    <w:rsid w:val="00695576"/>
    <w:rsid w:val="00695A9E"/>
    <w:rsid w:val="00696B22"/>
    <w:rsid w:val="006A0F72"/>
    <w:rsid w:val="006A212E"/>
    <w:rsid w:val="006A52E5"/>
    <w:rsid w:val="006B10FE"/>
    <w:rsid w:val="006B1513"/>
    <w:rsid w:val="006B232D"/>
    <w:rsid w:val="006B33E8"/>
    <w:rsid w:val="006B6BF6"/>
    <w:rsid w:val="006B6FAF"/>
    <w:rsid w:val="006C0D52"/>
    <w:rsid w:val="006C240C"/>
    <w:rsid w:val="006C37B9"/>
    <w:rsid w:val="006C4099"/>
    <w:rsid w:val="006C41EA"/>
    <w:rsid w:val="006D1116"/>
    <w:rsid w:val="006D2488"/>
    <w:rsid w:val="006D28F2"/>
    <w:rsid w:val="006D298E"/>
    <w:rsid w:val="006D7689"/>
    <w:rsid w:val="006D7B94"/>
    <w:rsid w:val="006D7C51"/>
    <w:rsid w:val="006E7A58"/>
    <w:rsid w:val="006F008F"/>
    <w:rsid w:val="006F0EA4"/>
    <w:rsid w:val="006F2CAA"/>
    <w:rsid w:val="006F3024"/>
    <w:rsid w:val="006F51DE"/>
    <w:rsid w:val="006F5789"/>
    <w:rsid w:val="006F6905"/>
    <w:rsid w:val="006F788D"/>
    <w:rsid w:val="0070069C"/>
    <w:rsid w:val="00700B36"/>
    <w:rsid w:val="00701F0B"/>
    <w:rsid w:val="00705E41"/>
    <w:rsid w:val="007072AD"/>
    <w:rsid w:val="00711D0F"/>
    <w:rsid w:val="00713166"/>
    <w:rsid w:val="007136DC"/>
    <w:rsid w:val="00713EEF"/>
    <w:rsid w:val="00714D6D"/>
    <w:rsid w:val="00717532"/>
    <w:rsid w:val="007205BA"/>
    <w:rsid w:val="00721916"/>
    <w:rsid w:val="00721C29"/>
    <w:rsid w:val="00722A1B"/>
    <w:rsid w:val="00722D34"/>
    <w:rsid w:val="007239DB"/>
    <w:rsid w:val="00724247"/>
    <w:rsid w:val="0072436F"/>
    <w:rsid w:val="00724BB5"/>
    <w:rsid w:val="007258C4"/>
    <w:rsid w:val="00725BF0"/>
    <w:rsid w:val="00725E88"/>
    <w:rsid w:val="00727752"/>
    <w:rsid w:val="007306A5"/>
    <w:rsid w:val="007309E5"/>
    <w:rsid w:val="00731351"/>
    <w:rsid w:val="00732D7C"/>
    <w:rsid w:val="00737530"/>
    <w:rsid w:val="00741422"/>
    <w:rsid w:val="00742704"/>
    <w:rsid w:val="00742C69"/>
    <w:rsid w:val="007445FA"/>
    <w:rsid w:val="00744E1A"/>
    <w:rsid w:val="00746328"/>
    <w:rsid w:val="00747277"/>
    <w:rsid w:val="007504F5"/>
    <w:rsid w:val="00750DA9"/>
    <w:rsid w:val="0075137D"/>
    <w:rsid w:val="00752E6A"/>
    <w:rsid w:val="00752F65"/>
    <w:rsid w:val="00753BD9"/>
    <w:rsid w:val="00763897"/>
    <w:rsid w:val="00765461"/>
    <w:rsid w:val="007667D3"/>
    <w:rsid w:val="00766BA3"/>
    <w:rsid w:val="007732BA"/>
    <w:rsid w:val="00774066"/>
    <w:rsid w:val="00774B57"/>
    <w:rsid w:val="00780753"/>
    <w:rsid w:val="00780B84"/>
    <w:rsid w:val="00780F9C"/>
    <w:rsid w:val="007847C5"/>
    <w:rsid w:val="007864C0"/>
    <w:rsid w:val="007877AD"/>
    <w:rsid w:val="007906D9"/>
    <w:rsid w:val="00790F7D"/>
    <w:rsid w:val="0079159D"/>
    <w:rsid w:val="00794011"/>
    <w:rsid w:val="007968DC"/>
    <w:rsid w:val="007A1BDA"/>
    <w:rsid w:val="007A214D"/>
    <w:rsid w:val="007A30E1"/>
    <w:rsid w:val="007A6B15"/>
    <w:rsid w:val="007B0156"/>
    <w:rsid w:val="007B10C4"/>
    <w:rsid w:val="007B2951"/>
    <w:rsid w:val="007B34B1"/>
    <w:rsid w:val="007B3F36"/>
    <w:rsid w:val="007B5533"/>
    <w:rsid w:val="007B6F14"/>
    <w:rsid w:val="007C0FAC"/>
    <w:rsid w:val="007C17EF"/>
    <w:rsid w:val="007C2B51"/>
    <w:rsid w:val="007C2CF9"/>
    <w:rsid w:val="007C5122"/>
    <w:rsid w:val="007C53DD"/>
    <w:rsid w:val="007C54D1"/>
    <w:rsid w:val="007C5516"/>
    <w:rsid w:val="007C7909"/>
    <w:rsid w:val="007D01FE"/>
    <w:rsid w:val="007D0835"/>
    <w:rsid w:val="007D3218"/>
    <w:rsid w:val="007D3DB9"/>
    <w:rsid w:val="007D4C81"/>
    <w:rsid w:val="007D5858"/>
    <w:rsid w:val="007D589C"/>
    <w:rsid w:val="007D6C1A"/>
    <w:rsid w:val="007D7914"/>
    <w:rsid w:val="007E0ED0"/>
    <w:rsid w:val="007E1B55"/>
    <w:rsid w:val="007E3C31"/>
    <w:rsid w:val="007E4E9A"/>
    <w:rsid w:val="007E4EF4"/>
    <w:rsid w:val="007E7DD9"/>
    <w:rsid w:val="007F17AC"/>
    <w:rsid w:val="007F1DE1"/>
    <w:rsid w:val="007F1F6F"/>
    <w:rsid w:val="007F2BEF"/>
    <w:rsid w:val="007F35BC"/>
    <w:rsid w:val="007F3C3B"/>
    <w:rsid w:val="007F79A9"/>
    <w:rsid w:val="008010EA"/>
    <w:rsid w:val="0080338E"/>
    <w:rsid w:val="008039B0"/>
    <w:rsid w:val="00805DEB"/>
    <w:rsid w:val="0080684D"/>
    <w:rsid w:val="00806BE0"/>
    <w:rsid w:val="00806C65"/>
    <w:rsid w:val="00807A07"/>
    <w:rsid w:val="00807AE6"/>
    <w:rsid w:val="00807D00"/>
    <w:rsid w:val="00810A50"/>
    <w:rsid w:val="00810BEB"/>
    <w:rsid w:val="00811309"/>
    <w:rsid w:val="00812890"/>
    <w:rsid w:val="00812A13"/>
    <w:rsid w:val="008141C7"/>
    <w:rsid w:val="00817DDE"/>
    <w:rsid w:val="00817FD3"/>
    <w:rsid w:val="00820157"/>
    <w:rsid w:val="0082060F"/>
    <w:rsid w:val="00820FAE"/>
    <w:rsid w:val="0082188E"/>
    <w:rsid w:val="00821991"/>
    <w:rsid w:val="00826AD5"/>
    <w:rsid w:val="00830F8B"/>
    <w:rsid w:val="00832943"/>
    <w:rsid w:val="00832F14"/>
    <w:rsid w:val="008350FF"/>
    <w:rsid w:val="008367A6"/>
    <w:rsid w:val="0084056A"/>
    <w:rsid w:val="00841F3A"/>
    <w:rsid w:val="008469C1"/>
    <w:rsid w:val="008503D7"/>
    <w:rsid w:val="00853818"/>
    <w:rsid w:val="00853F54"/>
    <w:rsid w:val="00854AD5"/>
    <w:rsid w:val="00854DB5"/>
    <w:rsid w:val="00854E1A"/>
    <w:rsid w:val="00855772"/>
    <w:rsid w:val="008567E8"/>
    <w:rsid w:val="008572D8"/>
    <w:rsid w:val="00860DBF"/>
    <w:rsid w:val="00862CED"/>
    <w:rsid w:val="0086601C"/>
    <w:rsid w:val="00866E58"/>
    <w:rsid w:val="00867FB4"/>
    <w:rsid w:val="00871000"/>
    <w:rsid w:val="008710EB"/>
    <w:rsid w:val="00871509"/>
    <w:rsid w:val="00872948"/>
    <w:rsid w:val="00873BC4"/>
    <w:rsid w:val="00874842"/>
    <w:rsid w:val="0087513B"/>
    <w:rsid w:val="00876531"/>
    <w:rsid w:val="008823B7"/>
    <w:rsid w:val="00885190"/>
    <w:rsid w:val="00885B23"/>
    <w:rsid w:val="00886548"/>
    <w:rsid w:val="00894699"/>
    <w:rsid w:val="00895847"/>
    <w:rsid w:val="008972A7"/>
    <w:rsid w:val="008A0BC2"/>
    <w:rsid w:val="008A1843"/>
    <w:rsid w:val="008A4FEF"/>
    <w:rsid w:val="008A578C"/>
    <w:rsid w:val="008A6005"/>
    <w:rsid w:val="008A65E9"/>
    <w:rsid w:val="008A785E"/>
    <w:rsid w:val="008A7941"/>
    <w:rsid w:val="008B3669"/>
    <w:rsid w:val="008B53E1"/>
    <w:rsid w:val="008B74A1"/>
    <w:rsid w:val="008C0929"/>
    <w:rsid w:val="008C0D1A"/>
    <w:rsid w:val="008C0F82"/>
    <w:rsid w:val="008C19C4"/>
    <w:rsid w:val="008C1DCE"/>
    <w:rsid w:val="008C575E"/>
    <w:rsid w:val="008C5FE3"/>
    <w:rsid w:val="008C6CD9"/>
    <w:rsid w:val="008C706A"/>
    <w:rsid w:val="008C7968"/>
    <w:rsid w:val="008D4F60"/>
    <w:rsid w:val="008D744C"/>
    <w:rsid w:val="008E0689"/>
    <w:rsid w:val="008E3160"/>
    <w:rsid w:val="008E5EBA"/>
    <w:rsid w:val="008E6420"/>
    <w:rsid w:val="008E6441"/>
    <w:rsid w:val="008E6D6C"/>
    <w:rsid w:val="008E7101"/>
    <w:rsid w:val="008E7C66"/>
    <w:rsid w:val="008F0EA9"/>
    <w:rsid w:val="008F112A"/>
    <w:rsid w:val="008F116E"/>
    <w:rsid w:val="008F3294"/>
    <w:rsid w:val="008F4737"/>
    <w:rsid w:val="008F538F"/>
    <w:rsid w:val="008F737B"/>
    <w:rsid w:val="0090007B"/>
    <w:rsid w:val="00900233"/>
    <w:rsid w:val="009032BE"/>
    <w:rsid w:val="00906370"/>
    <w:rsid w:val="00906757"/>
    <w:rsid w:val="00907A58"/>
    <w:rsid w:val="009100BA"/>
    <w:rsid w:val="00912AA0"/>
    <w:rsid w:val="0091356D"/>
    <w:rsid w:val="00913BE2"/>
    <w:rsid w:val="00914150"/>
    <w:rsid w:val="00915BF6"/>
    <w:rsid w:val="00915FDF"/>
    <w:rsid w:val="00916726"/>
    <w:rsid w:val="00917645"/>
    <w:rsid w:val="00920761"/>
    <w:rsid w:val="00920824"/>
    <w:rsid w:val="00921A58"/>
    <w:rsid w:val="00921E9C"/>
    <w:rsid w:val="0092238D"/>
    <w:rsid w:val="00924DE7"/>
    <w:rsid w:val="00924DEA"/>
    <w:rsid w:val="00925F51"/>
    <w:rsid w:val="0093070A"/>
    <w:rsid w:val="009338FC"/>
    <w:rsid w:val="00934D29"/>
    <w:rsid w:val="0093566D"/>
    <w:rsid w:val="00936321"/>
    <w:rsid w:val="009368AC"/>
    <w:rsid w:val="009377E4"/>
    <w:rsid w:val="00943691"/>
    <w:rsid w:val="009509BA"/>
    <w:rsid w:val="009536C2"/>
    <w:rsid w:val="00954483"/>
    <w:rsid w:val="009560A5"/>
    <w:rsid w:val="00962CB8"/>
    <w:rsid w:val="00964117"/>
    <w:rsid w:val="0096481A"/>
    <w:rsid w:val="00965487"/>
    <w:rsid w:val="00966C6E"/>
    <w:rsid w:val="00966FCF"/>
    <w:rsid w:val="00971C59"/>
    <w:rsid w:val="00974C91"/>
    <w:rsid w:val="0097519D"/>
    <w:rsid w:val="00976115"/>
    <w:rsid w:val="00984134"/>
    <w:rsid w:val="00985499"/>
    <w:rsid w:val="00985AF1"/>
    <w:rsid w:val="00987952"/>
    <w:rsid w:val="00992F7C"/>
    <w:rsid w:val="00993F31"/>
    <w:rsid w:val="00995E6C"/>
    <w:rsid w:val="009A0B2A"/>
    <w:rsid w:val="009A1D2B"/>
    <w:rsid w:val="009A4EE6"/>
    <w:rsid w:val="009A639C"/>
    <w:rsid w:val="009B2C1C"/>
    <w:rsid w:val="009B387F"/>
    <w:rsid w:val="009B43B7"/>
    <w:rsid w:val="009B5212"/>
    <w:rsid w:val="009B5C61"/>
    <w:rsid w:val="009B5F9E"/>
    <w:rsid w:val="009B675E"/>
    <w:rsid w:val="009B6FF3"/>
    <w:rsid w:val="009B7CD2"/>
    <w:rsid w:val="009C16C0"/>
    <w:rsid w:val="009C1908"/>
    <w:rsid w:val="009C1DE2"/>
    <w:rsid w:val="009C35D5"/>
    <w:rsid w:val="009C511F"/>
    <w:rsid w:val="009C72A0"/>
    <w:rsid w:val="009D0DC7"/>
    <w:rsid w:val="009D2E0E"/>
    <w:rsid w:val="009D30B4"/>
    <w:rsid w:val="009D3D34"/>
    <w:rsid w:val="009D57CD"/>
    <w:rsid w:val="009D60FA"/>
    <w:rsid w:val="009D78ED"/>
    <w:rsid w:val="009E3296"/>
    <w:rsid w:val="009E36AB"/>
    <w:rsid w:val="009E5BB1"/>
    <w:rsid w:val="009E755F"/>
    <w:rsid w:val="009F29C0"/>
    <w:rsid w:val="009F718B"/>
    <w:rsid w:val="00A057D0"/>
    <w:rsid w:val="00A061AA"/>
    <w:rsid w:val="00A06DEC"/>
    <w:rsid w:val="00A1082C"/>
    <w:rsid w:val="00A1169B"/>
    <w:rsid w:val="00A11A7E"/>
    <w:rsid w:val="00A12EA1"/>
    <w:rsid w:val="00A1342D"/>
    <w:rsid w:val="00A13B2B"/>
    <w:rsid w:val="00A13ECF"/>
    <w:rsid w:val="00A146AC"/>
    <w:rsid w:val="00A14FBB"/>
    <w:rsid w:val="00A16AF4"/>
    <w:rsid w:val="00A179AA"/>
    <w:rsid w:val="00A22286"/>
    <w:rsid w:val="00A22467"/>
    <w:rsid w:val="00A22EB3"/>
    <w:rsid w:val="00A2412D"/>
    <w:rsid w:val="00A30A02"/>
    <w:rsid w:val="00A31393"/>
    <w:rsid w:val="00A324DB"/>
    <w:rsid w:val="00A334DE"/>
    <w:rsid w:val="00A347DD"/>
    <w:rsid w:val="00A34935"/>
    <w:rsid w:val="00A34C20"/>
    <w:rsid w:val="00A35F63"/>
    <w:rsid w:val="00A37930"/>
    <w:rsid w:val="00A40F63"/>
    <w:rsid w:val="00A4265E"/>
    <w:rsid w:val="00A42E89"/>
    <w:rsid w:val="00A500F0"/>
    <w:rsid w:val="00A50540"/>
    <w:rsid w:val="00A51065"/>
    <w:rsid w:val="00A51299"/>
    <w:rsid w:val="00A51F2C"/>
    <w:rsid w:val="00A55004"/>
    <w:rsid w:val="00A6231E"/>
    <w:rsid w:val="00A62BAC"/>
    <w:rsid w:val="00A63EA9"/>
    <w:rsid w:val="00A65906"/>
    <w:rsid w:val="00A67735"/>
    <w:rsid w:val="00A67C26"/>
    <w:rsid w:val="00A67CB8"/>
    <w:rsid w:val="00A719AA"/>
    <w:rsid w:val="00A73ABC"/>
    <w:rsid w:val="00A74DFC"/>
    <w:rsid w:val="00A8096D"/>
    <w:rsid w:val="00A80A9A"/>
    <w:rsid w:val="00A81BF6"/>
    <w:rsid w:val="00A82FEF"/>
    <w:rsid w:val="00A85B30"/>
    <w:rsid w:val="00A85B59"/>
    <w:rsid w:val="00A86371"/>
    <w:rsid w:val="00A914BC"/>
    <w:rsid w:val="00A92DA9"/>
    <w:rsid w:val="00A93235"/>
    <w:rsid w:val="00A93BEA"/>
    <w:rsid w:val="00A955FD"/>
    <w:rsid w:val="00AA3ED7"/>
    <w:rsid w:val="00AA3FE2"/>
    <w:rsid w:val="00AA5428"/>
    <w:rsid w:val="00AA55DD"/>
    <w:rsid w:val="00AA7915"/>
    <w:rsid w:val="00AB1C1A"/>
    <w:rsid w:val="00AB2B5A"/>
    <w:rsid w:val="00AB34F8"/>
    <w:rsid w:val="00AB406C"/>
    <w:rsid w:val="00AB541B"/>
    <w:rsid w:val="00AB78B8"/>
    <w:rsid w:val="00AB7BCB"/>
    <w:rsid w:val="00AB7FA9"/>
    <w:rsid w:val="00AC3DDB"/>
    <w:rsid w:val="00AC6555"/>
    <w:rsid w:val="00AC66FC"/>
    <w:rsid w:val="00AC67BA"/>
    <w:rsid w:val="00AC72BC"/>
    <w:rsid w:val="00AC73A3"/>
    <w:rsid w:val="00AD1DCF"/>
    <w:rsid w:val="00AD39F0"/>
    <w:rsid w:val="00AD4D12"/>
    <w:rsid w:val="00AD70D4"/>
    <w:rsid w:val="00AE0C62"/>
    <w:rsid w:val="00AE1FF5"/>
    <w:rsid w:val="00AE2BE8"/>
    <w:rsid w:val="00AE5370"/>
    <w:rsid w:val="00AE6050"/>
    <w:rsid w:val="00AE732F"/>
    <w:rsid w:val="00AF24D5"/>
    <w:rsid w:val="00AF3988"/>
    <w:rsid w:val="00B01EFE"/>
    <w:rsid w:val="00B04781"/>
    <w:rsid w:val="00B05AB4"/>
    <w:rsid w:val="00B05CDA"/>
    <w:rsid w:val="00B07ADD"/>
    <w:rsid w:val="00B105DB"/>
    <w:rsid w:val="00B10F47"/>
    <w:rsid w:val="00B1275E"/>
    <w:rsid w:val="00B13BF6"/>
    <w:rsid w:val="00B1440A"/>
    <w:rsid w:val="00B17C15"/>
    <w:rsid w:val="00B234A4"/>
    <w:rsid w:val="00B23EDF"/>
    <w:rsid w:val="00B241F6"/>
    <w:rsid w:val="00B32559"/>
    <w:rsid w:val="00B33582"/>
    <w:rsid w:val="00B3507F"/>
    <w:rsid w:val="00B35847"/>
    <w:rsid w:val="00B35ADF"/>
    <w:rsid w:val="00B366C8"/>
    <w:rsid w:val="00B40251"/>
    <w:rsid w:val="00B403AE"/>
    <w:rsid w:val="00B40EDC"/>
    <w:rsid w:val="00B41C40"/>
    <w:rsid w:val="00B42456"/>
    <w:rsid w:val="00B440AE"/>
    <w:rsid w:val="00B446A9"/>
    <w:rsid w:val="00B47056"/>
    <w:rsid w:val="00B47F0A"/>
    <w:rsid w:val="00B50678"/>
    <w:rsid w:val="00B5075C"/>
    <w:rsid w:val="00B5179D"/>
    <w:rsid w:val="00B53E51"/>
    <w:rsid w:val="00B55D5B"/>
    <w:rsid w:val="00B61506"/>
    <w:rsid w:val="00B61EC9"/>
    <w:rsid w:val="00B64AE0"/>
    <w:rsid w:val="00B65478"/>
    <w:rsid w:val="00B65A55"/>
    <w:rsid w:val="00B65B7B"/>
    <w:rsid w:val="00B71FE1"/>
    <w:rsid w:val="00B72056"/>
    <w:rsid w:val="00B730CA"/>
    <w:rsid w:val="00B739A4"/>
    <w:rsid w:val="00B759BC"/>
    <w:rsid w:val="00B75DEC"/>
    <w:rsid w:val="00B77454"/>
    <w:rsid w:val="00B77FB7"/>
    <w:rsid w:val="00B80CE1"/>
    <w:rsid w:val="00B81973"/>
    <w:rsid w:val="00B842E2"/>
    <w:rsid w:val="00B9052E"/>
    <w:rsid w:val="00B93764"/>
    <w:rsid w:val="00B94AE0"/>
    <w:rsid w:val="00B957B5"/>
    <w:rsid w:val="00BA1C27"/>
    <w:rsid w:val="00BA34FC"/>
    <w:rsid w:val="00BA7B77"/>
    <w:rsid w:val="00BB2227"/>
    <w:rsid w:val="00BB2CA3"/>
    <w:rsid w:val="00BB3FA7"/>
    <w:rsid w:val="00BB40FC"/>
    <w:rsid w:val="00BB5F96"/>
    <w:rsid w:val="00BB643E"/>
    <w:rsid w:val="00BB69B3"/>
    <w:rsid w:val="00BB69BA"/>
    <w:rsid w:val="00BB7D20"/>
    <w:rsid w:val="00BC2495"/>
    <w:rsid w:val="00BC6B0D"/>
    <w:rsid w:val="00BD0E7B"/>
    <w:rsid w:val="00BD2A77"/>
    <w:rsid w:val="00BD4386"/>
    <w:rsid w:val="00BD52F8"/>
    <w:rsid w:val="00BE05EF"/>
    <w:rsid w:val="00BE5CAC"/>
    <w:rsid w:val="00BE6750"/>
    <w:rsid w:val="00BE683A"/>
    <w:rsid w:val="00BE7341"/>
    <w:rsid w:val="00BE79BB"/>
    <w:rsid w:val="00BF1178"/>
    <w:rsid w:val="00BF2A2F"/>
    <w:rsid w:val="00BF5E16"/>
    <w:rsid w:val="00BF63A9"/>
    <w:rsid w:val="00C0052D"/>
    <w:rsid w:val="00C0145E"/>
    <w:rsid w:val="00C02EAD"/>
    <w:rsid w:val="00C03451"/>
    <w:rsid w:val="00C0455C"/>
    <w:rsid w:val="00C05E08"/>
    <w:rsid w:val="00C079A6"/>
    <w:rsid w:val="00C11148"/>
    <w:rsid w:val="00C147F6"/>
    <w:rsid w:val="00C14C65"/>
    <w:rsid w:val="00C15355"/>
    <w:rsid w:val="00C166A6"/>
    <w:rsid w:val="00C20CAA"/>
    <w:rsid w:val="00C27020"/>
    <w:rsid w:val="00C27B19"/>
    <w:rsid w:val="00C30E76"/>
    <w:rsid w:val="00C3281C"/>
    <w:rsid w:val="00C33F21"/>
    <w:rsid w:val="00C35FB8"/>
    <w:rsid w:val="00C363C9"/>
    <w:rsid w:val="00C401DE"/>
    <w:rsid w:val="00C44F57"/>
    <w:rsid w:val="00C451D7"/>
    <w:rsid w:val="00C464C0"/>
    <w:rsid w:val="00C50843"/>
    <w:rsid w:val="00C5132F"/>
    <w:rsid w:val="00C5173E"/>
    <w:rsid w:val="00C52209"/>
    <w:rsid w:val="00C53EAE"/>
    <w:rsid w:val="00C53F6B"/>
    <w:rsid w:val="00C54743"/>
    <w:rsid w:val="00C54749"/>
    <w:rsid w:val="00C55A8F"/>
    <w:rsid w:val="00C55DDF"/>
    <w:rsid w:val="00C55E04"/>
    <w:rsid w:val="00C5609E"/>
    <w:rsid w:val="00C56446"/>
    <w:rsid w:val="00C5693D"/>
    <w:rsid w:val="00C5704D"/>
    <w:rsid w:val="00C57D33"/>
    <w:rsid w:val="00C60541"/>
    <w:rsid w:val="00C607FB"/>
    <w:rsid w:val="00C61350"/>
    <w:rsid w:val="00C6586B"/>
    <w:rsid w:val="00C6747A"/>
    <w:rsid w:val="00C67EC1"/>
    <w:rsid w:val="00C70B7F"/>
    <w:rsid w:val="00C710CA"/>
    <w:rsid w:val="00C72016"/>
    <w:rsid w:val="00C72DF6"/>
    <w:rsid w:val="00C72E17"/>
    <w:rsid w:val="00C75BCE"/>
    <w:rsid w:val="00C774D1"/>
    <w:rsid w:val="00C77A9D"/>
    <w:rsid w:val="00C80440"/>
    <w:rsid w:val="00C805AD"/>
    <w:rsid w:val="00C80A40"/>
    <w:rsid w:val="00C815B2"/>
    <w:rsid w:val="00C82591"/>
    <w:rsid w:val="00C82D04"/>
    <w:rsid w:val="00C87473"/>
    <w:rsid w:val="00C87B68"/>
    <w:rsid w:val="00C92605"/>
    <w:rsid w:val="00C93A0B"/>
    <w:rsid w:val="00C93ADC"/>
    <w:rsid w:val="00C93B0B"/>
    <w:rsid w:val="00C93C62"/>
    <w:rsid w:val="00C93CCD"/>
    <w:rsid w:val="00C966A1"/>
    <w:rsid w:val="00C96CBC"/>
    <w:rsid w:val="00CA1BD0"/>
    <w:rsid w:val="00CA2F83"/>
    <w:rsid w:val="00CA35A2"/>
    <w:rsid w:val="00CA3DA1"/>
    <w:rsid w:val="00CA645C"/>
    <w:rsid w:val="00CB02A4"/>
    <w:rsid w:val="00CB5F46"/>
    <w:rsid w:val="00CB6D7C"/>
    <w:rsid w:val="00CB7B41"/>
    <w:rsid w:val="00CC163A"/>
    <w:rsid w:val="00CC235A"/>
    <w:rsid w:val="00CC55E8"/>
    <w:rsid w:val="00CC706E"/>
    <w:rsid w:val="00CC78E5"/>
    <w:rsid w:val="00CD089D"/>
    <w:rsid w:val="00CD28C5"/>
    <w:rsid w:val="00CD38CE"/>
    <w:rsid w:val="00CD76CE"/>
    <w:rsid w:val="00CE2114"/>
    <w:rsid w:val="00CE26F4"/>
    <w:rsid w:val="00CE3686"/>
    <w:rsid w:val="00CE65C7"/>
    <w:rsid w:val="00CE7217"/>
    <w:rsid w:val="00CF2144"/>
    <w:rsid w:val="00CF2E4E"/>
    <w:rsid w:val="00CF35EE"/>
    <w:rsid w:val="00CF4DC8"/>
    <w:rsid w:val="00CF5296"/>
    <w:rsid w:val="00CF7182"/>
    <w:rsid w:val="00D01BF8"/>
    <w:rsid w:val="00D0431D"/>
    <w:rsid w:val="00D07E37"/>
    <w:rsid w:val="00D07FBA"/>
    <w:rsid w:val="00D101D2"/>
    <w:rsid w:val="00D10998"/>
    <w:rsid w:val="00D10D0B"/>
    <w:rsid w:val="00D11166"/>
    <w:rsid w:val="00D11BD7"/>
    <w:rsid w:val="00D15AE6"/>
    <w:rsid w:val="00D175BB"/>
    <w:rsid w:val="00D17803"/>
    <w:rsid w:val="00D216B5"/>
    <w:rsid w:val="00D22222"/>
    <w:rsid w:val="00D2366C"/>
    <w:rsid w:val="00D23C7D"/>
    <w:rsid w:val="00D23EC1"/>
    <w:rsid w:val="00D24B3D"/>
    <w:rsid w:val="00D25192"/>
    <w:rsid w:val="00D277D3"/>
    <w:rsid w:val="00D27C21"/>
    <w:rsid w:val="00D31711"/>
    <w:rsid w:val="00D31903"/>
    <w:rsid w:val="00D331C6"/>
    <w:rsid w:val="00D33660"/>
    <w:rsid w:val="00D35FE7"/>
    <w:rsid w:val="00D36363"/>
    <w:rsid w:val="00D36BE5"/>
    <w:rsid w:val="00D37D7A"/>
    <w:rsid w:val="00D414E1"/>
    <w:rsid w:val="00D47311"/>
    <w:rsid w:val="00D5239B"/>
    <w:rsid w:val="00D52DED"/>
    <w:rsid w:val="00D53F87"/>
    <w:rsid w:val="00D5443D"/>
    <w:rsid w:val="00D54AD9"/>
    <w:rsid w:val="00D562C6"/>
    <w:rsid w:val="00D57CA3"/>
    <w:rsid w:val="00D62111"/>
    <w:rsid w:val="00D62EC5"/>
    <w:rsid w:val="00D6542C"/>
    <w:rsid w:val="00D71BC1"/>
    <w:rsid w:val="00D7458E"/>
    <w:rsid w:val="00D75246"/>
    <w:rsid w:val="00D7545B"/>
    <w:rsid w:val="00D76D52"/>
    <w:rsid w:val="00D77589"/>
    <w:rsid w:val="00D777C2"/>
    <w:rsid w:val="00D8051F"/>
    <w:rsid w:val="00D84542"/>
    <w:rsid w:val="00D86E37"/>
    <w:rsid w:val="00D87424"/>
    <w:rsid w:val="00D91073"/>
    <w:rsid w:val="00D92AF9"/>
    <w:rsid w:val="00D934FF"/>
    <w:rsid w:val="00DA0061"/>
    <w:rsid w:val="00DA17AA"/>
    <w:rsid w:val="00DA17C9"/>
    <w:rsid w:val="00DA46EA"/>
    <w:rsid w:val="00DA48AA"/>
    <w:rsid w:val="00DB151D"/>
    <w:rsid w:val="00DB35DC"/>
    <w:rsid w:val="00DB3EA7"/>
    <w:rsid w:val="00DB60A1"/>
    <w:rsid w:val="00DB6244"/>
    <w:rsid w:val="00DB7D19"/>
    <w:rsid w:val="00DB7F8A"/>
    <w:rsid w:val="00DC13F6"/>
    <w:rsid w:val="00DC1C88"/>
    <w:rsid w:val="00DC3AB7"/>
    <w:rsid w:val="00DC3CF2"/>
    <w:rsid w:val="00DC6020"/>
    <w:rsid w:val="00DD338D"/>
    <w:rsid w:val="00DD3C2B"/>
    <w:rsid w:val="00DD5E70"/>
    <w:rsid w:val="00DD7514"/>
    <w:rsid w:val="00DE0473"/>
    <w:rsid w:val="00DE100C"/>
    <w:rsid w:val="00DE3247"/>
    <w:rsid w:val="00DE5AFF"/>
    <w:rsid w:val="00DE7A07"/>
    <w:rsid w:val="00DF02C1"/>
    <w:rsid w:val="00DF050C"/>
    <w:rsid w:val="00DF0944"/>
    <w:rsid w:val="00DF3BE2"/>
    <w:rsid w:val="00E008D8"/>
    <w:rsid w:val="00E00C97"/>
    <w:rsid w:val="00E048CC"/>
    <w:rsid w:val="00E06530"/>
    <w:rsid w:val="00E06863"/>
    <w:rsid w:val="00E103FB"/>
    <w:rsid w:val="00E112AC"/>
    <w:rsid w:val="00E1162B"/>
    <w:rsid w:val="00E11D5B"/>
    <w:rsid w:val="00E14CF4"/>
    <w:rsid w:val="00E161AD"/>
    <w:rsid w:val="00E20BEF"/>
    <w:rsid w:val="00E21861"/>
    <w:rsid w:val="00E223B5"/>
    <w:rsid w:val="00E22705"/>
    <w:rsid w:val="00E230F6"/>
    <w:rsid w:val="00E27374"/>
    <w:rsid w:val="00E2745C"/>
    <w:rsid w:val="00E308F9"/>
    <w:rsid w:val="00E320AF"/>
    <w:rsid w:val="00E32D03"/>
    <w:rsid w:val="00E33B57"/>
    <w:rsid w:val="00E35684"/>
    <w:rsid w:val="00E360F6"/>
    <w:rsid w:val="00E36BBC"/>
    <w:rsid w:val="00E3736E"/>
    <w:rsid w:val="00E41B82"/>
    <w:rsid w:val="00E41B88"/>
    <w:rsid w:val="00E41F86"/>
    <w:rsid w:val="00E44081"/>
    <w:rsid w:val="00E451F9"/>
    <w:rsid w:val="00E45A1B"/>
    <w:rsid w:val="00E47698"/>
    <w:rsid w:val="00E50F53"/>
    <w:rsid w:val="00E52036"/>
    <w:rsid w:val="00E5359E"/>
    <w:rsid w:val="00E5390D"/>
    <w:rsid w:val="00E55C2B"/>
    <w:rsid w:val="00E55E80"/>
    <w:rsid w:val="00E5613F"/>
    <w:rsid w:val="00E57372"/>
    <w:rsid w:val="00E601A8"/>
    <w:rsid w:val="00E63F19"/>
    <w:rsid w:val="00E64505"/>
    <w:rsid w:val="00E66248"/>
    <w:rsid w:val="00E662F6"/>
    <w:rsid w:val="00E6662A"/>
    <w:rsid w:val="00E7205E"/>
    <w:rsid w:val="00E763A5"/>
    <w:rsid w:val="00E80ECE"/>
    <w:rsid w:val="00E83A55"/>
    <w:rsid w:val="00E8438E"/>
    <w:rsid w:val="00E92359"/>
    <w:rsid w:val="00E96318"/>
    <w:rsid w:val="00EA0696"/>
    <w:rsid w:val="00EA1D0B"/>
    <w:rsid w:val="00EA29EB"/>
    <w:rsid w:val="00EA2A62"/>
    <w:rsid w:val="00EA5509"/>
    <w:rsid w:val="00EA5912"/>
    <w:rsid w:val="00EA5A27"/>
    <w:rsid w:val="00EA66FB"/>
    <w:rsid w:val="00EA6A8C"/>
    <w:rsid w:val="00EB0B94"/>
    <w:rsid w:val="00EB1DFF"/>
    <w:rsid w:val="00EB4E47"/>
    <w:rsid w:val="00EB6B80"/>
    <w:rsid w:val="00EB71B7"/>
    <w:rsid w:val="00EB74A7"/>
    <w:rsid w:val="00EB7732"/>
    <w:rsid w:val="00EC31ED"/>
    <w:rsid w:val="00EC3F33"/>
    <w:rsid w:val="00EC63F4"/>
    <w:rsid w:val="00ED1B58"/>
    <w:rsid w:val="00ED38C2"/>
    <w:rsid w:val="00ED4A1E"/>
    <w:rsid w:val="00ED534B"/>
    <w:rsid w:val="00ED6CF3"/>
    <w:rsid w:val="00EE01C3"/>
    <w:rsid w:val="00EE1CC4"/>
    <w:rsid w:val="00EE2FAA"/>
    <w:rsid w:val="00EE32C4"/>
    <w:rsid w:val="00EE330D"/>
    <w:rsid w:val="00EE6881"/>
    <w:rsid w:val="00EE6EF7"/>
    <w:rsid w:val="00EF06C9"/>
    <w:rsid w:val="00EF0DC9"/>
    <w:rsid w:val="00EF57DF"/>
    <w:rsid w:val="00EF63FD"/>
    <w:rsid w:val="00F019FE"/>
    <w:rsid w:val="00F02D7D"/>
    <w:rsid w:val="00F06BA6"/>
    <w:rsid w:val="00F10399"/>
    <w:rsid w:val="00F11866"/>
    <w:rsid w:val="00F123BD"/>
    <w:rsid w:val="00F12F60"/>
    <w:rsid w:val="00F156CE"/>
    <w:rsid w:val="00F15B91"/>
    <w:rsid w:val="00F16627"/>
    <w:rsid w:val="00F16654"/>
    <w:rsid w:val="00F16F68"/>
    <w:rsid w:val="00F17283"/>
    <w:rsid w:val="00F2082C"/>
    <w:rsid w:val="00F21E2B"/>
    <w:rsid w:val="00F22303"/>
    <w:rsid w:val="00F24E41"/>
    <w:rsid w:val="00F24EC8"/>
    <w:rsid w:val="00F257B8"/>
    <w:rsid w:val="00F25904"/>
    <w:rsid w:val="00F3070C"/>
    <w:rsid w:val="00F339BF"/>
    <w:rsid w:val="00F33B17"/>
    <w:rsid w:val="00F33FEB"/>
    <w:rsid w:val="00F36D2B"/>
    <w:rsid w:val="00F416FB"/>
    <w:rsid w:val="00F428CA"/>
    <w:rsid w:val="00F429E3"/>
    <w:rsid w:val="00F43041"/>
    <w:rsid w:val="00F441E4"/>
    <w:rsid w:val="00F44972"/>
    <w:rsid w:val="00F46BB6"/>
    <w:rsid w:val="00F5007B"/>
    <w:rsid w:val="00F52A41"/>
    <w:rsid w:val="00F53E24"/>
    <w:rsid w:val="00F549F1"/>
    <w:rsid w:val="00F55138"/>
    <w:rsid w:val="00F55A8A"/>
    <w:rsid w:val="00F577A3"/>
    <w:rsid w:val="00F6229E"/>
    <w:rsid w:val="00F64395"/>
    <w:rsid w:val="00F662A2"/>
    <w:rsid w:val="00F67699"/>
    <w:rsid w:val="00F72284"/>
    <w:rsid w:val="00F725EA"/>
    <w:rsid w:val="00F7288C"/>
    <w:rsid w:val="00F77459"/>
    <w:rsid w:val="00F77EC6"/>
    <w:rsid w:val="00F80442"/>
    <w:rsid w:val="00F80CBD"/>
    <w:rsid w:val="00F81252"/>
    <w:rsid w:val="00F85A13"/>
    <w:rsid w:val="00F9180D"/>
    <w:rsid w:val="00F9445E"/>
    <w:rsid w:val="00FA100A"/>
    <w:rsid w:val="00FA1621"/>
    <w:rsid w:val="00FA1974"/>
    <w:rsid w:val="00FA6D25"/>
    <w:rsid w:val="00FB003A"/>
    <w:rsid w:val="00FB121B"/>
    <w:rsid w:val="00FB1318"/>
    <w:rsid w:val="00FB4D1F"/>
    <w:rsid w:val="00FB6422"/>
    <w:rsid w:val="00FB78BD"/>
    <w:rsid w:val="00FC01BB"/>
    <w:rsid w:val="00FC0434"/>
    <w:rsid w:val="00FC3710"/>
    <w:rsid w:val="00FC480B"/>
    <w:rsid w:val="00FC4BC8"/>
    <w:rsid w:val="00FC52EC"/>
    <w:rsid w:val="00FC6267"/>
    <w:rsid w:val="00FD2BB1"/>
    <w:rsid w:val="00FD3161"/>
    <w:rsid w:val="00FD31D3"/>
    <w:rsid w:val="00FD376F"/>
    <w:rsid w:val="00FD47B9"/>
    <w:rsid w:val="00FD4CCE"/>
    <w:rsid w:val="00FD546B"/>
    <w:rsid w:val="00FD7587"/>
    <w:rsid w:val="00FE0C27"/>
    <w:rsid w:val="00FE3E8A"/>
    <w:rsid w:val="00FE5758"/>
    <w:rsid w:val="00FE57A5"/>
    <w:rsid w:val="00FE5AD5"/>
    <w:rsid w:val="00FE6A8B"/>
    <w:rsid w:val="00FF0686"/>
    <w:rsid w:val="00FF098B"/>
    <w:rsid w:val="00FF161A"/>
    <w:rsid w:val="00FF6188"/>
    <w:rsid w:val="00FF6548"/>
    <w:rsid w:val="00FF683D"/>
    <w:rsid w:val="00FF71FD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424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45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50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73C8"/>
    <w:rPr>
      <w:color w:val="0000FF"/>
      <w:u w:val="single"/>
    </w:rPr>
  </w:style>
  <w:style w:type="paragraph" w:styleId="BalloonText">
    <w:name w:val="Balloon Text"/>
    <w:basedOn w:val="Normal"/>
    <w:semiHidden/>
    <w:rsid w:val="00F662A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D0E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6A0F72"/>
    <w:pPr>
      <w:spacing w:line="360" w:lineRule="auto"/>
      <w:jc w:val="both"/>
    </w:pPr>
    <w:rPr>
      <w:rFonts w:ascii="Arial" w:hAnsi="Arial"/>
      <w:b/>
      <w:snapToGrid w:val="0"/>
      <w:sz w:val="22"/>
      <w:szCs w:val="20"/>
      <w:lang w:eastAsia="en-US"/>
    </w:rPr>
  </w:style>
  <w:style w:type="paragraph" w:styleId="Caption">
    <w:name w:val="caption"/>
    <w:basedOn w:val="Normal"/>
    <w:next w:val="Normal"/>
    <w:qFormat/>
    <w:rsid w:val="002E5440"/>
    <w:pPr>
      <w:spacing w:after="240" w:line="360" w:lineRule="auto"/>
      <w:ind w:left="851" w:hanging="851"/>
    </w:pPr>
    <w:rPr>
      <w:rFonts w:ascii="Arial" w:hAnsi="Arial"/>
      <w:i/>
      <w:sz w:val="22"/>
      <w:szCs w:val="22"/>
      <w:lang w:eastAsia="en-US"/>
    </w:rPr>
  </w:style>
  <w:style w:type="paragraph" w:styleId="FootnoteText">
    <w:name w:val="footnote text"/>
    <w:basedOn w:val="Normal"/>
    <w:semiHidden/>
    <w:rsid w:val="00921A58"/>
    <w:rPr>
      <w:sz w:val="20"/>
      <w:szCs w:val="20"/>
    </w:rPr>
  </w:style>
  <w:style w:type="character" w:styleId="FootnoteReference">
    <w:name w:val="footnote reference"/>
    <w:semiHidden/>
    <w:rsid w:val="00921A58"/>
    <w:rPr>
      <w:vertAlign w:val="superscript"/>
    </w:rPr>
  </w:style>
  <w:style w:type="character" w:styleId="CommentReference">
    <w:name w:val="annotation reference"/>
    <w:semiHidden/>
    <w:rsid w:val="006A52E5"/>
    <w:rPr>
      <w:sz w:val="16"/>
      <w:szCs w:val="16"/>
    </w:rPr>
  </w:style>
  <w:style w:type="paragraph" w:styleId="CommentText">
    <w:name w:val="annotation text"/>
    <w:basedOn w:val="Normal"/>
    <w:semiHidden/>
    <w:rsid w:val="006A52E5"/>
    <w:rPr>
      <w:sz w:val="20"/>
      <w:szCs w:val="20"/>
    </w:rPr>
  </w:style>
  <w:style w:type="character" w:customStyle="1" w:styleId="HeaderChar">
    <w:name w:val="Header Char"/>
    <w:link w:val="Header"/>
    <w:rsid w:val="005D675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424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45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50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73C8"/>
    <w:rPr>
      <w:color w:val="0000FF"/>
      <w:u w:val="single"/>
    </w:rPr>
  </w:style>
  <w:style w:type="paragraph" w:styleId="BalloonText">
    <w:name w:val="Balloon Text"/>
    <w:basedOn w:val="Normal"/>
    <w:semiHidden/>
    <w:rsid w:val="00F662A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D0E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6A0F72"/>
    <w:pPr>
      <w:spacing w:line="360" w:lineRule="auto"/>
      <w:jc w:val="both"/>
    </w:pPr>
    <w:rPr>
      <w:rFonts w:ascii="Arial" w:hAnsi="Arial"/>
      <w:b/>
      <w:snapToGrid w:val="0"/>
      <w:sz w:val="22"/>
      <w:szCs w:val="20"/>
      <w:lang w:eastAsia="en-US"/>
    </w:rPr>
  </w:style>
  <w:style w:type="paragraph" w:styleId="Caption">
    <w:name w:val="caption"/>
    <w:basedOn w:val="Normal"/>
    <w:next w:val="Normal"/>
    <w:qFormat/>
    <w:rsid w:val="002E5440"/>
    <w:pPr>
      <w:spacing w:after="240" w:line="360" w:lineRule="auto"/>
      <w:ind w:left="851" w:hanging="851"/>
    </w:pPr>
    <w:rPr>
      <w:rFonts w:ascii="Arial" w:hAnsi="Arial"/>
      <w:i/>
      <w:sz w:val="22"/>
      <w:szCs w:val="22"/>
      <w:lang w:eastAsia="en-US"/>
    </w:rPr>
  </w:style>
  <w:style w:type="paragraph" w:styleId="FootnoteText">
    <w:name w:val="footnote text"/>
    <w:basedOn w:val="Normal"/>
    <w:semiHidden/>
    <w:rsid w:val="00921A58"/>
    <w:rPr>
      <w:sz w:val="20"/>
      <w:szCs w:val="20"/>
    </w:rPr>
  </w:style>
  <w:style w:type="character" w:styleId="FootnoteReference">
    <w:name w:val="footnote reference"/>
    <w:semiHidden/>
    <w:rsid w:val="00921A58"/>
    <w:rPr>
      <w:vertAlign w:val="superscript"/>
    </w:rPr>
  </w:style>
  <w:style w:type="character" w:styleId="CommentReference">
    <w:name w:val="annotation reference"/>
    <w:semiHidden/>
    <w:rsid w:val="006A52E5"/>
    <w:rPr>
      <w:sz w:val="16"/>
      <w:szCs w:val="16"/>
    </w:rPr>
  </w:style>
  <w:style w:type="paragraph" w:styleId="CommentText">
    <w:name w:val="annotation text"/>
    <w:basedOn w:val="Normal"/>
    <w:semiHidden/>
    <w:rsid w:val="006A52E5"/>
    <w:rPr>
      <w:sz w:val="20"/>
      <w:szCs w:val="20"/>
    </w:rPr>
  </w:style>
  <w:style w:type="character" w:customStyle="1" w:styleId="HeaderChar">
    <w:name w:val="Header Char"/>
    <w:link w:val="Header"/>
    <w:rsid w:val="005D67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>Ελληνικά Χρηματιστήρια Α.Ε.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E.Koraka - E.Chorianopoulou</dc:creator>
  <cp:lastModifiedBy>Chorianopoulou, Irini</cp:lastModifiedBy>
  <cp:revision>2</cp:revision>
  <cp:lastPrinted>2016-02-05T14:18:00Z</cp:lastPrinted>
  <dcterms:created xsi:type="dcterms:W3CDTF">2016-02-08T07:47:00Z</dcterms:created>
  <dcterms:modified xsi:type="dcterms:W3CDTF">2016-02-08T07:47:00Z</dcterms:modified>
</cp:coreProperties>
</file>