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1DB" w:rsidRPr="00F31B28" w:rsidRDefault="00AA11DB" w:rsidP="00D7699C">
      <w:pPr>
        <w:spacing w:before="240" w:after="120"/>
        <w:outlineLvl w:val="0"/>
        <w:rPr>
          <w:rFonts w:ascii="Calibri" w:hAnsi="Calibri" w:cs="Tahoma"/>
          <w:b/>
          <w:sz w:val="32"/>
          <w:szCs w:val="32"/>
        </w:rPr>
      </w:pPr>
      <w:bookmarkStart w:id="0" w:name="_GoBack"/>
      <w:bookmarkEnd w:id="0"/>
      <w:r w:rsidRPr="00F31B28">
        <w:rPr>
          <w:rFonts w:ascii="Calibri" w:hAnsi="Calibri" w:cs="Tahoma"/>
          <w:b/>
          <w:sz w:val="32"/>
          <w:szCs w:val="32"/>
        </w:rPr>
        <w:t xml:space="preserve">Μηνιαία Έκδοση </w:t>
      </w:r>
      <w:r w:rsidR="008274AA" w:rsidRPr="00F31B28">
        <w:rPr>
          <w:rFonts w:ascii="Calibri" w:hAnsi="Calibri" w:cs="Tahoma"/>
          <w:b/>
          <w:sz w:val="32"/>
          <w:szCs w:val="32"/>
          <w:lang w:val="en-US"/>
        </w:rPr>
        <w:t>A</w:t>
      </w:r>
      <w:r w:rsidR="008274AA" w:rsidRPr="00F31B28">
        <w:rPr>
          <w:rFonts w:ascii="Calibri" w:hAnsi="Calibri" w:cs="Tahoma"/>
          <w:b/>
          <w:sz w:val="32"/>
          <w:szCs w:val="32"/>
        </w:rPr>
        <w:t>ξ</w:t>
      </w:r>
      <w:r w:rsidR="008274AA" w:rsidRPr="00F31B28">
        <w:rPr>
          <w:rFonts w:ascii="Calibri" w:hAnsi="Calibri" w:cs="Tahoma"/>
          <w:b/>
          <w:sz w:val="32"/>
          <w:szCs w:val="32"/>
          <w:lang w:val="en-US"/>
        </w:rPr>
        <w:t>IAnumbers</w:t>
      </w:r>
    </w:p>
    <w:p w:rsidR="003E405A" w:rsidRPr="005E0BCD" w:rsidRDefault="00440FB4" w:rsidP="003E405A">
      <w:pPr>
        <w:spacing w:after="120"/>
        <w:jc w:val="both"/>
        <w:rPr>
          <w:rFonts w:ascii="Calibri" w:hAnsi="Calibri" w:cs="Tahoma"/>
          <w:b/>
          <w:bCs/>
          <w:sz w:val="22"/>
          <w:szCs w:val="22"/>
        </w:rPr>
      </w:pPr>
      <w:r w:rsidRPr="00440FB4">
        <w:rPr>
          <w:rFonts w:ascii="Calibri" w:hAnsi="Calibri" w:cs="Tahoma"/>
          <w:b/>
          <w:bCs/>
          <w:sz w:val="22"/>
          <w:szCs w:val="22"/>
        </w:rPr>
        <w:t>4</w:t>
      </w:r>
      <w:r w:rsidR="00E94BA9" w:rsidRPr="00E94BA9">
        <w:rPr>
          <w:rFonts w:ascii="Calibri" w:hAnsi="Calibri" w:cs="Tahoma"/>
          <w:b/>
          <w:bCs/>
          <w:sz w:val="22"/>
          <w:szCs w:val="22"/>
        </w:rPr>
        <w:t xml:space="preserve"> </w:t>
      </w:r>
      <w:r>
        <w:rPr>
          <w:rFonts w:ascii="Calibri" w:hAnsi="Calibri" w:cs="Tahoma"/>
          <w:b/>
          <w:bCs/>
          <w:sz w:val="22"/>
          <w:szCs w:val="22"/>
        </w:rPr>
        <w:t>Φεβρουαρίου</w:t>
      </w:r>
      <w:r w:rsidR="00BB4010">
        <w:rPr>
          <w:rFonts w:ascii="Calibri" w:hAnsi="Calibri" w:cs="Tahoma"/>
          <w:b/>
          <w:bCs/>
          <w:sz w:val="22"/>
          <w:szCs w:val="22"/>
        </w:rPr>
        <w:t xml:space="preserve"> 201</w:t>
      </w:r>
      <w:r>
        <w:rPr>
          <w:rFonts w:ascii="Calibri" w:hAnsi="Calibri" w:cs="Tahoma"/>
          <w:b/>
          <w:bCs/>
          <w:sz w:val="22"/>
          <w:szCs w:val="22"/>
        </w:rPr>
        <w:t>6</w:t>
      </w:r>
      <w:r w:rsidR="003E405A" w:rsidRPr="005E0BCD">
        <w:rPr>
          <w:rFonts w:ascii="Calibri" w:hAnsi="Calibri" w:cs="Tahoma"/>
          <w:b/>
          <w:bCs/>
          <w:sz w:val="22"/>
          <w:szCs w:val="22"/>
        </w:rPr>
        <w:t xml:space="preserve"> </w:t>
      </w:r>
      <w:r w:rsidR="003E405A" w:rsidRPr="005E0BCD">
        <w:rPr>
          <w:rFonts w:ascii="Calibri" w:hAnsi="Calibri" w:cs="Tahoma"/>
          <w:b/>
          <w:sz w:val="22"/>
          <w:szCs w:val="22"/>
        </w:rPr>
        <w:t xml:space="preserve">– </w:t>
      </w:r>
      <w:r w:rsidR="00C214EF">
        <w:rPr>
          <w:rFonts w:ascii="Calibri" w:hAnsi="Calibri" w:cs="Tahoma"/>
          <w:b/>
          <w:bCs/>
          <w:sz w:val="22"/>
          <w:szCs w:val="22"/>
        </w:rPr>
        <w:t>Ο Όμιλος Χρηματιστηρίου Αθηνών</w:t>
      </w:r>
      <w:r w:rsidR="008F07D2" w:rsidRPr="008F07D2">
        <w:rPr>
          <w:rFonts w:ascii="Calibri" w:hAnsi="Calibri" w:cs="Tahoma"/>
          <w:b/>
          <w:bCs/>
          <w:sz w:val="22"/>
          <w:szCs w:val="22"/>
        </w:rPr>
        <w:t xml:space="preserve"> </w:t>
      </w:r>
      <w:r w:rsidR="003E405A" w:rsidRPr="005E0BCD">
        <w:rPr>
          <w:rFonts w:ascii="Calibri" w:hAnsi="Calibri" w:cs="Tahoma"/>
          <w:b/>
          <w:bCs/>
          <w:sz w:val="22"/>
          <w:szCs w:val="22"/>
        </w:rPr>
        <w:t>κυκλοφορ</w:t>
      </w:r>
      <w:r w:rsidR="008F07D2">
        <w:rPr>
          <w:rFonts w:ascii="Calibri" w:hAnsi="Calibri" w:cs="Tahoma"/>
          <w:b/>
          <w:bCs/>
          <w:sz w:val="22"/>
          <w:szCs w:val="22"/>
        </w:rPr>
        <w:t>εί</w:t>
      </w:r>
      <w:r w:rsidR="003E405A" w:rsidRPr="005E0BCD">
        <w:rPr>
          <w:rFonts w:ascii="Calibri" w:hAnsi="Calibri" w:cs="Tahoma"/>
          <w:b/>
          <w:bCs/>
          <w:sz w:val="22"/>
          <w:szCs w:val="22"/>
        </w:rPr>
        <w:t xml:space="preserve"> το Μηνιαίο Στατιστικό Δελτίο του </w:t>
      </w:r>
      <w:r w:rsidR="000B53E7" w:rsidRPr="000B53E7">
        <w:rPr>
          <w:rFonts w:ascii="Calibri" w:hAnsi="Calibri" w:cs="Tahoma"/>
          <w:b/>
          <w:bCs/>
          <w:sz w:val="22"/>
          <w:szCs w:val="22"/>
        </w:rPr>
        <w:t>Ιανουαρίου 2016</w:t>
      </w:r>
      <w:r w:rsidR="003E405A" w:rsidRPr="005E0BCD">
        <w:rPr>
          <w:rFonts w:ascii="Calibri" w:hAnsi="Calibri" w:cs="Tahoma"/>
          <w:b/>
          <w:bCs/>
          <w:sz w:val="22"/>
          <w:szCs w:val="22"/>
        </w:rPr>
        <w:t>.</w:t>
      </w:r>
    </w:p>
    <w:p w:rsidR="003E405A" w:rsidRPr="00A32AD6" w:rsidRDefault="002B4AAE" w:rsidP="00CA0F84">
      <w:pPr>
        <w:spacing w:before="120" w:after="120"/>
        <w:jc w:val="both"/>
        <w:rPr>
          <w:rFonts w:ascii="Calibri" w:hAnsi="Calibri" w:cs="Tahoma"/>
          <w:b/>
          <w:bCs/>
          <w:sz w:val="22"/>
          <w:szCs w:val="22"/>
        </w:rPr>
      </w:pPr>
      <w:r>
        <w:rPr>
          <w:rFonts w:ascii="Calibri" w:hAnsi="Calibri" w:cs="Tahoma"/>
          <w:b/>
          <w:bCs/>
          <w:sz w:val="22"/>
          <w:szCs w:val="22"/>
        </w:rPr>
        <w:t>Τον</w:t>
      </w:r>
      <w:r w:rsidR="003E405A" w:rsidRPr="00A32AD6">
        <w:rPr>
          <w:rFonts w:ascii="Calibri" w:hAnsi="Calibri" w:cs="Tahoma"/>
          <w:b/>
          <w:bCs/>
          <w:sz w:val="22"/>
          <w:szCs w:val="22"/>
        </w:rPr>
        <w:t xml:space="preserve"> </w:t>
      </w:r>
      <w:r w:rsidR="000B53E7" w:rsidRPr="000B53E7">
        <w:rPr>
          <w:rFonts w:ascii="Calibri" w:hAnsi="Calibri" w:cs="Tahoma"/>
          <w:b/>
          <w:bCs/>
          <w:sz w:val="22"/>
          <w:szCs w:val="22"/>
        </w:rPr>
        <w:t>Ιανουάριο 2016</w:t>
      </w:r>
      <w:r w:rsidR="003E405A" w:rsidRPr="00A32AD6">
        <w:rPr>
          <w:rFonts w:ascii="Calibri" w:hAnsi="Calibri" w:cs="Tahoma"/>
          <w:b/>
          <w:bCs/>
          <w:sz w:val="22"/>
          <w:szCs w:val="22"/>
        </w:rPr>
        <w:t xml:space="preserve"> τα βασικά στατιστικά στοιχεία της αγοράς ήταν τα εξής:</w:t>
      </w:r>
    </w:p>
    <w:p w:rsidR="00F85383" w:rsidRDefault="00F85383" w:rsidP="00F85383">
      <w:pPr>
        <w:numPr>
          <w:ilvl w:val="0"/>
          <w:numId w:val="4"/>
        </w:numPr>
        <w:tabs>
          <w:tab w:val="clear" w:pos="1800"/>
          <w:tab w:val="num" w:pos="540"/>
        </w:tabs>
        <w:spacing w:after="120"/>
        <w:ind w:left="540" w:hanging="540"/>
        <w:jc w:val="both"/>
        <w:rPr>
          <w:rFonts w:ascii="Calibri" w:hAnsi="Calibri" w:cs="Tahoma"/>
          <w:b/>
          <w:bCs/>
          <w:sz w:val="22"/>
          <w:szCs w:val="22"/>
        </w:rPr>
      </w:pPr>
      <w:r>
        <w:rPr>
          <w:rFonts w:ascii="Calibri" w:hAnsi="Calibri" w:cs="Tahoma"/>
          <w:b/>
          <w:bCs/>
          <w:sz w:val="22"/>
          <w:szCs w:val="22"/>
        </w:rPr>
        <w:t>Η σ</w:t>
      </w:r>
      <w:r w:rsidRPr="00F31B28">
        <w:rPr>
          <w:rFonts w:ascii="Calibri" w:hAnsi="Calibri" w:cs="Tahoma"/>
          <w:b/>
          <w:bCs/>
          <w:sz w:val="22"/>
          <w:szCs w:val="22"/>
        </w:rPr>
        <w:t xml:space="preserve">υνολική κεφαλαιοποίηση </w:t>
      </w:r>
      <w:r>
        <w:rPr>
          <w:rFonts w:ascii="Calibri" w:hAnsi="Calibri" w:cs="Tahoma"/>
          <w:b/>
          <w:bCs/>
          <w:sz w:val="22"/>
          <w:szCs w:val="22"/>
        </w:rPr>
        <w:t>του Χ.Α</w:t>
      </w:r>
      <w:r w:rsidRPr="00A015D4">
        <w:rPr>
          <w:rFonts w:ascii="Calibri" w:hAnsi="Calibri" w:cs="Tahoma"/>
          <w:b/>
          <w:bCs/>
          <w:sz w:val="22"/>
          <w:szCs w:val="22"/>
        </w:rPr>
        <w:t>.</w:t>
      </w:r>
      <w:r w:rsidRPr="00F31B28">
        <w:rPr>
          <w:rFonts w:ascii="Calibri" w:hAnsi="Calibri" w:cs="Tahoma"/>
          <w:b/>
          <w:bCs/>
          <w:sz w:val="22"/>
          <w:szCs w:val="22"/>
        </w:rPr>
        <w:t xml:space="preserve"> </w:t>
      </w:r>
      <w:r>
        <w:rPr>
          <w:rFonts w:ascii="Calibri" w:hAnsi="Calibri" w:cs="Tahoma"/>
          <w:b/>
          <w:bCs/>
          <w:sz w:val="22"/>
          <w:szCs w:val="22"/>
        </w:rPr>
        <w:t>έκλεισε στα</w:t>
      </w:r>
      <w:r w:rsidRPr="00F31B28">
        <w:rPr>
          <w:rFonts w:ascii="Calibri" w:hAnsi="Calibri" w:cs="Tahoma"/>
          <w:b/>
          <w:bCs/>
          <w:sz w:val="22"/>
          <w:szCs w:val="22"/>
        </w:rPr>
        <w:t xml:space="preserve"> €</w:t>
      </w:r>
      <w:r w:rsidR="00BB124F">
        <w:rPr>
          <w:rFonts w:ascii="Calibri" w:hAnsi="Calibri" w:cs="Tahoma"/>
          <w:b/>
          <w:bCs/>
          <w:sz w:val="22"/>
          <w:szCs w:val="22"/>
        </w:rPr>
        <w:t>34,08</w:t>
      </w:r>
      <w:r w:rsidRPr="00F31B28">
        <w:rPr>
          <w:rFonts w:ascii="Calibri" w:hAnsi="Calibri" w:cs="Tahoma"/>
          <w:b/>
          <w:bCs/>
          <w:sz w:val="22"/>
          <w:szCs w:val="22"/>
        </w:rPr>
        <w:t xml:space="preserve"> </w:t>
      </w:r>
      <w:r>
        <w:rPr>
          <w:rFonts w:ascii="Calibri" w:hAnsi="Calibri" w:cs="Tahoma"/>
          <w:b/>
          <w:bCs/>
          <w:sz w:val="22"/>
          <w:szCs w:val="22"/>
        </w:rPr>
        <w:t>δισ.,</w:t>
      </w:r>
      <w:r w:rsidRPr="00F31B28">
        <w:rPr>
          <w:rFonts w:ascii="Calibri" w:hAnsi="Calibri" w:cs="Tahoma"/>
          <w:b/>
          <w:bCs/>
          <w:sz w:val="22"/>
          <w:szCs w:val="22"/>
        </w:rPr>
        <w:t xml:space="preserve"> </w:t>
      </w:r>
      <w:r w:rsidR="00BB124F">
        <w:rPr>
          <w:rFonts w:ascii="Calibri" w:hAnsi="Calibri" w:cs="Tahoma"/>
          <w:b/>
          <w:bCs/>
          <w:sz w:val="22"/>
          <w:szCs w:val="22"/>
        </w:rPr>
        <w:t>μειωμένη</w:t>
      </w:r>
      <w:r>
        <w:rPr>
          <w:rFonts w:ascii="Calibri" w:hAnsi="Calibri" w:cs="Tahoma"/>
          <w:b/>
          <w:bCs/>
          <w:sz w:val="22"/>
          <w:szCs w:val="22"/>
        </w:rPr>
        <w:t xml:space="preserve"> κατά </w:t>
      </w:r>
      <w:r w:rsidR="00BB124F">
        <w:rPr>
          <w:rFonts w:ascii="Calibri" w:hAnsi="Calibri" w:cs="Tahoma"/>
          <w:b/>
          <w:bCs/>
          <w:sz w:val="22"/>
          <w:szCs w:val="22"/>
        </w:rPr>
        <w:t>13,1%</w:t>
      </w:r>
      <w:r w:rsidRPr="00F31B28">
        <w:rPr>
          <w:rFonts w:ascii="Calibri" w:hAnsi="Calibri" w:cs="Tahoma"/>
          <w:b/>
          <w:bCs/>
          <w:sz w:val="22"/>
          <w:szCs w:val="22"/>
        </w:rPr>
        <w:t xml:space="preserve"> από το</w:t>
      </w:r>
      <w:r>
        <w:rPr>
          <w:rFonts w:ascii="Calibri" w:hAnsi="Calibri" w:cs="Tahoma"/>
          <w:b/>
          <w:bCs/>
          <w:sz w:val="22"/>
          <w:szCs w:val="22"/>
        </w:rPr>
        <w:t>ν</w:t>
      </w:r>
      <w:r w:rsidRPr="00F31B28">
        <w:rPr>
          <w:rFonts w:ascii="Calibri" w:hAnsi="Calibri" w:cs="Tahoma"/>
          <w:b/>
          <w:bCs/>
          <w:sz w:val="22"/>
          <w:szCs w:val="22"/>
        </w:rPr>
        <w:t xml:space="preserve"> </w:t>
      </w:r>
      <w:r>
        <w:rPr>
          <w:rFonts w:ascii="Calibri" w:hAnsi="Calibri" w:cs="Tahoma"/>
          <w:b/>
          <w:bCs/>
          <w:sz w:val="22"/>
          <w:szCs w:val="22"/>
        </w:rPr>
        <w:t xml:space="preserve">προηγούμενο μήνα. </w:t>
      </w:r>
      <w:r w:rsidRPr="004C378A">
        <w:rPr>
          <w:rFonts w:ascii="Calibri" w:hAnsi="Calibri" w:cs="Tahoma"/>
          <w:b/>
          <w:bCs/>
          <w:sz w:val="22"/>
          <w:szCs w:val="22"/>
        </w:rPr>
        <w:t>Εάν δεν ληφθεί υπόψη η κε</w:t>
      </w:r>
      <w:r>
        <w:rPr>
          <w:rFonts w:ascii="Calibri" w:hAnsi="Calibri" w:cs="Tahoma"/>
          <w:b/>
          <w:bCs/>
          <w:sz w:val="22"/>
          <w:szCs w:val="22"/>
        </w:rPr>
        <w:t xml:space="preserve">φαλαιοποίηση που κατέχει το ΤΧΣ, η </w:t>
      </w:r>
      <w:r w:rsidR="00BB124F">
        <w:rPr>
          <w:rFonts w:ascii="Calibri" w:hAnsi="Calibri" w:cs="Tahoma"/>
          <w:b/>
          <w:bCs/>
          <w:sz w:val="22"/>
          <w:szCs w:val="22"/>
        </w:rPr>
        <w:t>μείωση</w:t>
      </w:r>
      <w:r>
        <w:rPr>
          <w:rFonts w:ascii="Calibri" w:hAnsi="Calibri" w:cs="Tahoma"/>
          <w:b/>
          <w:bCs/>
          <w:sz w:val="22"/>
          <w:szCs w:val="22"/>
        </w:rPr>
        <w:t xml:space="preserve"> </w:t>
      </w:r>
      <w:r w:rsidRPr="004C378A">
        <w:rPr>
          <w:rFonts w:ascii="Calibri" w:hAnsi="Calibri" w:cs="Tahoma"/>
          <w:b/>
          <w:bCs/>
          <w:sz w:val="22"/>
          <w:szCs w:val="22"/>
        </w:rPr>
        <w:t xml:space="preserve"> </w:t>
      </w:r>
      <w:r>
        <w:rPr>
          <w:rFonts w:ascii="Calibri" w:hAnsi="Calibri" w:cs="Tahoma"/>
          <w:b/>
          <w:bCs/>
          <w:sz w:val="22"/>
          <w:szCs w:val="22"/>
        </w:rPr>
        <w:t>αγγίζει το 1</w:t>
      </w:r>
      <w:r w:rsidR="00BB124F">
        <w:rPr>
          <w:rFonts w:ascii="Calibri" w:hAnsi="Calibri" w:cs="Tahoma"/>
          <w:b/>
          <w:bCs/>
          <w:sz w:val="22"/>
          <w:szCs w:val="22"/>
        </w:rPr>
        <w:t>2</w:t>
      </w:r>
      <w:r>
        <w:rPr>
          <w:rFonts w:ascii="Calibri" w:hAnsi="Calibri" w:cs="Tahoma"/>
          <w:b/>
          <w:bCs/>
          <w:sz w:val="22"/>
          <w:szCs w:val="22"/>
        </w:rPr>
        <w:t>,</w:t>
      </w:r>
      <w:r w:rsidR="00BB124F">
        <w:rPr>
          <w:rFonts w:ascii="Calibri" w:hAnsi="Calibri" w:cs="Tahoma"/>
          <w:b/>
          <w:bCs/>
          <w:sz w:val="22"/>
          <w:szCs w:val="22"/>
        </w:rPr>
        <w:t>1</w:t>
      </w:r>
      <w:r w:rsidRPr="004C378A">
        <w:rPr>
          <w:rFonts w:ascii="Calibri" w:hAnsi="Calibri" w:cs="Tahoma"/>
          <w:b/>
          <w:bCs/>
          <w:sz w:val="22"/>
          <w:szCs w:val="22"/>
        </w:rPr>
        <w:t xml:space="preserve">%. </w:t>
      </w:r>
    </w:p>
    <w:p w:rsidR="00566969" w:rsidRDefault="00566969" w:rsidP="00566969">
      <w:pPr>
        <w:numPr>
          <w:ilvl w:val="0"/>
          <w:numId w:val="4"/>
        </w:numPr>
        <w:tabs>
          <w:tab w:val="clear" w:pos="1800"/>
          <w:tab w:val="num" w:pos="540"/>
        </w:tabs>
        <w:spacing w:after="120"/>
        <w:ind w:left="540" w:hanging="540"/>
        <w:jc w:val="both"/>
        <w:rPr>
          <w:rFonts w:ascii="Calibri" w:hAnsi="Calibri" w:cs="Tahoma"/>
          <w:b/>
          <w:bCs/>
          <w:sz w:val="22"/>
          <w:szCs w:val="22"/>
        </w:rPr>
      </w:pPr>
      <w:r>
        <w:rPr>
          <w:rFonts w:ascii="Calibri" w:hAnsi="Calibri" w:cs="Tahoma"/>
          <w:b/>
          <w:bCs/>
          <w:sz w:val="22"/>
          <w:szCs w:val="22"/>
        </w:rPr>
        <w:t>Ο</w:t>
      </w:r>
      <w:r w:rsidRPr="004C378A">
        <w:rPr>
          <w:rFonts w:ascii="Calibri" w:hAnsi="Calibri" w:cs="Tahoma"/>
          <w:b/>
          <w:bCs/>
          <w:sz w:val="22"/>
          <w:szCs w:val="22"/>
        </w:rPr>
        <w:t>ι εισροές κεφαλαίων από ξένους επενδυτές στην Ελληνική Αγορά</w:t>
      </w:r>
      <w:r>
        <w:rPr>
          <w:rFonts w:ascii="Calibri" w:hAnsi="Calibri" w:cs="Tahoma"/>
          <w:b/>
          <w:bCs/>
          <w:sz w:val="22"/>
          <w:szCs w:val="22"/>
        </w:rPr>
        <w:t xml:space="preserve">, κατά την διάρκεια του </w:t>
      </w:r>
      <w:r w:rsidR="00BB124F">
        <w:rPr>
          <w:rFonts w:ascii="Calibri" w:hAnsi="Calibri" w:cs="Tahoma"/>
          <w:b/>
          <w:bCs/>
          <w:sz w:val="22"/>
          <w:szCs w:val="22"/>
        </w:rPr>
        <w:t>Ιανουαρίου</w:t>
      </w:r>
      <w:r>
        <w:rPr>
          <w:rFonts w:ascii="Calibri" w:hAnsi="Calibri" w:cs="Tahoma"/>
          <w:b/>
          <w:bCs/>
          <w:sz w:val="22"/>
          <w:szCs w:val="22"/>
        </w:rPr>
        <w:t xml:space="preserve">, ήταν </w:t>
      </w:r>
      <w:r w:rsidR="00BB124F">
        <w:rPr>
          <w:rFonts w:ascii="Calibri" w:hAnsi="Calibri" w:cs="Tahoma"/>
          <w:b/>
          <w:bCs/>
          <w:sz w:val="22"/>
          <w:szCs w:val="22"/>
        </w:rPr>
        <w:t>περισσότερες</w:t>
      </w:r>
      <w:r>
        <w:rPr>
          <w:rFonts w:ascii="Calibri" w:hAnsi="Calibri" w:cs="Tahoma"/>
          <w:b/>
          <w:bCs/>
          <w:sz w:val="22"/>
          <w:szCs w:val="22"/>
        </w:rPr>
        <w:t xml:space="preserve"> από</w:t>
      </w:r>
      <w:r w:rsidRPr="004C378A">
        <w:rPr>
          <w:rFonts w:ascii="Calibri" w:hAnsi="Calibri" w:cs="Tahoma"/>
          <w:b/>
          <w:bCs/>
          <w:sz w:val="22"/>
          <w:szCs w:val="22"/>
        </w:rPr>
        <w:t xml:space="preserve"> τις εκροές.</w:t>
      </w:r>
      <w:r>
        <w:rPr>
          <w:rFonts w:ascii="Calibri" w:hAnsi="Calibri" w:cs="Tahoma"/>
          <w:b/>
          <w:bCs/>
          <w:sz w:val="22"/>
          <w:szCs w:val="22"/>
        </w:rPr>
        <w:t xml:space="preserve">   </w:t>
      </w:r>
    </w:p>
    <w:p w:rsidR="001F036D" w:rsidRDefault="001F036D" w:rsidP="001F036D">
      <w:pPr>
        <w:numPr>
          <w:ilvl w:val="0"/>
          <w:numId w:val="4"/>
        </w:numPr>
        <w:tabs>
          <w:tab w:val="clear" w:pos="1800"/>
          <w:tab w:val="num" w:pos="540"/>
        </w:tabs>
        <w:spacing w:after="120"/>
        <w:ind w:left="540" w:hanging="540"/>
        <w:jc w:val="both"/>
        <w:rPr>
          <w:rFonts w:ascii="Calibri" w:hAnsi="Calibri" w:cs="Tahoma"/>
          <w:b/>
          <w:bCs/>
          <w:sz w:val="22"/>
          <w:szCs w:val="22"/>
        </w:rPr>
      </w:pPr>
      <w:r>
        <w:rPr>
          <w:rFonts w:ascii="Calibri" w:hAnsi="Calibri" w:cs="Tahoma"/>
          <w:b/>
          <w:bCs/>
          <w:sz w:val="22"/>
          <w:szCs w:val="22"/>
        </w:rPr>
        <w:t xml:space="preserve">Η </w:t>
      </w:r>
      <w:r w:rsidRPr="00D54F14">
        <w:rPr>
          <w:rFonts w:ascii="Calibri" w:hAnsi="Calibri" w:cs="Tahoma"/>
          <w:b/>
          <w:bCs/>
          <w:sz w:val="22"/>
          <w:szCs w:val="22"/>
        </w:rPr>
        <w:t xml:space="preserve">συμμετοχή </w:t>
      </w:r>
      <w:r>
        <w:rPr>
          <w:rFonts w:ascii="Calibri" w:hAnsi="Calibri" w:cs="Tahoma"/>
          <w:b/>
          <w:bCs/>
          <w:sz w:val="22"/>
          <w:szCs w:val="22"/>
        </w:rPr>
        <w:t>των ξένων επενδυτών</w:t>
      </w:r>
      <w:r w:rsidRPr="00780C03">
        <w:rPr>
          <w:rFonts w:ascii="Calibri" w:hAnsi="Calibri" w:cs="Tahoma"/>
          <w:b/>
          <w:bCs/>
          <w:sz w:val="22"/>
          <w:szCs w:val="22"/>
        </w:rPr>
        <w:t xml:space="preserve"> στη συνολική κεφαλαιοποίηση της Ελληνικής αγοράς </w:t>
      </w:r>
      <w:r>
        <w:rPr>
          <w:rFonts w:ascii="Calibri" w:hAnsi="Calibri" w:cs="Tahoma"/>
          <w:b/>
          <w:bCs/>
          <w:sz w:val="22"/>
          <w:szCs w:val="22"/>
        </w:rPr>
        <w:t xml:space="preserve">ανέρχεται σε </w:t>
      </w:r>
      <w:r w:rsidR="00BB124F">
        <w:rPr>
          <w:rFonts w:ascii="Calibri" w:hAnsi="Calibri" w:cs="Tahoma"/>
          <w:b/>
          <w:bCs/>
          <w:sz w:val="22"/>
          <w:szCs w:val="22"/>
        </w:rPr>
        <w:t>61,8</w:t>
      </w:r>
      <w:r w:rsidRPr="00780C03">
        <w:rPr>
          <w:rFonts w:ascii="Calibri" w:hAnsi="Calibri" w:cs="Tahoma"/>
          <w:b/>
          <w:bCs/>
          <w:sz w:val="22"/>
          <w:szCs w:val="22"/>
        </w:rPr>
        <w:t xml:space="preserve">% </w:t>
      </w:r>
      <w:r>
        <w:rPr>
          <w:rFonts w:ascii="Calibri" w:hAnsi="Calibri" w:cs="Tahoma"/>
          <w:b/>
          <w:bCs/>
          <w:sz w:val="22"/>
          <w:szCs w:val="22"/>
        </w:rPr>
        <w:t xml:space="preserve">έναντι </w:t>
      </w:r>
      <w:r w:rsidR="00BB124F">
        <w:rPr>
          <w:rFonts w:ascii="Calibri" w:hAnsi="Calibri" w:cs="Tahoma"/>
          <w:b/>
          <w:bCs/>
          <w:sz w:val="22"/>
          <w:szCs w:val="22"/>
        </w:rPr>
        <w:t>64</w:t>
      </w:r>
      <w:r>
        <w:rPr>
          <w:rFonts w:ascii="Calibri" w:hAnsi="Calibri" w:cs="Tahoma"/>
          <w:b/>
          <w:bCs/>
          <w:sz w:val="22"/>
          <w:szCs w:val="22"/>
        </w:rPr>
        <w:t>,</w:t>
      </w:r>
      <w:r w:rsidR="00BB124F">
        <w:rPr>
          <w:rFonts w:ascii="Calibri" w:hAnsi="Calibri" w:cs="Tahoma"/>
          <w:b/>
          <w:bCs/>
          <w:sz w:val="22"/>
          <w:szCs w:val="22"/>
        </w:rPr>
        <w:t>2</w:t>
      </w:r>
      <w:r w:rsidRPr="00780C03">
        <w:rPr>
          <w:rFonts w:ascii="Calibri" w:hAnsi="Calibri" w:cs="Tahoma"/>
          <w:b/>
          <w:bCs/>
          <w:sz w:val="22"/>
          <w:szCs w:val="22"/>
        </w:rPr>
        <w:t>% στο τέλος του προηγούμενου μήνα</w:t>
      </w:r>
      <w:r>
        <w:rPr>
          <w:rFonts w:ascii="Calibri" w:hAnsi="Calibri" w:cs="Tahoma"/>
          <w:b/>
          <w:bCs/>
          <w:sz w:val="22"/>
          <w:szCs w:val="22"/>
        </w:rPr>
        <w:t xml:space="preserve">, καταγράφοντας μείωση της τάξεως του </w:t>
      </w:r>
      <w:r w:rsidR="00BB124F">
        <w:rPr>
          <w:rFonts w:ascii="Calibri" w:hAnsi="Calibri" w:cs="Tahoma"/>
          <w:b/>
          <w:bCs/>
          <w:sz w:val="22"/>
          <w:szCs w:val="22"/>
        </w:rPr>
        <w:t xml:space="preserve">3,7%. </w:t>
      </w:r>
      <w:r>
        <w:rPr>
          <w:rFonts w:ascii="Calibri" w:hAnsi="Calibri" w:cs="Tahoma"/>
          <w:b/>
          <w:bCs/>
          <w:sz w:val="22"/>
          <w:szCs w:val="22"/>
        </w:rPr>
        <w:t>Ωστόσο, συνυπολογίζοντας την συμμετοχή του ΤΧΣ (</w:t>
      </w:r>
      <w:r w:rsidR="00BB124F">
        <w:rPr>
          <w:rFonts w:ascii="Calibri" w:hAnsi="Calibri" w:cs="Tahoma"/>
          <w:b/>
          <w:bCs/>
          <w:sz w:val="22"/>
          <w:szCs w:val="22"/>
        </w:rPr>
        <w:t>1.686,34</w:t>
      </w:r>
      <w:r>
        <w:rPr>
          <w:rFonts w:ascii="Calibri" w:hAnsi="Calibri" w:cs="Tahoma"/>
          <w:b/>
          <w:bCs/>
          <w:sz w:val="22"/>
          <w:szCs w:val="22"/>
        </w:rPr>
        <w:t xml:space="preserve"> εκατ. ευρώ ή </w:t>
      </w:r>
      <w:r w:rsidR="00BB124F">
        <w:rPr>
          <w:rFonts w:ascii="Calibri" w:hAnsi="Calibri" w:cs="Tahoma"/>
          <w:b/>
          <w:bCs/>
          <w:sz w:val="22"/>
          <w:szCs w:val="22"/>
        </w:rPr>
        <w:t>4,9</w:t>
      </w:r>
      <w:r>
        <w:rPr>
          <w:rFonts w:ascii="Calibri" w:hAnsi="Calibri" w:cs="Tahoma"/>
          <w:b/>
          <w:bCs/>
          <w:sz w:val="22"/>
          <w:szCs w:val="22"/>
        </w:rPr>
        <w:t xml:space="preserve">%) </w:t>
      </w:r>
      <w:r w:rsidRPr="00780C03">
        <w:rPr>
          <w:rFonts w:ascii="Calibri" w:hAnsi="Calibri" w:cs="Tahoma"/>
          <w:b/>
          <w:bCs/>
          <w:sz w:val="22"/>
          <w:szCs w:val="22"/>
        </w:rPr>
        <w:t xml:space="preserve">στη συνολική κεφαλαιοποίηση της Ελληνικής αγοράς </w:t>
      </w:r>
      <w:r>
        <w:rPr>
          <w:rFonts w:ascii="Calibri" w:hAnsi="Calibri" w:cs="Tahoma"/>
          <w:b/>
          <w:bCs/>
          <w:sz w:val="22"/>
          <w:szCs w:val="22"/>
        </w:rPr>
        <w:t xml:space="preserve">η συμμετοχή των ξένων επενδυτών ανέρχεται σε </w:t>
      </w:r>
      <w:r w:rsidR="00BB124F">
        <w:rPr>
          <w:rFonts w:ascii="Calibri" w:hAnsi="Calibri" w:cs="Tahoma"/>
          <w:b/>
          <w:bCs/>
          <w:sz w:val="22"/>
          <w:szCs w:val="22"/>
        </w:rPr>
        <w:t>58,7</w:t>
      </w:r>
      <w:r>
        <w:rPr>
          <w:rFonts w:ascii="Calibri" w:hAnsi="Calibri" w:cs="Tahoma"/>
          <w:b/>
          <w:bCs/>
          <w:sz w:val="22"/>
          <w:szCs w:val="22"/>
        </w:rPr>
        <w:t xml:space="preserve">% παρουσιάζοντας </w:t>
      </w:r>
      <w:r w:rsidR="00BB124F">
        <w:rPr>
          <w:rFonts w:ascii="Calibri" w:hAnsi="Calibri" w:cs="Tahoma"/>
          <w:b/>
          <w:bCs/>
          <w:sz w:val="22"/>
          <w:szCs w:val="22"/>
        </w:rPr>
        <w:t xml:space="preserve">μείωση της τάξεως του </w:t>
      </w:r>
      <w:r w:rsidR="003E51B8" w:rsidRPr="003E51B8">
        <w:rPr>
          <w:rFonts w:ascii="Calibri" w:hAnsi="Calibri" w:cs="Tahoma"/>
          <w:b/>
          <w:bCs/>
          <w:sz w:val="22"/>
          <w:szCs w:val="22"/>
        </w:rPr>
        <w:t xml:space="preserve">2,6% </w:t>
      </w:r>
      <w:r w:rsidR="00BB124F">
        <w:rPr>
          <w:rFonts w:ascii="Calibri" w:hAnsi="Calibri" w:cs="Tahoma"/>
          <w:b/>
          <w:bCs/>
          <w:sz w:val="22"/>
          <w:szCs w:val="22"/>
        </w:rPr>
        <w:t>συγκριτικά με τον</w:t>
      </w:r>
      <w:r>
        <w:rPr>
          <w:rFonts w:ascii="Calibri" w:hAnsi="Calibri" w:cs="Tahoma"/>
          <w:b/>
          <w:bCs/>
          <w:sz w:val="22"/>
          <w:szCs w:val="22"/>
        </w:rPr>
        <w:t xml:space="preserve"> προηγούμενο μήνα.</w:t>
      </w:r>
    </w:p>
    <w:p w:rsidR="003E405A" w:rsidRPr="00F31B28" w:rsidRDefault="003E405A" w:rsidP="003E405A">
      <w:pPr>
        <w:numPr>
          <w:ilvl w:val="0"/>
          <w:numId w:val="4"/>
        </w:numPr>
        <w:tabs>
          <w:tab w:val="clear" w:pos="1800"/>
          <w:tab w:val="num" w:pos="540"/>
        </w:tabs>
        <w:spacing w:after="120"/>
        <w:ind w:left="540" w:hanging="540"/>
        <w:jc w:val="both"/>
        <w:rPr>
          <w:rFonts w:ascii="Calibri" w:hAnsi="Calibri" w:cs="Tahoma"/>
          <w:b/>
          <w:bCs/>
          <w:sz w:val="22"/>
          <w:szCs w:val="22"/>
        </w:rPr>
      </w:pPr>
      <w:r w:rsidRPr="00F31B28">
        <w:rPr>
          <w:rFonts w:ascii="Calibri" w:hAnsi="Calibri" w:cs="Tahoma"/>
          <w:b/>
          <w:bCs/>
          <w:sz w:val="22"/>
          <w:szCs w:val="22"/>
        </w:rPr>
        <w:t>Συνολική αξία συναλλαγών €</w:t>
      </w:r>
      <w:r w:rsidR="00EE31D2">
        <w:rPr>
          <w:rFonts w:ascii="Calibri" w:hAnsi="Calibri" w:cs="Tahoma"/>
          <w:b/>
          <w:bCs/>
          <w:sz w:val="22"/>
          <w:szCs w:val="22"/>
        </w:rPr>
        <w:t>1,42</w:t>
      </w:r>
      <w:r w:rsidRPr="00F31B28">
        <w:rPr>
          <w:rFonts w:ascii="Calibri" w:hAnsi="Calibri" w:cs="Tahoma"/>
          <w:b/>
          <w:bCs/>
          <w:sz w:val="22"/>
          <w:szCs w:val="22"/>
        </w:rPr>
        <w:t xml:space="preserve"> δις (</w:t>
      </w:r>
      <w:r w:rsidR="00EE31D2">
        <w:rPr>
          <w:rFonts w:ascii="Calibri" w:hAnsi="Calibri" w:cs="Tahoma"/>
          <w:b/>
          <w:bCs/>
          <w:sz w:val="22"/>
          <w:szCs w:val="22"/>
        </w:rPr>
        <w:t xml:space="preserve">μειωμένη κατά 63,9% </w:t>
      </w:r>
      <w:r>
        <w:rPr>
          <w:rFonts w:ascii="Calibri" w:hAnsi="Calibri" w:cs="Tahoma"/>
          <w:b/>
          <w:bCs/>
          <w:sz w:val="22"/>
          <w:szCs w:val="22"/>
        </w:rPr>
        <w:t xml:space="preserve">σε σχέση με τον </w:t>
      </w:r>
      <w:r w:rsidR="006E02EE">
        <w:rPr>
          <w:rFonts w:ascii="Calibri" w:hAnsi="Calibri" w:cs="Tahoma"/>
          <w:b/>
          <w:bCs/>
          <w:sz w:val="22"/>
          <w:szCs w:val="22"/>
        </w:rPr>
        <w:t>προηγούμενο μήνα</w:t>
      </w:r>
      <w:r>
        <w:rPr>
          <w:rFonts w:ascii="Calibri" w:hAnsi="Calibri" w:cs="Tahoma"/>
          <w:b/>
          <w:bCs/>
          <w:sz w:val="22"/>
          <w:szCs w:val="22"/>
        </w:rPr>
        <w:t xml:space="preserve"> </w:t>
      </w:r>
      <w:r w:rsidR="006E02EE">
        <w:rPr>
          <w:rFonts w:ascii="Calibri" w:hAnsi="Calibri" w:cs="Tahoma"/>
          <w:b/>
          <w:bCs/>
          <w:sz w:val="22"/>
          <w:szCs w:val="22"/>
        </w:rPr>
        <w:t>και</w:t>
      </w:r>
      <w:r>
        <w:rPr>
          <w:rFonts w:ascii="Calibri" w:hAnsi="Calibri" w:cs="Tahoma"/>
          <w:b/>
          <w:bCs/>
          <w:sz w:val="22"/>
          <w:szCs w:val="22"/>
        </w:rPr>
        <w:t xml:space="preserve"> </w:t>
      </w:r>
      <w:r w:rsidR="00EE31D2">
        <w:rPr>
          <w:rFonts w:ascii="Calibri" w:hAnsi="Calibri" w:cs="Tahoma"/>
          <w:b/>
          <w:bCs/>
          <w:sz w:val="22"/>
          <w:szCs w:val="22"/>
        </w:rPr>
        <w:t xml:space="preserve">μειωμένη </w:t>
      </w:r>
      <w:r w:rsidRPr="00F31B28">
        <w:rPr>
          <w:rFonts w:ascii="Calibri" w:hAnsi="Calibri" w:cs="Tahoma"/>
          <w:b/>
          <w:bCs/>
          <w:sz w:val="22"/>
          <w:szCs w:val="22"/>
        </w:rPr>
        <w:t xml:space="preserve">κατά </w:t>
      </w:r>
      <w:r w:rsidR="00EE31D2">
        <w:rPr>
          <w:rFonts w:ascii="Calibri" w:hAnsi="Calibri" w:cs="Tahoma"/>
          <w:b/>
          <w:bCs/>
          <w:sz w:val="22"/>
          <w:szCs w:val="22"/>
        </w:rPr>
        <w:t xml:space="preserve">33,6% </w:t>
      </w:r>
      <w:r w:rsidRPr="00F31B28">
        <w:rPr>
          <w:rFonts w:ascii="Calibri" w:hAnsi="Calibri" w:cs="Tahoma"/>
          <w:b/>
          <w:bCs/>
          <w:sz w:val="22"/>
          <w:szCs w:val="22"/>
        </w:rPr>
        <w:t>σε σχέση με το</w:t>
      </w:r>
      <w:r>
        <w:rPr>
          <w:rFonts w:ascii="Calibri" w:hAnsi="Calibri" w:cs="Tahoma"/>
          <w:b/>
          <w:bCs/>
          <w:sz w:val="22"/>
          <w:szCs w:val="22"/>
        </w:rPr>
        <w:t>ν</w:t>
      </w:r>
      <w:r w:rsidRPr="00F31B28">
        <w:rPr>
          <w:rFonts w:ascii="Calibri" w:hAnsi="Calibri" w:cs="Tahoma"/>
          <w:b/>
          <w:bCs/>
          <w:sz w:val="22"/>
          <w:szCs w:val="22"/>
        </w:rPr>
        <w:t xml:space="preserve"> </w:t>
      </w:r>
      <w:r w:rsidR="003713B8">
        <w:rPr>
          <w:rFonts w:ascii="Calibri" w:hAnsi="Calibri" w:cs="Tahoma"/>
          <w:b/>
          <w:bCs/>
          <w:sz w:val="22"/>
          <w:szCs w:val="22"/>
        </w:rPr>
        <w:t>ίδιο μήνα του προηγούμενου έτους</w:t>
      </w:r>
      <w:r w:rsidRPr="00F31B28">
        <w:rPr>
          <w:rFonts w:ascii="Calibri" w:hAnsi="Calibri" w:cs="Tahoma"/>
          <w:b/>
          <w:bCs/>
          <w:sz w:val="22"/>
          <w:szCs w:val="22"/>
        </w:rPr>
        <w:t>)</w:t>
      </w:r>
      <w:r>
        <w:rPr>
          <w:rFonts w:ascii="Calibri" w:hAnsi="Calibri" w:cs="Tahoma"/>
          <w:b/>
          <w:bCs/>
          <w:sz w:val="22"/>
          <w:szCs w:val="22"/>
        </w:rPr>
        <w:t>.</w:t>
      </w:r>
    </w:p>
    <w:p w:rsidR="001E1B0D" w:rsidRPr="000F7637" w:rsidRDefault="001E1B0D" w:rsidP="001E1B0D">
      <w:pPr>
        <w:numPr>
          <w:ilvl w:val="0"/>
          <w:numId w:val="4"/>
        </w:numPr>
        <w:tabs>
          <w:tab w:val="clear" w:pos="1800"/>
          <w:tab w:val="num" w:pos="540"/>
        </w:tabs>
        <w:spacing w:after="120"/>
        <w:ind w:left="540" w:hanging="540"/>
        <w:jc w:val="both"/>
        <w:rPr>
          <w:rFonts w:ascii="Calibri" w:hAnsi="Calibri" w:cs="Tahoma"/>
          <w:b/>
          <w:bCs/>
          <w:sz w:val="22"/>
          <w:szCs w:val="22"/>
        </w:rPr>
      </w:pPr>
      <w:r>
        <w:rPr>
          <w:rFonts w:ascii="Calibri" w:hAnsi="Calibri" w:cs="Tahoma"/>
          <w:b/>
          <w:bCs/>
          <w:sz w:val="22"/>
          <w:szCs w:val="22"/>
        </w:rPr>
        <w:t xml:space="preserve">Ο συνολικός αριθμός των αξιών που μεταβιβάστηκαν λόγω διακανονισμού χρηματιστηριακών συναλλαγών ανήλθε στα </w:t>
      </w:r>
      <w:r w:rsidR="008465B6" w:rsidRPr="008465B6">
        <w:rPr>
          <w:rFonts w:ascii="Calibri" w:hAnsi="Calibri" w:cs="Tahoma"/>
          <w:b/>
          <w:bCs/>
          <w:sz w:val="22"/>
          <w:szCs w:val="22"/>
        </w:rPr>
        <w:t>2</w:t>
      </w:r>
      <w:r w:rsidR="00EC68CE" w:rsidRPr="00EC68CE">
        <w:rPr>
          <w:rFonts w:ascii="Calibri" w:hAnsi="Calibri" w:cs="Tahoma"/>
          <w:b/>
          <w:bCs/>
          <w:sz w:val="22"/>
          <w:szCs w:val="22"/>
        </w:rPr>
        <w:t>.</w:t>
      </w:r>
      <w:r w:rsidR="008465B6" w:rsidRPr="008465B6">
        <w:rPr>
          <w:rFonts w:ascii="Calibri" w:hAnsi="Calibri" w:cs="Tahoma"/>
          <w:b/>
          <w:bCs/>
          <w:sz w:val="22"/>
          <w:szCs w:val="22"/>
        </w:rPr>
        <w:t>241</w:t>
      </w:r>
      <w:r w:rsidR="00EC68CE" w:rsidRPr="00EC68CE">
        <w:rPr>
          <w:rFonts w:ascii="Calibri" w:hAnsi="Calibri" w:cs="Tahoma"/>
          <w:b/>
          <w:bCs/>
          <w:sz w:val="22"/>
          <w:szCs w:val="22"/>
        </w:rPr>
        <w:t>.</w:t>
      </w:r>
      <w:r w:rsidR="008465B6" w:rsidRPr="008465B6">
        <w:rPr>
          <w:rFonts w:ascii="Calibri" w:hAnsi="Calibri" w:cs="Tahoma"/>
          <w:b/>
          <w:bCs/>
          <w:sz w:val="22"/>
          <w:szCs w:val="22"/>
        </w:rPr>
        <w:t>992</w:t>
      </w:r>
      <w:r w:rsidR="00EC68CE" w:rsidRPr="00EC68CE">
        <w:rPr>
          <w:rFonts w:ascii="Calibri" w:hAnsi="Calibri" w:cs="Tahoma"/>
          <w:b/>
          <w:bCs/>
          <w:sz w:val="22"/>
          <w:szCs w:val="22"/>
        </w:rPr>
        <w:t>.</w:t>
      </w:r>
      <w:r w:rsidR="008465B6" w:rsidRPr="008465B6">
        <w:rPr>
          <w:rFonts w:ascii="Calibri" w:hAnsi="Calibri" w:cs="Tahoma"/>
          <w:b/>
          <w:bCs/>
          <w:sz w:val="22"/>
          <w:szCs w:val="22"/>
        </w:rPr>
        <w:t>250</w:t>
      </w:r>
      <w:r w:rsidR="00EC68CE">
        <w:rPr>
          <w:rFonts w:ascii="Calibri" w:hAnsi="Calibri" w:cs="Tahoma"/>
          <w:b/>
          <w:bCs/>
          <w:sz w:val="22"/>
          <w:szCs w:val="22"/>
        </w:rPr>
        <w:t xml:space="preserve"> </w:t>
      </w:r>
      <w:r>
        <w:rPr>
          <w:rFonts w:ascii="Calibri" w:hAnsi="Calibri" w:cs="Tahoma"/>
          <w:b/>
          <w:bCs/>
          <w:sz w:val="22"/>
          <w:szCs w:val="22"/>
        </w:rPr>
        <w:t xml:space="preserve">τεμάχια καταγράφοντας </w:t>
      </w:r>
      <w:r w:rsidR="00EC68CE">
        <w:rPr>
          <w:rFonts w:ascii="Calibri" w:hAnsi="Calibri" w:cs="Tahoma"/>
          <w:b/>
          <w:bCs/>
          <w:sz w:val="22"/>
          <w:szCs w:val="22"/>
        </w:rPr>
        <w:t>μείωση</w:t>
      </w:r>
      <w:r>
        <w:rPr>
          <w:rFonts w:ascii="Calibri" w:hAnsi="Calibri" w:cs="Tahoma"/>
          <w:b/>
          <w:bCs/>
          <w:sz w:val="22"/>
          <w:szCs w:val="22"/>
        </w:rPr>
        <w:t xml:space="preserve"> </w:t>
      </w:r>
      <w:r w:rsidR="00962065" w:rsidRPr="00962065">
        <w:rPr>
          <w:rFonts w:ascii="Calibri" w:hAnsi="Calibri" w:cs="Tahoma"/>
          <w:b/>
          <w:bCs/>
          <w:sz w:val="22"/>
          <w:szCs w:val="22"/>
        </w:rPr>
        <w:t>60</w:t>
      </w:r>
      <w:r w:rsidR="00284B71">
        <w:rPr>
          <w:rFonts w:ascii="Calibri" w:hAnsi="Calibri" w:cs="Tahoma"/>
          <w:b/>
          <w:bCs/>
          <w:sz w:val="22"/>
          <w:szCs w:val="22"/>
        </w:rPr>
        <w:t>,</w:t>
      </w:r>
      <w:r w:rsidR="00962065" w:rsidRPr="00962065">
        <w:rPr>
          <w:rFonts w:ascii="Calibri" w:hAnsi="Calibri" w:cs="Tahoma"/>
          <w:b/>
          <w:bCs/>
          <w:sz w:val="22"/>
          <w:szCs w:val="22"/>
        </w:rPr>
        <w:t>9</w:t>
      </w:r>
      <w:r>
        <w:rPr>
          <w:rFonts w:ascii="Calibri" w:hAnsi="Calibri" w:cs="Tahoma"/>
          <w:b/>
          <w:bCs/>
          <w:sz w:val="22"/>
          <w:szCs w:val="22"/>
        </w:rPr>
        <w:t>% σε σχέση με τον προηγούμενο μήνα (</w:t>
      </w:r>
      <w:r w:rsidR="00EC68CE" w:rsidRPr="00EC68CE">
        <w:rPr>
          <w:rFonts w:ascii="Calibri" w:hAnsi="Calibri" w:cs="Tahoma"/>
          <w:b/>
          <w:bCs/>
          <w:sz w:val="22"/>
          <w:szCs w:val="22"/>
        </w:rPr>
        <w:t>5.</w:t>
      </w:r>
      <w:r w:rsidR="008465B6" w:rsidRPr="008465B6">
        <w:rPr>
          <w:rFonts w:ascii="Calibri" w:hAnsi="Calibri" w:cs="Tahoma"/>
          <w:b/>
          <w:bCs/>
          <w:sz w:val="22"/>
          <w:szCs w:val="22"/>
        </w:rPr>
        <w:t>737</w:t>
      </w:r>
      <w:r w:rsidR="00EC68CE" w:rsidRPr="00EC68CE">
        <w:rPr>
          <w:rFonts w:ascii="Calibri" w:hAnsi="Calibri" w:cs="Tahoma"/>
          <w:b/>
          <w:bCs/>
          <w:sz w:val="22"/>
          <w:szCs w:val="22"/>
        </w:rPr>
        <w:t>.2</w:t>
      </w:r>
      <w:r w:rsidR="008465B6" w:rsidRPr="008465B6">
        <w:rPr>
          <w:rFonts w:ascii="Calibri" w:hAnsi="Calibri" w:cs="Tahoma"/>
          <w:b/>
          <w:bCs/>
          <w:sz w:val="22"/>
          <w:szCs w:val="22"/>
        </w:rPr>
        <w:t>23</w:t>
      </w:r>
      <w:r w:rsidR="00EC68CE" w:rsidRPr="00EC68CE">
        <w:rPr>
          <w:rFonts w:ascii="Calibri" w:hAnsi="Calibri" w:cs="Tahoma"/>
          <w:b/>
          <w:bCs/>
          <w:sz w:val="22"/>
          <w:szCs w:val="22"/>
        </w:rPr>
        <w:t>.6</w:t>
      </w:r>
      <w:r w:rsidR="008465B6" w:rsidRPr="008465B6">
        <w:rPr>
          <w:rFonts w:ascii="Calibri" w:hAnsi="Calibri" w:cs="Tahoma"/>
          <w:b/>
          <w:bCs/>
          <w:sz w:val="22"/>
          <w:szCs w:val="22"/>
        </w:rPr>
        <w:t>59</w:t>
      </w:r>
      <w:r w:rsidR="00EC68CE">
        <w:rPr>
          <w:rFonts w:ascii="Calibri" w:hAnsi="Calibri" w:cs="Tahoma"/>
          <w:b/>
          <w:bCs/>
          <w:sz w:val="22"/>
          <w:szCs w:val="22"/>
        </w:rPr>
        <w:t xml:space="preserve"> </w:t>
      </w:r>
      <w:r>
        <w:rPr>
          <w:rFonts w:ascii="Calibri" w:hAnsi="Calibri" w:cs="Tahoma"/>
          <w:b/>
          <w:bCs/>
          <w:sz w:val="22"/>
          <w:szCs w:val="22"/>
        </w:rPr>
        <w:t xml:space="preserve">τεμάχια) και </w:t>
      </w:r>
      <w:r w:rsidR="004C4EC3">
        <w:rPr>
          <w:rFonts w:ascii="Calibri" w:hAnsi="Calibri" w:cs="Tahoma"/>
          <w:b/>
          <w:bCs/>
          <w:sz w:val="22"/>
          <w:szCs w:val="22"/>
        </w:rPr>
        <w:t>μείωση</w:t>
      </w:r>
      <w:r>
        <w:rPr>
          <w:rFonts w:ascii="Calibri" w:hAnsi="Calibri" w:cs="Tahoma"/>
          <w:b/>
          <w:bCs/>
          <w:sz w:val="22"/>
          <w:szCs w:val="22"/>
        </w:rPr>
        <w:t xml:space="preserve"> </w:t>
      </w:r>
      <w:r w:rsidR="008465B6" w:rsidRPr="008465B6">
        <w:rPr>
          <w:rFonts w:ascii="Calibri" w:hAnsi="Calibri" w:cs="Tahoma"/>
          <w:b/>
          <w:bCs/>
          <w:sz w:val="22"/>
          <w:szCs w:val="22"/>
        </w:rPr>
        <w:t>24</w:t>
      </w:r>
      <w:r w:rsidR="004C4EC3">
        <w:rPr>
          <w:rFonts w:ascii="Calibri" w:hAnsi="Calibri" w:cs="Tahoma"/>
          <w:b/>
          <w:bCs/>
          <w:sz w:val="22"/>
          <w:szCs w:val="22"/>
        </w:rPr>
        <w:t>,</w:t>
      </w:r>
      <w:r w:rsidR="008465B6" w:rsidRPr="008465B6">
        <w:rPr>
          <w:rFonts w:ascii="Calibri" w:hAnsi="Calibri" w:cs="Tahoma"/>
          <w:b/>
          <w:bCs/>
          <w:sz w:val="22"/>
          <w:szCs w:val="22"/>
        </w:rPr>
        <w:t>8</w:t>
      </w:r>
      <w:r>
        <w:rPr>
          <w:rFonts w:ascii="Calibri" w:hAnsi="Calibri" w:cs="Tahoma"/>
          <w:b/>
          <w:bCs/>
          <w:sz w:val="22"/>
          <w:szCs w:val="22"/>
        </w:rPr>
        <w:t xml:space="preserve">% σε σχέση με το </w:t>
      </w:r>
      <w:r w:rsidR="00EC68CE">
        <w:rPr>
          <w:rFonts w:ascii="Calibri" w:hAnsi="Calibri" w:cs="Tahoma"/>
          <w:b/>
          <w:bCs/>
          <w:sz w:val="22"/>
          <w:szCs w:val="22"/>
        </w:rPr>
        <w:t>Ιανουάριο</w:t>
      </w:r>
      <w:r>
        <w:rPr>
          <w:rFonts w:ascii="Calibri" w:hAnsi="Calibri" w:cs="Tahoma"/>
          <w:b/>
          <w:bCs/>
          <w:sz w:val="22"/>
          <w:szCs w:val="22"/>
        </w:rPr>
        <w:t xml:space="preserve"> του 201</w:t>
      </w:r>
      <w:r w:rsidR="00EC68CE">
        <w:rPr>
          <w:rFonts w:ascii="Calibri" w:hAnsi="Calibri" w:cs="Tahoma"/>
          <w:b/>
          <w:bCs/>
          <w:sz w:val="22"/>
          <w:szCs w:val="22"/>
        </w:rPr>
        <w:t>5</w:t>
      </w:r>
      <w:r>
        <w:rPr>
          <w:rFonts w:ascii="Calibri" w:hAnsi="Calibri" w:cs="Tahoma"/>
          <w:b/>
          <w:bCs/>
          <w:sz w:val="22"/>
          <w:szCs w:val="22"/>
        </w:rPr>
        <w:t xml:space="preserve"> (</w:t>
      </w:r>
      <w:r w:rsidR="00EC68CE" w:rsidRPr="00EC68CE">
        <w:rPr>
          <w:rFonts w:ascii="Calibri" w:hAnsi="Calibri" w:cs="Tahoma"/>
          <w:b/>
          <w:bCs/>
          <w:sz w:val="22"/>
          <w:szCs w:val="22"/>
        </w:rPr>
        <w:t xml:space="preserve">2.984.330.892 </w:t>
      </w:r>
      <w:r>
        <w:rPr>
          <w:rFonts w:ascii="Calibri" w:hAnsi="Calibri" w:cs="Tahoma"/>
          <w:b/>
          <w:bCs/>
          <w:sz w:val="22"/>
          <w:szCs w:val="22"/>
        </w:rPr>
        <w:t>τεμάχια).</w:t>
      </w:r>
    </w:p>
    <w:p w:rsidR="003E405A" w:rsidRDefault="003E405A" w:rsidP="003E405A">
      <w:pPr>
        <w:numPr>
          <w:ilvl w:val="0"/>
          <w:numId w:val="4"/>
        </w:numPr>
        <w:tabs>
          <w:tab w:val="clear" w:pos="1800"/>
          <w:tab w:val="num" w:pos="540"/>
        </w:tabs>
        <w:spacing w:after="120"/>
        <w:ind w:left="540" w:hanging="540"/>
        <w:jc w:val="both"/>
        <w:rPr>
          <w:rFonts w:ascii="Calibri" w:hAnsi="Calibri" w:cs="Tahoma"/>
          <w:b/>
          <w:bCs/>
          <w:sz w:val="22"/>
          <w:szCs w:val="22"/>
        </w:rPr>
      </w:pPr>
      <w:r w:rsidRPr="00EF474B">
        <w:rPr>
          <w:rFonts w:ascii="Calibri" w:hAnsi="Calibri" w:cs="Tahoma"/>
          <w:b/>
          <w:bCs/>
          <w:sz w:val="22"/>
          <w:szCs w:val="22"/>
        </w:rPr>
        <w:t>Οι ξένοι επενδυτές το</w:t>
      </w:r>
      <w:r>
        <w:rPr>
          <w:rFonts w:ascii="Calibri" w:hAnsi="Calibri" w:cs="Tahoma"/>
          <w:b/>
          <w:bCs/>
          <w:sz w:val="22"/>
          <w:szCs w:val="22"/>
        </w:rPr>
        <w:t>ν</w:t>
      </w:r>
      <w:r w:rsidRPr="00EF474B">
        <w:rPr>
          <w:rFonts w:ascii="Calibri" w:hAnsi="Calibri" w:cs="Tahoma"/>
          <w:b/>
          <w:bCs/>
          <w:sz w:val="22"/>
          <w:szCs w:val="22"/>
        </w:rPr>
        <w:t xml:space="preserve"> </w:t>
      </w:r>
      <w:r w:rsidR="000B53E7" w:rsidRPr="000B53E7">
        <w:rPr>
          <w:rFonts w:ascii="Calibri" w:hAnsi="Calibri" w:cs="Tahoma"/>
          <w:b/>
          <w:bCs/>
          <w:sz w:val="22"/>
          <w:szCs w:val="22"/>
        </w:rPr>
        <w:t>Ιανουάριο 2016</w:t>
      </w:r>
      <w:r>
        <w:rPr>
          <w:rFonts w:ascii="Calibri" w:hAnsi="Calibri" w:cs="Tahoma"/>
          <w:b/>
          <w:bCs/>
          <w:sz w:val="22"/>
          <w:szCs w:val="22"/>
        </w:rPr>
        <w:t xml:space="preserve"> πραγματοποίησαν το </w:t>
      </w:r>
      <w:r w:rsidR="00453C0B">
        <w:rPr>
          <w:rFonts w:ascii="Calibri" w:hAnsi="Calibri" w:cs="Tahoma"/>
          <w:b/>
          <w:bCs/>
          <w:sz w:val="22"/>
          <w:szCs w:val="22"/>
        </w:rPr>
        <w:t>61,9%</w:t>
      </w:r>
      <w:r w:rsidRPr="00EF474B">
        <w:rPr>
          <w:rFonts w:ascii="Calibri" w:hAnsi="Calibri" w:cs="Tahoma"/>
          <w:b/>
          <w:bCs/>
          <w:sz w:val="22"/>
          <w:szCs w:val="22"/>
        </w:rPr>
        <w:t xml:space="preserve"> </w:t>
      </w:r>
      <w:r>
        <w:rPr>
          <w:rFonts w:ascii="Calibri" w:hAnsi="Calibri" w:cs="Tahoma"/>
          <w:b/>
          <w:bCs/>
          <w:sz w:val="22"/>
          <w:szCs w:val="22"/>
        </w:rPr>
        <w:t>της συνολικής αξίας συναλλαγ</w:t>
      </w:r>
      <w:r w:rsidRPr="00EF474B">
        <w:rPr>
          <w:rFonts w:ascii="Calibri" w:hAnsi="Calibri" w:cs="Tahoma"/>
          <w:b/>
          <w:bCs/>
          <w:sz w:val="22"/>
          <w:szCs w:val="22"/>
        </w:rPr>
        <w:t>ών</w:t>
      </w:r>
      <w:r>
        <w:rPr>
          <w:rFonts w:ascii="Calibri" w:hAnsi="Calibri" w:cs="Tahoma"/>
          <w:b/>
          <w:bCs/>
          <w:sz w:val="22"/>
          <w:szCs w:val="22"/>
        </w:rPr>
        <w:t>.</w:t>
      </w:r>
    </w:p>
    <w:p w:rsidR="003E405A" w:rsidRPr="00F31B28" w:rsidRDefault="00453C0B" w:rsidP="003E405A">
      <w:pPr>
        <w:numPr>
          <w:ilvl w:val="0"/>
          <w:numId w:val="4"/>
        </w:numPr>
        <w:tabs>
          <w:tab w:val="clear" w:pos="1800"/>
          <w:tab w:val="num" w:pos="540"/>
        </w:tabs>
        <w:spacing w:after="120"/>
        <w:ind w:left="540" w:hanging="540"/>
        <w:jc w:val="both"/>
        <w:rPr>
          <w:rFonts w:ascii="Calibri" w:hAnsi="Calibri" w:cs="Tahoma"/>
          <w:b/>
          <w:bCs/>
          <w:sz w:val="22"/>
          <w:szCs w:val="22"/>
        </w:rPr>
      </w:pPr>
      <w:r>
        <w:rPr>
          <w:rFonts w:ascii="Calibri" w:hAnsi="Calibri" w:cs="Tahoma"/>
          <w:b/>
          <w:bCs/>
          <w:sz w:val="22"/>
          <w:szCs w:val="22"/>
        </w:rPr>
        <w:t>17,56</w:t>
      </w:r>
      <w:r w:rsidR="003E405A">
        <w:rPr>
          <w:rFonts w:ascii="Calibri" w:hAnsi="Calibri" w:cs="Tahoma"/>
          <w:b/>
          <w:bCs/>
          <w:sz w:val="22"/>
          <w:szCs w:val="22"/>
        </w:rPr>
        <w:t xml:space="preserve"> χιλιάδες Ε</w:t>
      </w:r>
      <w:r w:rsidR="003E405A" w:rsidRPr="00F31B28">
        <w:rPr>
          <w:rFonts w:ascii="Calibri" w:hAnsi="Calibri" w:cs="Tahoma"/>
          <w:b/>
          <w:bCs/>
          <w:sz w:val="22"/>
          <w:szCs w:val="22"/>
        </w:rPr>
        <w:t>νεργές Μερίδες επενδυτών</w:t>
      </w:r>
      <w:r w:rsidR="003E405A">
        <w:rPr>
          <w:rFonts w:ascii="Calibri" w:hAnsi="Calibri" w:cs="Tahoma"/>
          <w:b/>
          <w:bCs/>
          <w:sz w:val="22"/>
          <w:szCs w:val="22"/>
        </w:rPr>
        <w:t xml:space="preserve"> (από </w:t>
      </w:r>
      <w:r w:rsidR="000B53E7" w:rsidRPr="000B53E7">
        <w:rPr>
          <w:rFonts w:ascii="Calibri" w:hAnsi="Calibri" w:cs="Tahoma"/>
          <w:b/>
          <w:bCs/>
          <w:sz w:val="22"/>
          <w:szCs w:val="22"/>
        </w:rPr>
        <w:t>26,32</w:t>
      </w:r>
      <w:r w:rsidR="009E206A">
        <w:rPr>
          <w:rFonts w:ascii="Calibri" w:hAnsi="Calibri" w:cs="Tahoma"/>
          <w:b/>
          <w:bCs/>
          <w:sz w:val="22"/>
          <w:szCs w:val="22"/>
        </w:rPr>
        <w:t xml:space="preserve"> </w:t>
      </w:r>
      <w:r w:rsidR="003E405A">
        <w:rPr>
          <w:rFonts w:ascii="Calibri" w:hAnsi="Calibri" w:cs="Tahoma"/>
          <w:b/>
          <w:bCs/>
          <w:sz w:val="22"/>
          <w:szCs w:val="22"/>
        </w:rPr>
        <w:t>χιλιάδες τον προηγούμενο μήνα)</w:t>
      </w:r>
    </w:p>
    <w:p w:rsidR="003E405A" w:rsidRPr="00CC6499" w:rsidRDefault="00453C0B" w:rsidP="003E405A">
      <w:pPr>
        <w:numPr>
          <w:ilvl w:val="0"/>
          <w:numId w:val="4"/>
        </w:numPr>
        <w:tabs>
          <w:tab w:val="clear" w:pos="1800"/>
          <w:tab w:val="num" w:pos="540"/>
        </w:tabs>
        <w:spacing w:after="120"/>
        <w:ind w:left="540" w:hanging="540"/>
        <w:jc w:val="both"/>
        <w:rPr>
          <w:rFonts w:ascii="Calibri" w:hAnsi="Calibri" w:cs="Tahoma"/>
          <w:bCs/>
          <w:sz w:val="22"/>
          <w:szCs w:val="22"/>
        </w:rPr>
      </w:pPr>
      <w:r>
        <w:rPr>
          <w:rFonts w:ascii="Calibri" w:hAnsi="Calibri" w:cs="Tahoma"/>
          <w:b/>
          <w:bCs/>
          <w:sz w:val="22"/>
          <w:szCs w:val="22"/>
        </w:rPr>
        <w:t>708</w:t>
      </w:r>
      <w:r w:rsidR="003E405A">
        <w:rPr>
          <w:rFonts w:ascii="Calibri" w:hAnsi="Calibri" w:cs="Tahoma"/>
          <w:b/>
          <w:bCs/>
          <w:sz w:val="22"/>
          <w:szCs w:val="22"/>
        </w:rPr>
        <w:t xml:space="preserve"> Νέες Μερίδες επενδυτών (από </w:t>
      </w:r>
      <w:r w:rsidR="000B53E7" w:rsidRPr="000B53E7">
        <w:rPr>
          <w:rFonts w:ascii="Calibri" w:hAnsi="Calibri" w:cs="Tahoma"/>
          <w:b/>
          <w:bCs/>
          <w:sz w:val="22"/>
          <w:szCs w:val="22"/>
        </w:rPr>
        <w:t>3.524</w:t>
      </w:r>
      <w:r w:rsidR="00F94E20">
        <w:rPr>
          <w:rFonts w:ascii="Calibri" w:hAnsi="Calibri" w:cs="Tahoma"/>
          <w:b/>
          <w:bCs/>
          <w:sz w:val="22"/>
          <w:szCs w:val="22"/>
        </w:rPr>
        <w:t xml:space="preserve"> </w:t>
      </w:r>
      <w:r w:rsidR="003E405A">
        <w:rPr>
          <w:rFonts w:ascii="Calibri" w:hAnsi="Calibri" w:cs="Tahoma"/>
          <w:b/>
          <w:bCs/>
          <w:sz w:val="22"/>
          <w:szCs w:val="22"/>
        </w:rPr>
        <w:t>τον προηγούμενο μήνα)</w:t>
      </w:r>
    </w:p>
    <w:p w:rsidR="003E405A" w:rsidRDefault="000B53E7" w:rsidP="003E405A">
      <w:pPr>
        <w:numPr>
          <w:ilvl w:val="0"/>
          <w:numId w:val="4"/>
        </w:numPr>
        <w:tabs>
          <w:tab w:val="clear" w:pos="1800"/>
          <w:tab w:val="num" w:pos="540"/>
        </w:tabs>
        <w:spacing w:after="120"/>
        <w:ind w:left="540" w:hanging="540"/>
        <w:jc w:val="both"/>
        <w:rPr>
          <w:rFonts w:ascii="Calibri" w:hAnsi="Calibri" w:cs="Tahoma"/>
          <w:b/>
          <w:bCs/>
          <w:sz w:val="22"/>
          <w:szCs w:val="22"/>
        </w:rPr>
      </w:pPr>
      <w:r w:rsidRPr="000B53E7">
        <w:rPr>
          <w:rFonts w:ascii="Calibri" w:hAnsi="Calibri" w:cs="Tahoma"/>
          <w:b/>
          <w:bCs/>
          <w:sz w:val="22"/>
          <w:szCs w:val="22"/>
        </w:rPr>
        <w:t>Απώλειες</w:t>
      </w:r>
      <w:r w:rsidR="003E405A">
        <w:rPr>
          <w:rFonts w:ascii="Calibri" w:hAnsi="Calibri" w:cs="Tahoma"/>
          <w:b/>
          <w:bCs/>
          <w:sz w:val="22"/>
          <w:szCs w:val="22"/>
        </w:rPr>
        <w:t xml:space="preserve"> της τάξης του </w:t>
      </w:r>
      <w:r w:rsidRPr="000B53E7">
        <w:rPr>
          <w:rFonts w:ascii="Calibri" w:hAnsi="Calibri" w:cs="Tahoma"/>
          <w:b/>
          <w:bCs/>
          <w:sz w:val="22"/>
          <w:szCs w:val="22"/>
        </w:rPr>
        <w:t>11,0%</w:t>
      </w:r>
      <w:r w:rsidR="003E405A" w:rsidRPr="00F31B28">
        <w:rPr>
          <w:rFonts w:ascii="Calibri" w:hAnsi="Calibri" w:cs="Tahoma"/>
          <w:b/>
          <w:bCs/>
          <w:sz w:val="22"/>
          <w:szCs w:val="22"/>
        </w:rPr>
        <w:t xml:space="preserve"> </w:t>
      </w:r>
      <w:r w:rsidR="003E405A">
        <w:rPr>
          <w:rFonts w:ascii="Calibri" w:hAnsi="Calibri" w:cs="Tahoma"/>
          <w:b/>
          <w:bCs/>
          <w:sz w:val="22"/>
          <w:szCs w:val="22"/>
        </w:rPr>
        <w:t>στην τιμή</w:t>
      </w:r>
      <w:r w:rsidR="003E405A" w:rsidRPr="00F31B28">
        <w:rPr>
          <w:rFonts w:ascii="Calibri" w:hAnsi="Calibri" w:cs="Tahoma"/>
          <w:b/>
          <w:bCs/>
          <w:sz w:val="22"/>
          <w:szCs w:val="22"/>
        </w:rPr>
        <w:t xml:space="preserve"> του Γενικού Δείκτη Χ.Α από την αρχή του μήνα.</w:t>
      </w:r>
    </w:p>
    <w:p w:rsidR="00951196" w:rsidRPr="002A7B11" w:rsidRDefault="003E405A" w:rsidP="00CA0F84">
      <w:pPr>
        <w:spacing w:before="120" w:after="120"/>
        <w:jc w:val="both"/>
        <w:rPr>
          <w:rFonts w:ascii="Calibri" w:hAnsi="Calibri" w:cs="Tahoma"/>
          <w:bCs/>
          <w:sz w:val="22"/>
          <w:szCs w:val="22"/>
        </w:rPr>
      </w:pPr>
      <w:r w:rsidRPr="00F31B28">
        <w:rPr>
          <w:rFonts w:ascii="Calibri" w:hAnsi="Calibri" w:cs="Tahoma"/>
          <w:bCs/>
          <w:sz w:val="22"/>
          <w:szCs w:val="22"/>
        </w:rPr>
        <w:t xml:space="preserve">Η </w:t>
      </w:r>
      <w:r w:rsidRPr="00F31B28">
        <w:rPr>
          <w:rFonts w:ascii="Calibri" w:hAnsi="Calibri" w:cs="Tahoma"/>
          <w:b/>
          <w:bCs/>
          <w:sz w:val="22"/>
          <w:szCs w:val="22"/>
        </w:rPr>
        <w:t>Αξία Συναλλαγών</w:t>
      </w:r>
      <w:r w:rsidRPr="00F31B28">
        <w:rPr>
          <w:rFonts w:ascii="Calibri" w:hAnsi="Calibri" w:cs="Tahoma"/>
          <w:bCs/>
          <w:sz w:val="22"/>
          <w:szCs w:val="22"/>
        </w:rPr>
        <w:t xml:space="preserve"> του </w:t>
      </w:r>
      <w:r w:rsidR="000B53E7" w:rsidRPr="000B53E7">
        <w:rPr>
          <w:rFonts w:ascii="Calibri" w:hAnsi="Calibri" w:cs="Tahoma"/>
          <w:bCs/>
          <w:sz w:val="22"/>
          <w:szCs w:val="22"/>
        </w:rPr>
        <w:t>Ιανουαρίου 2016</w:t>
      </w:r>
      <w:r w:rsidRPr="00F31B28">
        <w:rPr>
          <w:rFonts w:ascii="Calibri" w:hAnsi="Calibri" w:cs="Tahoma"/>
          <w:bCs/>
          <w:sz w:val="22"/>
          <w:szCs w:val="22"/>
        </w:rPr>
        <w:t xml:space="preserve"> έφτασε τα </w:t>
      </w:r>
      <w:r w:rsidRPr="00F31B28">
        <w:rPr>
          <w:rFonts w:ascii="Calibri" w:hAnsi="Calibri" w:cs="Tahoma"/>
          <w:b/>
          <w:bCs/>
          <w:sz w:val="22"/>
          <w:szCs w:val="22"/>
        </w:rPr>
        <w:t>€</w:t>
      </w:r>
      <w:r w:rsidR="00453C0B">
        <w:rPr>
          <w:rFonts w:ascii="Calibri" w:hAnsi="Calibri" w:cs="Tahoma"/>
          <w:b/>
          <w:bCs/>
          <w:sz w:val="22"/>
          <w:szCs w:val="22"/>
        </w:rPr>
        <w:t>1.421,93</w:t>
      </w:r>
      <w:r>
        <w:rPr>
          <w:rFonts w:ascii="Calibri" w:hAnsi="Calibri" w:cs="Tahoma"/>
          <w:b/>
          <w:bCs/>
          <w:sz w:val="22"/>
          <w:szCs w:val="22"/>
        </w:rPr>
        <w:t xml:space="preserve"> </w:t>
      </w:r>
      <w:r w:rsidRPr="00F31B28">
        <w:rPr>
          <w:rFonts w:ascii="Calibri" w:hAnsi="Calibri" w:cs="Tahoma"/>
          <w:b/>
          <w:bCs/>
          <w:sz w:val="22"/>
          <w:szCs w:val="22"/>
        </w:rPr>
        <w:t>εκατ.</w:t>
      </w:r>
      <w:r w:rsidRPr="00F31B28">
        <w:rPr>
          <w:rFonts w:ascii="Calibri" w:hAnsi="Calibri" w:cs="Tahoma"/>
          <w:bCs/>
          <w:i/>
          <w:sz w:val="22"/>
          <w:szCs w:val="22"/>
        </w:rPr>
        <w:t xml:space="preserve"> (βλ. γράφημα 1) </w:t>
      </w:r>
      <w:r>
        <w:rPr>
          <w:rFonts w:ascii="Calibri" w:hAnsi="Calibri" w:cs="Tahoma"/>
          <w:bCs/>
          <w:sz w:val="22"/>
          <w:szCs w:val="22"/>
        </w:rPr>
        <w:t xml:space="preserve">σημειώνοντας </w:t>
      </w:r>
      <w:r w:rsidR="00453C0B">
        <w:rPr>
          <w:rFonts w:ascii="Calibri" w:hAnsi="Calibri" w:cs="Tahoma"/>
          <w:b/>
          <w:bCs/>
          <w:sz w:val="22"/>
          <w:szCs w:val="22"/>
        </w:rPr>
        <w:t>μείωση</w:t>
      </w:r>
      <w:r w:rsidRPr="002E7E7C">
        <w:rPr>
          <w:rFonts w:ascii="Calibri" w:hAnsi="Calibri" w:cs="Tahoma"/>
          <w:bCs/>
          <w:sz w:val="22"/>
          <w:szCs w:val="22"/>
        </w:rPr>
        <w:t xml:space="preserve"> </w:t>
      </w:r>
      <w:r>
        <w:rPr>
          <w:rFonts w:ascii="Calibri" w:hAnsi="Calibri" w:cs="Tahoma"/>
          <w:b/>
          <w:bCs/>
          <w:sz w:val="22"/>
          <w:szCs w:val="22"/>
        </w:rPr>
        <w:t xml:space="preserve">κατά </w:t>
      </w:r>
      <w:r w:rsidR="00453C0B">
        <w:rPr>
          <w:rFonts w:ascii="Calibri" w:hAnsi="Calibri" w:cs="Tahoma"/>
          <w:b/>
          <w:bCs/>
          <w:sz w:val="22"/>
          <w:szCs w:val="22"/>
        </w:rPr>
        <w:t>63,9%</w:t>
      </w:r>
      <w:r>
        <w:rPr>
          <w:rFonts w:ascii="Calibri" w:hAnsi="Calibri" w:cs="Tahoma"/>
          <w:bCs/>
          <w:sz w:val="22"/>
          <w:szCs w:val="22"/>
        </w:rPr>
        <w:t xml:space="preserve"> από τη συναλλακτική δραστηριότητα του </w:t>
      </w:r>
      <w:r w:rsidR="000F451D">
        <w:rPr>
          <w:rFonts w:ascii="Calibri" w:hAnsi="Calibri" w:cs="Tahoma"/>
          <w:bCs/>
          <w:sz w:val="22"/>
          <w:szCs w:val="22"/>
        </w:rPr>
        <w:t>προηγούμενου μήνα</w:t>
      </w:r>
      <w:r w:rsidRPr="00F31B28">
        <w:rPr>
          <w:rFonts w:ascii="Calibri" w:hAnsi="Calibri" w:cs="Tahoma"/>
          <w:bCs/>
          <w:sz w:val="22"/>
          <w:szCs w:val="22"/>
        </w:rPr>
        <w:t xml:space="preserve"> που ήταν </w:t>
      </w:r>
      <w:r w:rsidR="00AD1A78" w:rsidRPr="00AD1A78">
        <w:rPr>
          <w:rFonts w:ascii="Calibri" w:hAnsi="Calibri" w:cs="Tahoma"/>
          <w:bCs/>
          <w:sz w:val="22"/>
          <w:szCs w:val="22"/>
        </w:rPr>
        <w:t>€</w:t>
      </w:r>
      <w:r w:rsidR="000B53E7" w:rsidRPr="000B53E7">
        <w:rPr>
          <w:rFonts w:ascii="Calibri" w:hAnsi="Calibri" w:cs="Tahoma"/>
          <w:bCs/>
          <w:sz w:val="22"/>
          <w:szCs w:val="22"/>
        </w:rPr>
        <w:t>3.942,33</w:t>
      </w:r>
      <w:r w:rsidR="00AD1A78">
        <w:rPr>
          <w:rFonts w:ascii="Calibri" w:hAnsi="Calibri" w:cs="Tahoma"/>
          <w:b/>
          <w:bCs/>
          <w:sz w:val="22"/>
          <w:szCs w:val="22"/>
        </w:rPr>
        <w:t xml:space="preserve"> </w:t>
      </w:r>
      <w:r w:rsidRPr="00F31B28">
        <w:rPr>
          <w:rFonts w:ascii="Calibri" w:hAnsi="Calibri" w:cs="Tahoma"/>
          <w:bCs/>
          <w:sz w:val="22"/>
          <w:szCs w:val="22"/>
        </w:rPr>
        <w:t>εκατ. Σε σχέση με το</w:t>
      </w:r>
      <w:r>
        <w:rPr>
          <w:rFonts w:ascii="Calibri" w:hAnsi="Calibri" w:cs="Tahoma"/>
          <w:bCs/>
          <w:sz w:val="22"/>
          <w:szCs w:val="22"/>
        </w:rPr>
        <w:t>ν</w:t>
      </w:r>
      <w:r w:rsidRPr="00F31B28">
        <w:rPr>
          <w:rFonts w:ascii="Calibri" w:hAnsi="Calibri" w:cs="Tahoma"/>
          <w:bCs/>
          <w:sz w:val="22"/>
          <w:szCs w:val="22"/>
        </w:rPr>
        <w:t xml:space="preserve"> </w:t>
      </w:r>
      <w:r w:rsidR="000B53E7" w:rsidRPr="000B53E7">
        <w:rPr>
          <w:rFonts w:ascii="Calibri" w:hAnsi="Calibri" w:cs="Tahoma"/>
          <w:bCs/>
          <w:sz w:val="22"/>
          <w:szCs w:val="22"/>
        </w:rPr>
        <w:t>Ιανουάριο 2015</w:t>
      </w:r>
      <w:r w:rsidRPr="00F31B28">
        <w:rPr>
          <w:rFonts w:ascii="Calibri" w:hAnsi="Calibri" w:cs="Tahoma"/>
          <w:bCs/>
          <w:sz w:val="22"/>
          <w:szCs w:val="22"/>
        </w:rPr>
        <w:t xml:space="preserve"> που η αξία συναλλαγών ήταν €</w:t>
      </w:r>
      <w:r w:rsidR="000B53E7" w:rsidRPr="000B53E7">
        <w:rPr>
          <w:rFonts w:ascii="Calibri" w:hAnsi="Calibri" w:cs="Tahoma"/>
          <w:bCs/>
          <w:sz w:val="22"/>
          <w:szCs w:val="22"/>
        </w:rPr>
        <w:t>2.142,23</w:t>
      </w:r>
      <w:r>
        <w:rPr>
          <w:rFonts w:ascii="Calibri" w:hAnsi="Calibri" w:cs="Tahoma"/>
          <w:bCs/>
          <w:sz w:val="22"/>
          <w:szCs w:val="22"/>
        </w:rPr>
        <w:t xml:space="preserve"> </w:t>
      </w:r>
      <w:r w:rsidRPr="00F31B28">
        <w:rPr>
          <w:rFonts w:ascii="Calibri" w:hAnsi="Calibri" w:cs="Tahoma"/>
          <w:bCs/>
          <w:sz w:val="22"/>
          <w:szCs w:val="22"/>
        </w:rPr>
        <w:t xml:space="preserve">εκατ., </w:t>
      </w:r>
      <w:r>
        <w:rPr>
          <w:rFonts w:ascii="Calibri" w:hAnsi="Calibri" w:cs="Tahoma"/>
          <w:bCs/>
          <w:sz w:val="22"/>
          <w:szCs w:val="22"/>
        </w:rPr>
        <w:t>σημειώθηκε</w:t>
      </w:r>
      <w:r w:rsidRPr="00F31B28">
        <w:rPr>
          <w:rFonts w:ascii="Calibri" w:hAnsi="Calibri" w:cs="Tahoma"/>
          <w:bCs/>
          <w:sz w:val="22"/>
          <w:szCs w:val="22"/>
        </w:rPr>
        <w:t xml:space="preserve"> </w:t>
      </w:r>
      <w:r w:rsidR="00453C0B" w:rsidRPr="00453C0B">
        <w:rPr>
          <w:rFonts w:ascii="Calibri" w:hAnsi="Calibri" w:cs="Tahoma"/>
          <w:bCs/>
          <w:sz w:val="22"/>
          <w:szCs w:val="22"/>
        </w:rPr>
        <w:t>μείωση</w:t>
      </w:r>
      <w:r>
        <w:rPr>
          <w:rFonts w:ascii="Calibri" w:hAnsi="Calibri" w:cs="Tahoma"/>
          <w:bCs/>
          <w:sz w:val="22"/>
          <w:szCs w:val="22"/>
        </w:rPr>
        <w:t xml:space="preserve"> της τάξης του</w:t>
      </w:r>
      <w:r w:rsidR="00453C0B">
        <w:rPr>
          <w:rFonts w:ascii="Calibri" w:hAnsi="Calibri" w:cs="Tahoma"/>
          <w:bCs/>
          <w:sz w:val="22"/>
          <w:szCs w:val="22"/>
        </w:rPr>
        <w:t xml:space="preserve"> 33,6%</w:t>
      </w:r>
      <w:r w:rsidRPr="004A6E47">
        <w:rPr>
          <w:rFonts w:ascii="Calibri" w:hAnsi="Calibri" w:cs="Tahoma"/>
          <w:bCs/>
          <w:sz w:val="22"/>
          <w:szCs w:val="22"/>
        </w:rPr>
        <w:t>.</w:t>
      </w:r>
    </w:p>
    <w:p w:rsidR="00AA42F7" w:rsidRPr="002A7B11" w:rsidRDefault="00AA42F7" w:rsidP="00CA0F84">
      <w:pPr>
        <w:spacing w:before="120" w:after="120"/>
        <w:jc w:val="both"/>
        <w:rPr>
          <w:rFonts w:ascii="Calibri" w:hAnsi="Calibri" w:cs="Tahoma"/>
          <w:bCs/>
          <w:sz w:val="22"/>
          <w:szCs w:val="22"/>
        </w:rPr>
      </w:pPr>
    </w:p>
    <w:p w:rsidR="00951196" w:rsidRDefault="00BE288B" w:rsidP="00CA0F84">
      <w:pPr>
        <w:pStyle w:val="Caption"/>
        <w:spacing w:after="120"/>
        <w:jc w:val="center"/>
        <w:rPr>
          <w:b/>
          <w:i w:val="0"/>
          <w:sz w:val="18"/>
          <w:szCs w:val="18"/>
        </w:rPr>
      </w:pPr>
      <w:r>
        <w:rPr>
          <w:rFonts w:ascii="Calibri" w:hAnsi="Calibri" w:cs="Tahoma"/>
          <w:bCs/>
          <w:noProof/>
          <w:lang w:eastAsia="el-GR"/>
        </w:rPr>
        <w:lastRenderedPageBreak/>
        <w:drawing>
          <wp:inline distT="0" distB="0" distL="0" distR="0">
            <wp:extent cx="6202680" cy="1630680"/>
            <wp:effectExtent l="0" t="0" r="762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268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0EE6" w:rsidRPr="006A0EE6">
        <w:rPr>
          <w:b/>
          <w:i w:val="0"/>
          <w:sz w:val="18"/>
          <w:szCs w:val="18"/>
        </w:rPr>
        <w:t xml:space="preserve">Γράφημα </w:t>
      </w:r>
      <w:r w:rsidR="006A0EE6" w:rsidRPr="006A0EE6">
        <w:rPr>
          <w:b/>
          <w:i w:val="0"/>
          <w:sz w:val="18"/>
          <w:szCs w:val="18"/>
        </w:rPr>
        <w:fldChar w:fldCharType="begin"/>
      </w:r>
      <w:r w:rsidR="006A0EE6" w:rsidRPr="006A0EE6">
        <w:rPr>
          <w:b/>
          <w:i w:val="0"/>
          <w:sz w:val="18"/>
          <w:szCs w:val="18"/>
        </w:rPr>
        <w:instrText xml:space="preserve"> SEQ Γράφημα \* ARABIC </w:instrText>
      </w:r>
      <w:r w:rsidR="006A0EE6" w:rsidRPr="006A0EE6">
        <w:rPr>
          <w:b/>
          <w:i w:val="0"/>
          <w:sz w:val="18"/>
          <w:szCs w:val="18"/>
        </w:rPr>
        <w:fldChar w:fldCharType="separate"/>
      </w:r>
      <w:r w:rsidR="000A358B">
        <w:rPr>
          <w:b/>
          <w:i w:val="0"/>
          <w:noProof/>
          <w:sz w:val="18"/>
          <w:szCs w:val="18"/>
        </w:rPr>
        <w:t>1</w:t>
      </w:r>
      <w:r w:rsidR="006A0EE6" w:rsidRPr="006A0EE6">
        <w:rPr>
          <w:b/>
          <w:i w:val="0"/>
          <w:sz w:val="18"/>
          <w:szCs w:val="18"/>
        </w:rPr>
        <w:fldChar w:fldCharType="end"/>
      </w:r>
    </w:p>
    <w:p w:rsidR="005E0BCD" w:rsidRDefault="005E0BCD" w:rsidP="003E405A">
      <w:pPr>
        <w:jc w:val="both"/>
        <w:rPr>
          <w:rFonts w:ascii="Calibri" w:hAnsi="Calibri" w:cs="Tahoma"/>
          <w:bCs/>
          <w:sz w:val="22"/>
          <w:szCs w:val="22"/>
        </w:rPr>
      </w:pPr>
    </w:p>
    <w:p w:rsidR="003E405A" w:rsidRPr="00CA0F84" w:rsidRDefault="003E405A" w:rsidP="003E405A">
      <w:pPr>
        <w:jc w:val="both"/>
        <w:rPr>
          <w:rFonts w:ascii="Calibri" w:hAnsi="Calibri" w:cs="Tahoma"/>
          <w:bCs/>
          <w:sz w:val="22"/>
          <w:szCs w:val="22"/>
        </w:rPr>
      </w:pPr>
      <w:r w:rsidRPr="00F31B28">
        <w:rPr>
          <w:rFonts w:ascii="Calibri" w:hAnsi="Calibri" w:cs="Tahoma"/>
          <w:bCs/>
          <w:sz w:val="22"/>
          <w:szCs w:val="22"/>
        </w:rPr>
        <w:t xml:space="preserve">Αντίστοιχα, η </w:t>
      </w:r>
      <w:r w:rsidRPr="00F31B28">
        <w:rPr>
          <w:rFonts w:ascii="Calibri" w:hAnsi="Calibri" w:cs="Tahoma"/>
          <w:b/>
          <w:bCs/>
          <w:sz w:val="22"/>
          <w:szCs w:val="22"/>
        </w:rPr>
        <w:t>Μέση Ημερήσια Αξία Συναλλαγών</w:t>
      </w:r>
      <w:r w:rsidRPr="00F31B28">
        <w:rPr>
          <w:rFonts w:ascii="Calibri" w:hAnsi="Calibri" w:cs="Tahoma"/>
          <w:bCs/>
          <w:sz w:val="22"/>
          <w:szCs w:val="22"/>
        </w:rPr>
        <w:t xml:space="preserve"> του </w:t>
      </w:r>
      <w:r w:rsidR="000B53E7" w:rsidRPr="000B53E7">
        <w:rPr>
          <w:rFonts w:ascii="Calibri" w:hAnsi="Calibri" w:cs="Tahoma"/>
          <w:bCs/>
          <w:sz w:val="22"/>
          <w:szCs w:val="22"/>
        </w:rPr>
        <w:t>Ιανουαρίου 2016</w:t>
      </w:r>
      <w:r w:rsidRPr="00F31B28">
        <w:rPr>
          <w:rFonts w:ascii="Calibri" w:hAnsi="Calibri" w:cs="Tahoma"/>
          <w:bCs/>
          <w:sz w:val="22"/>
          <w:szCs w:val="22"/>
        </w:rPr>
        <w:t xml:space="preserve"> ήταν </w:t>
      </w:r>
      <w:r w:rsidRPr="00F31B28">
        <w:rPr>
          <w:rFonts w:ascii="Calibri" w:hAnsi="Calibri" w:cs="Tahoma"/>
          <w:b/>
          <w:bCs/>
          <w:sz w:val="22"/>
          <w:szCs w:val="22"/>
        </w:rPr>
        <w:t>€</w:t>
      </w:r>
      <w:r w:rsidR="00C53304" w:rsidRPr="00C53304">
        <w:rPr>
          <w:rFonts w:ascii="Calibri" w:hAnsi="Calibri" w:cs="Tahoma"/>
          <w:b/>
          <w:bCs/>
          <w:sz w:val="22"/>
          <w:szCs w:val="22"/>
        </w:rPr>
        <w:t>74,84</w:t>
      </w:r>
      <w:r w:rsidRPr="00F31B28">
        <w:rPr>
          <w:rFonts w:ascii="Calibri" w:hAnsi="Calibri" w:cs="Tahoma"/>
          <w:b/>
          <w:bCs/>
          <w:sz w:val="22"/>
          <w:szCs w:val="22"/>
        </w:rPr>
        <w:t xml:space="preserve"> εκατ.</w:t>
      </w:r>
      <w:r w:rsidRPr="00CC6499">
        <w:rPr>
          <w:rFonts w:ascii="Calibri" w:hAnsi="Calibri" w:cs="Tahoma"/>
          <w:b/>
          <w:bCs/>
          <w:sz w:val="22"/>
          <w:szCs w:val="22"/>
        </w:rPr>
        <w:t xml:space="preserve">, </w:t>
      </w:r>
      <w:r w:rsidR="00C53304">
        <w:rPr>
          <w:rFonts w:ascii="Calibri" w:hAnsi="Calibri" w:cs="Tahoma"/>
          <w:bCs/>
          <w:sz w:val="22"/>
          <w:szCs w:val="22"/>
        </w:rPr>
        <w:t>μειωμένη</w:t>
      </w:r>
      <w:r>
        <w:rPr>
          <w:rFonts w:ascii="Calibri" w:hAnsi="Calibri" w:cs="Tahoma"/>
          <w:bCs/>
          <w:sz w:val="22"/>
          <w:szCs w:val="22"/>
        </w:rPr>
        <w:t xml:space="preserve"> σε σχέση με την αντίστοιχη του </w:t>
      </w:r>
      <w:r w:rsidR="009B0D4A">
        <w:rPr>
          <w:rFonts w:ascii="Calibri" w:hAnsi="Calibri" w:cs="Tahoma"/>
          <w:bCs/>
          <w:sz w:val="22"/>
          <w:szCs w:val="22"/>
        </w:rPr>
        <w:t>προηγούμενου μήνα</w:t>
      </w:r>
      <w:r>
        <w:rPr>
          <w:rFonts w:ascii="Calibri" w:hAnsi="Calibri" w:cs="Tahoma"/>
          <w:bCs/>
          <w:sz w:val="22"/>
          <w:szCs w:val="22"/>
        </w:rPr>
        <w:t xml:space="preserve"> </w:t>
      </w:r>
      <w:r w:rsidR="005723C6" w:rsidRPr="005723C6">
        <w:rPr>
          <w:rFonts w:ascii="Calibri" w:hAnsi="Calibri" w:cs="Tahoma"/>
          <w:bCs/>
          <w:sz w:val="22"/>
          <w:szCs w:val="22"/>
        </w:rPr>
        <w:t>(€</w:t>
      </w:r>
      <w:r w:rsidR="000B53E7" w:rsidRPr="000B53E7">
        <w:rPr>
          <w:rFonts w:ascii="Calibri" w:hAnsi="Calibri" w:cs="Tahoma"/>
          <w:bCs/>
          <w:sz w:val="22"/>
          <w:szCs w:val="22"/>
        </w:rPr>
        <w:t>187,73</w:t>
      </w:r>
      <w:r w:rsidR="005723C6" w:rsidRPr="005723C6">
        <w:rPr>
          <w:rFonts w:ascii="Calibri" w:hAnsi="Calibri" w:cs="Tahoma"/>
          <w:bCs/>
          <w:sz w:val="22"/>
          <w:szCs w:val="22"/>
        </w:rPr>
        <w:t xml:space="preserve"> εκατ.</w:t>
      </w:r>
      <w:r w:rsidRPr="005723C6">
        <w:rPr>
          <w:rFonts w:ascii="Calibri" w:hAnsi="Calibri" w:cs="Tahoma"/>
          <w:bCs/>
          <w:sz w:val="22"/>
          <w:szCs w:val="22"/>
        </w:rPr>
        <w:t>)</w:t>
      </w:r>
      <w:r>
        <w:rPr>
          <w:rFonts w:ascii="Calibri" w:hAnsi="Calibri" w:cs="Tahoma"/>
          <w:bCs/>
          <w:sz w:val="22"/>
          <w:szCs w:val="22"/>
        </w:rPr>
        <w:t xml:space="preserve"> </w:t>
      </w:r>
      <w:r w:rsidR="00C955C4">
        <w:rPr>
          <w:rFonts w:ascii="Calibri" w:hAnsi="Calibri" w:cs="Tahoma"/>
          <w:bCs/>
          <w:sz w:val="22"/>
          <w:szCs w:val="22"/>
        </w:rPr>
        <w:t>και</w:t>
      </w:r>
      <w:r>
        <w:rPr>
          <w:rFonts w:ascii="Calibri" w:hAnsi="Calibri" w:cs="Tahoma"/>
          <w:bCs/>
          <w:sz w:val="22"/>
          <w:szCs w:val="22"/>
        </w:rPr>
        <w:t xml:space="preserve"> </w:t>
      </w:r>
      <w:r w:rsidR="00C53304">
        <w:rPr>
          <w:rFonts w:ascii="Calibri" w:hAnsi="Calibri" w:cs="Tahoma"/>
          <w:bCs/>
          <w:sz w:val="22"/>
          <w:szCs w:val="22"/>
        </w:rPr>
        <w:t>μειωμένη</w:t>
      </w:r>
      <w:r>
        <w:rPr>
          <w:rFonts w:ascii="Calibri" w:hAnsi="Calibri" w:cs="Tahoma"/>
          <w:bCs/>
          <w:sz w:val="22"/>
          <w:szCs w:val="22"/>
        </w:rPr>
        <w:t xml:space="preserve"> της αντίστοιχης του</w:t>
      </w:r>
      <w:r w:rsidRPr="00F31B28">
        <w:rPr>
          <w:rFonts w:ascii="Calibri" w:hAnsi="Calibri" w:cs="Tahoma"/>
          <w:bCs/>
          <w:sz w:val="22"/>
          <w:szCs w:val="22"/>
        </w:rPr>
        <w:t xml:space="preserve"> </w:t>
      </w:r>
      <w:r w:rsidR="009B0D4A">
        <w:rPr>
          <w:rFonts w:ascii="Calibri" w:hAnsi="Calibri" w:cs="Tahoma"/>
          <w:bCs/>
          <w:sz w:val="22"/>
          <w:szCs w:val="22"/>
        </w:rPr>
        <w:t>ίδιου μήνα του προηγούμενου έτους</w:t>
      </w:r>
      <w:r w:rsidRPr="00F31B28">
        <w:rPr>
          <w:rFonts w:ascii="Calibri" w:hAnsi="Calibri" w:cs="Tahoma"/>
          <w:bCs/>
          <w:sz w:val="22"/>
          <w:szCs w:val="22"/>
        </w:rPr>
        <w:t xml:space="preserve"> </w:t>
      </w:r>
      <w:r>
        <w:rPr>
          <w:rFonts w:ascii="Calibri" w:hAnsi="Calibri" w:cs="Tahoma"/>
          <w:bCs/>
          <w:sz w:val="22"/>
          <w:szCs w:val="22"/>
        </w:rPr>
        <w:t>(</w:t>
      </w:r>
      <w:r w:rsidRPr="00F31B28">
        <w:rPr>
          <w:rFonts w:ascii="Calibri" w:hAnsi="Calibri" w:cs="Tahoma"/>
          <w:bCs/>
          <w:sz w:val="22"/>
          <w:szCs w:val="22"/>
        </w:rPr>
        <w:t>€</w:t>
      </w:r>
      <w:r w:rsidR="000B53E7" w:rsidRPr="000B53E7">
        <w:rPr>
          <w:rFonts w:ascii="Calibri" w:hAnsi="Calibri" w:cs="Tahoma"/>
          <w:bCs/>
          <w:sz w:val="22"/>
          <w:szCs w:val="22"/>
        </w:rPr>
        <w:t>107,11</w:t>
      </w:r>
      <w:r w:rsidR="00B13002" w:rsidRPr="00B13002">
        <w:rPr>
          <w:rFonts w:ascii="Calibri" w:hAnsi="Calibri" w:cs="Tahoma"/>
          <w:bCs/>
          <w:sz w:val="22"/>
          <w:szCs w:val="22"/>
        </w:rPr>
        <w:t xml:space="preserve"> </w:t>
      </w:r>
      <w:r w:rsidR="00CA0F84">
        <w:rPr>
          <w:rFonts w:ascii="Calibri" w:hAnsi="Calibri" w:cs="Tahoma"/>
          <w:bCs/>
          <w:sz w:val="22"/>
          <w:szCs w:val="22"/>
        </w:rPr>
        <w:t>εκατ.)</w:t>
      </w:r>
      <w:r w:rsidR="00CA0F84" w:rsidRPr="00CA0F84">
        <w:rPr>
          <w:rFonts w:ascii="Calibri" w:hAnsi="Calibri" w:cs="Tahoma"/>
          <w:bCs/>
          <w:sz w:val="22"/>
          <w:szCs w:val="22"/>
        </w:rPr>
        <w:t>.</w:t>
      </w:r>
    </w:p>
    <w:p w:rsidR="003E405A" w:rsidRPr="00F31B28" w:rsidRDefault="003E405A" w:rsidP="003E405A">
      <w:pPr>
        <w:spacing w:before="120" w:after="120"/>
        <w:jc w:val="both"/>
        <w:rPr>
          <w:rFonts w:ascii="Calibri" w:hAnsi="Calibri" w:cs="Tahoma"/>
          <w:bCs/>
          <w:sz w:val="22"/>
          <w:szCs w:val="22"/>
        </w:rPr>
      </w:pPr>
      <w:r w:rsidRPr="00F31B28">
        <w:rPr>
          <w:rFonts w:ascii="Calibri" w:hAnsi="Calibri" w:cs="Tahoma"/>
          <w:bCs/>
          <w:sz w:val="22"/>
          <w:szCs w:val="22"/>
        </w:rPr>
        <w:t xml:space="preserve">Ο αριθμός των </w:t>
      </w:r>
      <w:r w:rsidRPr="00F31B28">
        <w:rPr>
          <w:rFonts w:ascii="Calibri" w:hAnsi="Calibri" w:cs="Tahoma"/>
          <w:b/>
          <w:bCs/>
          <w:sz w:val="22"/>
          <w:szCs w:val="22"/>
        </w:rPr>
        <w:t xml:space="preserve">Ενεργών Μερίδων για το μήνα </w:t>
      </w:r>
      <w:r w:rsidR="000B53E7" w:rsidRPr="000B53E7">
        <w:rPr>
          <w:rFonts w:ascii="Calibri" w:hAnsi="Calibri" w:cs="Tahoma"/>
          <w:bCs/>
          <w:sz w:val="22"/>
          <w:szCs w:val="22"/>
        </w:rPr>
        <w:t>Ιανουάριο 2016</w:t>
      </w:r>
      <w:r w:rsidRPr="003438B5">
        <w:rPr>
          <w:rFonts w:ascii="Calibri" w:hAnsi="Calibri" w:cs="Tahoma"/>
          <w:bCs/>
          <w:sz w:val="22"/>
          <w:szCs w:val="22"/>
        </w:rPr>
        <w:t xml:space="preserve"> </w:t>
      </w:r>
      <w:r w:rsidRPr="00F31B28">
        <w:rPr>
          <w:rFonts w:ascii="Calibri" w:hAnsi="Calibri" w:cs="Tahoma"/>
          <w:bCs/>
          <w:sz w:val="22"/>
          <w:szCs w:val="22"/>
        </w:rPr>
        <w:t xml:space="preserve">ανήλθε στις </w:t>
      </w:r>
      <w:r w:rsidR="00C53304">
        <w:rPr>
          <w:rFonts w:ascii="Calibri" w:hAnsi="Calibri" w:cs="Tahoma"/>
          <w:b/>
          <w:bCs/>
          <w:sz w:val="22"/>
          <w:szCs w:val="22"/>
        </w:rPr>
        <w:t>17.556</w:t>
      </w:r>
      <w:r>
        <w:rPr>
          <w:rFonts w:ascii="Calibri" w:hAnsi="Calibri" w:cs="Tahoma"/>
          <w:b/>
          <w:bCs/>
          <w:sz w:val="22"/>
          <w:szCs w:val="22"/>
        </w:rPr>
        <w:t xml:space="preserve"> </w:t>
      </w:r>
      <w:r w:rsidRPr="00F31B28">
        <w:rPr>
          <w:rFonts w:ascii="Calibri" w:hAnsi="Calibri" w:cs="Tahoma"/>
          <w:bCs/>
          <w:sz w:val="22"/>
          <w:szCs w:val="22"/>
        </w:rPr>
        <w:t xml:space="preserve">έναντι </w:t>
      </w:r>
      <w:r w:rsidR="000B53E7" w:rsidRPr="000B53E7">
        <w:rPr>
          <w:rFonts w:ascii="Calibri" w:hAnsi="Calibri" w:cs="Tahoma"/>
          <w:bCs/>
          <w:sz w:val="22"/>
          <w:szCs w:val="22"/>
        </w:rPr>
        <w:t>26.322</w:t>
      </w:r>
      <w:r w:rsidR="00AD6FC2">
        <w:rPr>
          <w:rFonts w:ascii="Calibri" w:hAnsi="Calibri" w:cs="Tahoma"/>
          <w:b/>
          <w:bCs/>
          <w:sz w:val="22"/>
          <w:szCs w:val="22"/>
        </w:rPr>
        <w:t xml:space="preserve"> </w:t>
      </w:r>
      <w:r>
        <w:rPr>
          <w:rFonts w:ascii="Calibri" w:hAnsi="Calibri" w:cs="Tahoma"/>
          <w:bCs/>
          <w:sz w:val="22"/>
          <w:szCs w:val="22"/>
        </w:rPr>
        <w:t>κατά τον προηγούμενο μήνα (</w:t>
      </w:r>
      <w:r w:rsidR="009B0D4A">
        <w:rPr>
          <w:rFonts w:ascii="Calibri" w:hAnsi="Calibri" w:cs="Tahoma"/>
          <w:bCs/>
          <w:sz w:val="22"/>
          <w:szCs w:val="22"/>
        </w:rPr>
        <w:t xml:space="preserve">τον </w:t>
      </w:r>
      <w:r w:rsidR="000B53E7" w:rsidRPr="000B53E7">
        <w:rPr>
          <w:rFonts w:ascii="Calibri" w:hAnsi="Calibri" w:cs="Tahoma"/>
          <w:bCs/>
          <w:sz w:val="22"/>
          <w:szCs w:val="22"/>
        </w:rPr>
        <w:t>Ιανουάριο 2015</w:t>
      </w:r>
      <w:r w:rsidR="009B0D4A">
        <w:rPr>
          <w:rFonts w:ascii="Calibri" w:hAnsi="Calibri" w:cs="Tahoma"/>
          <w:bCs/>
          <w:sz w:val="22"/>
          <w:szCs w:val="22"/>
        </w:rPr>
        <w:t xml:space="preserve"> ο αριθμός των ενεργών μερίδων ανήλθε στις</w:t>
      </w:r>
      <w:r>
        <w:rPr>
          <w:rFonts w:ascii="Calibri" w:hAnsi="Calibri" w:cs="Tahoma"/>
          <w:bCs/>
          <w:sz w:val="22"/>
          <w:szCs w:val="22"/>
        </w:rPr>
        <w:t xml:space="preserve"> </w:t>
      </w:r>
      <w:r w:rsidR="000B53E7" w:rsidRPr="000B53E7">
        <w:rPr>
          <w:rFonts w:ascii="Calibri" w:hAnsi="Calibri" w:cs="Tahoma"/>
          <w:bCs/>
          <w:sz w:val="22"/>
          <w:szCs w:val="22"/>
        </w:rPr>
        <w:t>28.532</w:t>
      </w:r>
      <w:r>
        <w:rPr>
          <w:rFonts w:ascii="Calibri" w:hAnsi="Calibri" w:cs="Tahoma"/>
          <w:bCs/>
          <w:sz w:val="22"/>
          <w:szCs w:val="22"/>
        </w:rPr>
        <w:t>).</w:t>
      </w:r>
    </w:p>
    <w:p w:rsidR="003E405A" w:rsidRDefault="003E405A" w:rsidP="003E405A">
      <w:pPr>
        <w:spacing w:before="120" w:after="120"/>
        <w:jc w:val="both"/>
        <w:rPr>
          <w:rFonts w:ascii="Calibri" w:hAnsi="Calibri" w:cs="Tahoma"/>
          <w:bCs/>
          <w:sz w:val="22"/>
          <w:szCs w:val="22"/>
        </w:rPr>
      </w:pPr>
      <w:r w:rsidRPr="00F31B28">
        <w:rPr>
          <w:rFonts w:ascii="Calibri" w:hAnsi="Calibri" w:cs="Tahoma"/>
          <w:bCs/>
          <w:sz w:val="22"/>
          <w:szCs w:val="22"/>
        </w:rPr>
        <w:t>Το</w:t>
      </w:r>
      <w:r>
        <w:rPr>
          <w:rFonts w:ascii="Calibri" w:hAnsi="Calibri" w:cs="Tahoma"/>
          <w:bCs/>
          <w:sz w:val="22"/>
          <w:szCs w:val="22"/>
        </w:rPr>
        <w:t>ν</w:t>
      </w:r>
      <w:r w:rsidRPr="00F31B28">
        <w:rPr>
          <w:rFonts w:ascii="Calibri" w:hAnsi="Calibri" w:cs="Tahoma"/>
          <w:bCs/>
          <w:sz w:val="22"/>
          <w:szCs w:val="22"/>
        </w:rPr>
        <w:t xml:space="preserve"> </w:t>
      </w:r>
      <w:r w:rsidR="000B53E7" w:rsidRPr="000B53E7">
        <w:rPr>
          <w:rFonts w:ascii="Calibri" w:hAnsi="Calibri" w:cs="Tahoma"/>
          <w:bCs/>
          <w:sz w:val="22"/>
          <w:szCs w:val="22"/>
        </w:rPr>
        <w:t>Ιανουάριο 2016</w:t>
      </w:r>
      <w:r w:rsidRPr="00F31B28">
        <w:rPr>
          <w:rFonts w:ascii="Calibri" w:hAnsi="Calibri" w:cs="Tahoma"/>
          <w:bCs/>
          <w:sz w:val="22"/>
          <w:szCs w:val="22"/>
        </w:rPr>
        <w:t xml:space="preserve"> δημιουργήθηκαν</w:t>
      </w:r>
      <w:r>
        <w:rPr>
          <w:rFonts w:ascii="Calibri" w:hAnsi="Calibri" w:cs="Tahoma"/>
          <w:bCs/>
          <w:sz w:val="22"/>
          <w:szCs w:val="22"/>
        </w:rPr>
        <w:t xml:space="preserve"> </w:t>
      </w:r>
      <w:r w:rsidR="00C53304">
        <w:rPr>
          <w:rFonts w:ascii="Calibri" w:hAnsi="Calibri" w:cs="Tahoma"/>
          <w:b/>
          <w:bCs/>
          <w:sz w:val="22"/>
          <w:szCs w:val="22"/>
        </w:rPr>
        <w:t>708</w:t>
      </w:r>
      <w:r w:rsidRPr="00F31B28">
        <w:rPr>
          <w:rFonts w:ascii="Calibri" w:hAnsi="Calibri" w:cs="Tahoma"/>
          <w:b/>
          <w:bCs/>
          <w:sz w:val="22"/>
          <w:szCs w:val="22"/>
        </w:rPr>
        <w:t xml:space="preserve"> Νέες Μερίδες Επενδυτών </w:t>
      </w:r>
      <w:r w:rsidRPr="00F31B28">
        <w:rPr>
          <w:rFonts w:ascii="Calibri" w:hAnsi="Calibri" w:cs="Tahoma"/>
          <w:bCs/>
          <w:sz w:val="22"/>
          <w:szCs w:val="22"/>
        </w:rPr>
        <w:t xml:space="preserve">έναντι </w:t>
      </w:r>
      <w:r w:rsidR="000B53E7" w:rsidRPr="000B53E7">
        <w:rPr>
          <w:rFonts w:ascii="Calibri" w:hAnsi="Calibri" w:cs="Tahoma"/>
          <w:bCs/>
          <w:sz w:val="22"/>
          <w:szCs w:val="22"/>
        </w:rPr>
        <w:t>3.524</w:t>
      </w:r>
      <w:r w:rsidR="00F943E7" w:rsidRPr="00F31B28">
        <w:rPr>
          <w:rFonts w:ascii="Calibri" w:hAnsi="Calibri" w:cs="Tahoma"/>
          <w:b/>
          <w:bCs/>
          <w:sz w:val="22"/>
          <w:szCs w:val="22"/>
        </w:rPr>
        <w:t xml:space="preserve"> </w:t>
      </w:r>
      <w:r w:rsidRPr="00F31B28">
        <w:rPr>
          <w:rFonts w:ascii="Calibri" w:hAnsi="Calibri" w:cs="Tahoma"/>
          <w:bCs/>
          <w:sz w:val="22"/>
          <w:szCs w:val="22"/>
        </w:rPr>
        <w:t>νέων Μερίδων που δημιουργήθηκαν τον προηγούμενο μήνα.</w:t>
      </w:r>
    </w:p>
    <w:p w:rsidR="006A0EE6" w:rsidRPr="002A7B11" w:rsidRDefault="003E405A" w:rsidP="00C270CB">
      <w:pPr>
        <w:spacing w:before="120" w:after="120"/>
        <w:jc w:val="both"/>
        <w:rPr>
          <w:rFonts w:ascii="Calibri" w:hAnsi="Calibri" w:cs="Tahoma"/>
          <w:bCs/>
          <w:sz w:val="22"/>
          <w:szCs w:val="22"/>
        </w:rPr>
      </w:pPr>
      <w:r w:rsidRPr="00F31B28">
        <w:rPr>
          <w:rFonts w:ascii="Calibri" w:hAnsi="Calibri" w:cs="Tahoma"/>
          <w:bCs/>
          <w:sz w:val="22"/>
          <w:szCs w:val="22"/>
        </w:rPr>
        <w:t xml:space="preserve">Η </w:t>
      </w:r>
      <w:r w:rsidRPr="00F31B28">
        <w:rPr>
          <w:rFonts w:ascii="Calibri" w:hAnsi="Calibri" w:cs="Tahoma"/>
          <w:b/>
          <w:bCs/>
          <w:sz w:val="22"/>
          <w:szCs w:val="22"/>
        </w:rPr>
        <w:t xml:space="preserve">Κεφαλαιοποίηση του Χ.Α. </w:t>
      </w:r>
      <w:r w:rsidR="002E491E">
        <w:rPr>
          <w:rFonts w:ascii="Calibri" w:hAnsi="Calibri" w:cs="Tahoma"/>
          <w:bCs/>
          <w:sz w:val="22"/>
          <w:szCs w:val="22"/>
        </w:rPr>
        <w:t>στο τέλος του μήνα</w:t>
      </w:r>
      <w:r w:rsidRPr="00F31B28">
        <w:rPr>
          <w:rFonts w:ascii="Calibri" w:hAnsi="Calibri" w:cs="Tahoma"/>
          <w:bCs/>
          <w:sz w:val="22"/>
          <w:szCs w:val="22"/>
        </w:rPr>
        <w:t xml:space="preserve"> υπολογίστηκε στα </w:t>
      </w:r>
      <w:r w:rsidRPr="00F31B28">
        <w:rPr>
          <w:rFonts w:ascii="Calibri" w:hAnsi="Calibri" w:cs="Tahoma"/>
          <w:b/>
          <w:bCs/>
          <w:sz w:val="22"/>
          <w:szCs w:val="22"/>
        </w:rPr>
        <w:t>€</w:t>
      </w:r>
      <w:r w:rsidR="004A4AE5">
        <w:rPr>
          <w:rFonts w:ascii="Calibri" w:hAnsi="Calibri" w:cs="Tahoma"/>
          <w:b/>
          <w:bCs/>
          <w:sz w:val="22"/>
          <w:szCs w:val="22"/>
        </w:rPr>
        <w:t>34,08</w:t>
      </w:r>
      <w:r w:rsidR="00B13002" w:rsidRPr="00B13002">
        <w:rPr>
          <w:rFonts w:ascii="Calibri" w:hAnsi="Calibri" w:cs="Tahoma"/>
          <w:b/>
          <w:bCs/>
          <w:sz w:val="22"/>
          <w:szCs w:val="22"/>
        </w:rPr>
        <w:t xml:space="preserve"> </w:t>
      </w:r>
      <w:r w:rsidRPr="00F31B28">
        <w:rPr>
          <w:rFonts w:ascii="Calibri" w:hAnsi="Calibri" w:cs="Tahoma"/>
          <w:b/>
          <w:bCs/>
          <w:sz w:val="22"/>
          <w:szCs w:val="22"/>
        </w:rPr>
        <w:t xml:space="preserve">δισ. </w:t>
      </w:r>
      <w:r w:rsidRPr="00F31B28">
        <w:rPr>
          <w:rFonts w:ascii="Calibri" w:hAnsi="Calibri" w:cs="Tahoma"/>
          <w:bCs/>
          <w:i/>
          <w:sz w:val="22"/>
          <w:szCs w:val="22"/>
        </w:rPr>
        <w:t>(βλ. γράφημα 2).</w:t>
      </w:r>
      <w:r w:rsidRPr="00F31B28">
        <w:rPr>
          <w:rFonts w:ascii="Calibri" w:hAnsi="Calibri" w:cs="Tahoma"/>
          <w:bCs/>
          <w:sz w:val="22"/>
          <w:szCs w:val="22"/>
        </w:rPr>
        <w:t xml:space="preserve"> Σε σχέση με την αντίστοιχη κεφαλαιοποίηση του </w:t>
      </w:r>
      <w:r w:rsidR="002E491E">
        <w:rPr>
          <w:rFonts w:ascii="Calibri" w:hAnsi="Calibri" w:cs="Tahoma"/>
          <w:bCs/>
          <w:sz w:val="22"/>
          <w:szCs w:val="22"/>
        </w:rPr>
        <w:t>προηγούμενου μήνα</w:t>
      </w:r>
      <w:r w:rsidRPr="00F31B28">
        <w:rPr>
          <w:rFonts w:ascii="Calibri" w:hAnsi="Calibri" w:cs="Tahoma"/>
          <w:bCs/>
          <w:sz w:val="22"/>
          <w:szCs w:val="22"/>
        </w:rPr>
        <w:t xml:space="preserve"> που ήταν €</w:t>
      </w:r>
      <w:r w:rsidR="000B53E7" w:rsidRPr="000B53E7">
        <w:rPr>
          <w:rFonts w:ascii="Calibri" w:hAnsi="Calibri" w:cs="Tahoma"/>
          <w:bCs/>
          <w:sz w:val="22"/>
          <w:szCs w:val="22"/>
        </w:rPr>
        <w:t>39,22</w:t>
      </w:r>
      <w:r>
        <w:rPr>
          <w:rFonts w:ascii="Calibri" w:hAnsi="Calibri" w:cs="Tahoma"/>
          <w:bCs/>
          <w:sz w:val="22"/>
          <w:szCs w:val="22"/>
        </w:rPr>
        <w:t xml:space="preserve"> </w:t>
      </w:r>
      <w:r w:rsidRPr="00F31B28">
        <w:rPr>
          <w:rFonts w:ascii="Calibri" w:hAnsi="Calibri" w:cs="Tahoma"/>
          <w:bCs/>
          <w:sz w:val="22"/>
          <w:szCs w:val="22"/>
        </w:rPr>
        <w:t xml:space="preserve">δισ., </w:t>
      </w:r>
      <w:r>
        <w:rPr>
          <w:rFonts w:ascii="Calibri" w:hAnsi="Calibri" w:cs="Tahoma"/>
          <w:bCs/>
          <w:sz w:val="22"/>
          <w:szCs w:val="22"/>
        </w:rPr>
        <w:t>σημειώθηκε</w:t>
      </w:r>
      <w:r w:rsidRPr="00F31B28">
        <w:rPr>
          <w:rFonts w:ascii="Calibri" w:hAnsi="Calibri" w:cs="Tahoma"/>
          <w:bCs/>
          <w:sz w:val="22"/>
          <w:szCs w:val="22"/>
        </w:rPr>
        <w:t xml:space="preserve"> </w:t>
      </w:r>
      <w:r w:rsidR="004A4AE5">
        <w:rPr>
          <w:rFonts w:ascii="Calibri" w:hAnsi="Calibri" w:cs="Tahoma"/>
          <w:bCs/>
          <w:sz w:val="22"/>
          <w:szCs w:val="22"/>
        </w:rPr>
        <w:t>μείωση</w:t>
      </w:r>
      <w:r w:rsidRPr="00E00870">
        <w:rPr>
          <w:rFonts w:ascii="Calibri" w:hAnsi="Calibri" w:cs="Tahoma"/>
          <w:bCs/>
          <w:sz w:val="22"/>
          <w:szCs w:val="22"/>
        </w:rPr>
        <w:t xml:space="preserve"> της τάξης του </w:t>
      </w:r>
      <w:r w:rsidR="004A4AE5">
        <w:rPr>
          <w:rFonts w:ascii="Calibri" w:hAnsi="Calibri" w:cs="Tahoma"/>
          <w:bCs/>
          <w:sz w:val="22"/>
          <w:szCs w:val="22"/>
        </w:rPr>
        <w:t>13,1%,</w:t>
      </w:r>
      <w:r w:rsidRPr="00F31B28">
        <w:rPr>
          <w:rFonts w:ascii="Calibri" w:hAnsi="Calibri" w:cs="Tahoma"/>
          <w:bCs/>
          <w:sz w:val="22"/>
          <w:szCs w:val="22"/>
        </w:rPr>
        <w:t xml:space="preserve"> ενώ συγκρινόμενη με την αντίστοιχη κεφαλαιοποίηση του </w:t>
      </w:r>
      <w:r w:rsidR="002E491E">
        <w:rPr>
          <w:rFonts w:ascii="Calibri" w:hAnsi="Calibri" w:cs="Tahoma"/>
          <w:bCs/>
          <w:sz w:val="22"/>
          <w:szCs w:val="22"/>
        </w:rPr>
        <w:t>ίδιου μήνα του προηγούμενου έτους</w:t>
      </w:r>
      <w:r>
        <w:rPr>
          <w:rFonts w:ascii="Calibri" w:hAnsi="Calibri" w:cs="Tahoma"/>
          <w:bCs/>
          <w:sz w:val="22"/>
          <w:szCs w:val="22"/>
        </w:rPr>
        <w:t xml:space="preserve"> που ήταν €</w:t>
      </w:r>
      <w:r w:rsidR="000B53E7" w:rsidRPr="000B53E7">
        <w:rPr>
          <w:rFonts w:ascii="Calibri" w:hAnsi="Calibri" w:cs="Tahoma"/>
          <w:bCs/>
          <w:sz w:val="22"/>
          <w:szCs w:val="22"/>
        </w:rPr>
        <w:t>38,26</w:t>
      </w:r>
      <w:r>
        <w:rPr>
          <w:rFonts w:ascii="Calibri" w:hAnsi="Calibri" w:cs="Tahoma"/>
          <w:bCs/>
          <w:sz w:val="22"/>
          <w:szCs w:val="22"/>
        </w:rPr>
        <w:t xml:space="preserve"> δισ., σημειώθηκε</w:t>
      </w:r>
      <w:r w:rsidRPr="00854831">
        <w:rPr>
          <w:rFonts w:ascii="Calibri" w:hAnsi="Calibri" w:cs="Tahoma"/>
          <w:bCs/>
          <w:sz w:val="22"/>
          <w:szCs w:val="22"/>
        </w:rPr>
        <w:t xml:space="preserve"> </w:t>
      </w:r>
      <w:r w:rsidR="004A4AE5">
        <w:rPr>
          <w:rFonts w:ascii="Calibri" w:hAnsi="Calibri" w:cs="Tahoma"/>
          <w:bCs/>
          <w:sz w:val="22"/>
          <w:szCs w:val="22"/>
        </w:rPr>
        <w:t>μείωση</w:t>
      </w:r>
      <w:r w:rsidRPr="004C1D15">
        <w:rPr>
          <w:rFonts w:ascii="Calibri" w:hAnsi="Calibri" w:cs="Tahoma"/>
          <w:bCs/>
          <w:sz w:val="22"/>
          <w:szCs w:val="22"/>
        </w:rPr>
        <w:t xml:space="preserve"> κατά </w:t>
      </w:r>
      <w:r w:rsidR="004A4AE5">
        <w:rPr>
          <w:rFonts w:ascii="Calibri" w:hAnsi="Calibri" w:cs="Tahoma"/>
          <w:bCs/>
          <w:sz w:val="22"/>
          <w:szCs w:val="22"/>
        </w:rPr>
        <w:t>10,9%</w:t>
      </w:r>
      <w:r w:rsidRPr="004C1D15">
        <w:rPr>
          <w:rFonts w:ascii="Calibri" w:hAnsi="Calibri" w:cs="Tahoma"/>
          <w:bCs/>
          <w:sz w:val="22"/>
          <w:szCs w:val="22"/>
        </w:rPr>
        <w:t>.</w:t>
      </w:r>
    </w:p>
    <w:p w:rsidR="00AA42F7" w:rsidRPr="002A7B11" w:rsidRDefault="00AA42F7" w:rsidP="00C270CB">
      <w:pPr>
        <w:spacing w:before="120" w:after="120"/>
        <w:jc w:val="both"/>
        <w:rPr>
          <w:rFonts w:ascii="Calibri" w:hAnsi="Calibri" w:cs="Tahoma"/>
          <w:bCs/>
          <w:sz w:val="22"/>
          <w:szCs w:val="22"/>
        </w:rPr>
      </w:pPr>
    </w:p>
    <w:p w:rsidR="006A0EE6" w:rsidRPr="006A0EE6" w:rsidRDefault="00BE288B" w:rsidP="006A0EE6">
      <w:pPr>
        <w:keepNext/>
        <w:spacing w:before="120" w:after="120"/>
        <w:jc w:val="center"/>
        <w:rPr>
          <w:rFonts w:ascii="Arial" w:hAnsi="Arial"/>
          <w:b/>
          <w:sz w:val="18"/>
          <w:szCs w:val="18"/>
          <w:lang w:eastAsia="en-US"/>
        </w:rPr>
      </w:pPr>
      <w:r>
        <w:rPr>
          <w:noProof/>
        </w:rPr>
        <w:drawing>
          <wp:inline distT="0" distB="0" distL="0" distR="0">
            <wp:extent cx="6080760" cy="1630680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076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0EE6" w:rsidRPr="006A0EE6">
        <w:rPr>
          <w:rFonts w:ascii="Arial" w:hAnsi="Arial"/>
          <w:b/>
          <w:sz w:val="18"/>
          <w:szCs w:val="18"/>
          <w:lang w:eastAsia="en-US"/>
        </w:rPr>
        <w:t xml:space="preserve">Γράφημα </w:t>
      </w:r>
      <w:r w:rsidR="006A0EE6" w:rsidRPr="006A0EE6">
        <w:rPr>
          <w:rFonts w:ascii="Arial" w:hAnsi="Arial"/>
          <w:b/>
          <w:sz w:val="18"/>
          <w:szCs w:val="18"/>
          <w:lang w:eastAsia="en-US"/>
        </w:rPr>
        <w:fldChar w:fldCharType="begin"/>
      </w:r>
      <w:r w:rsidR="006A0EE6" w:rsidRPr="006A0EE6">
        <w:rPr>
          <w:rFonts w:ascii="Arial" w:hAnsi="Arial"/>
          <w:b/>
          <w:sz w:val="18"/>
          <w:szCs w:val="18"/>
          <w:lang w:eastAsia="en-US"/>
        </w:rPr>
        <w:instrText xml:space="preserve"> SEQ Γράφημα \* ARABIC </w:instrText>
      </w:r>
      <w:r w:rsidR="006A0EE6" w:rsidRPr="006A0EE6">
        <w:rPr>
          <w:rFonts w:ascii="Arial" w:hAnsi="Arial"/>
          <w:b/>
          <w:sz w:val="18"/>
          <w:szCs w:val="18"/>
          <w:lang w:eastAsia="en-US"/>
        </w:rPr>
        <w:fldChar w:fldCharType="separate"/>
      </w:r>
      <w:r w:rsidR="000A358B">
        <w:rPr>
          <w:rFonts w:ascii="Arial" w:hAnsi="Arial"/>
          <w:b/>
          <w:noProof/>
          <w:sz w:val="18"/>
          <w:szCs w:val="18"/>
          <w:lang w:eastAsia="en-US"/>
        </w:rPr>
        <w:t>2</w:t>
      </w:r>
      <w:r w:rsidR="006A0EE6" w:rsidRPr="006A0EE6">
        <w:rPr>
          <w:rFonts w:ascii="Arial" w:hAnsi="Arial"/>
          <w:b/>
          <w:sz w:val="18"/>
          <w:szCs w:val="18"/>
          <w:lang w:eastAsia="en-US"/>
        </w:rPr>
        <w:fldChar w:fldCharType="end"/>
      </w:r>
    </w:p>
    <w:p w:rsidR="00AA42F7" w:rsidRPr="002A7B11" w:rsidRDefault="00AA42F7" w:rsidP="007967FF">
      <w:pPr>
        <w:spacing w:before="240" w:after="120"/>
        <w:jc w:val="both"/>
        <w:rPr>
          <w:rFonts w:ascii="Calibri" w:hAnsi="Calibri" w:cs="Tahoma"/>
          <w:b/>
          <w:bCs/>
          <w:sz w:val="22"/>
          <w:szCs w:val="22"/>
        </w:rPr>
      </w:pPr>
    </w:p>
    <w:p w:rsidR="003E405A" w:rsidRPr="00F31B28" w:rsidRDefault="003E405A" w:rsidP="007967FF">
      <w:pPr>
        <w:spacing w:before="240" w:after="120"/>
        <w:jc w:val="both"/>
        <w:rPr>
          <w:rFonts w:ascii="Calibri" w:hAnsi="Calibri" w:cs="Tahoma"/>
          <w:b/>
          <w:bCs/>
          <w:sz w:val="22"/>
          <w:szCs w:val="22"/>
        </w:rPr>
      </w:pPr>
      <w:r w:rsidRPr="00F31B28">
        <w:rPr>
          <w:rFonts w:ascii="Calibri" w:hAnsi="Calibri" w:cs="Tahoma"/>
          <w:b/>
          <w:bCs/>
          <w:sz w:val="22"/>
          <w:szCs w:val="22"/>
        </w:rPr>
        <w:t>Ανάλυση Συναλλαγών βάσει κατηγορίας επενδυτών</w:t>
      </w:r>
    </w:p>
    <w:p w:rsidR="003E405A" w:rsidRDefault="003E405A" w:rsidP="003E405A">
      <w:pPr>
        <w:spacing w:before="120"/>
        <w:jc w:val="both"/>
        <w:rPr>
          <w:rFonts w:ascii="Calibri" w:hAnsi="Calibri" w:cs="Tahoma"/>
          <w:bCs/>
          <w:sz w:val="22"/>
          <w:szCs w:val="22"/>
        </w:rPr>
      </w:pPr>
      <w:r w:rsidRPr="00096049">
        <w:rPr>
          <w:rFonts w:ascii="Calibri" w:hAnsi="Calibri" w:cs="Tahoma"/>
          <w:bCs/>
          <w:sz w:val="22"/>
          <w:szCs w:val="22"/>
        </w:rPr>
        <w:t xml:space="preserve">Τον </w:t>
      </w:r>
      <w:r w:rsidR="000B53E7" w:rsidRPr="000B53E7">
        <w:rPr>
          <w:rFonts w:ascii="Calibri" w:hAnsi="Calibri" w:cs="Tahoma"/>
          <w:bCs/>
          <w:sz w:val="22"/>
          <w:szCs w:val="22"/>
        </w:rPr>
        <w:t>Ιανουάριο 2016</w:t>
      </w:r>
      <w:r w:rsidRPr="00096049">
        <w:rPr>
          <w:rFonts w:ascii="Calibri" w:hAnsi="Calibri" w:cs="Tahoma"/>
          <w:bCs/>
          <w:sz w:val="22"/>
          <w:szCs w:val="22"/>
        </w:rPr>
        <w:t xml:space="preserve"> </w:t>
      </w:r>
      <w:r w:rsidRPr="00096049">
        <w:rPr>
          <w:rFonts w:ascii="Calibri" w:hAnsi="Calibri" w:cs="Tahoma"/>
          <w:b/>
          <w:bCs/>
          <w:sz w:val="22"/>
          <w:szCs w:val="22"/>
        </w:rPr>
        <w:t xml:space="preserve">οι ξένοι επενδυτές στο σύνολό τους εμφάνισαν </w:t>
      </w:r>
      <w:r w:rsidR="00254CCE">
        <w:rPr>
          <w:rFonts w:ascii="Calibri" w:hAnsi="Calibri" w:cs="Tahoma"/>
          <w:b/>
          <w:bCs/>
          <w:sz w:val="22"/>
          <w:szCs w:val="22"/>
        </w:rPr>
        <w:t>εισροές</w:t>
      </w:r>
      <w:r w:rsidRPr="00096049">
        <w:rPr>
          <w:rFonts w:ascii="Calibri" w:hAnsi="Calibri" w:cs="Tahoma"/>
          <w:b/>
          <w:bCs/>
          <w:sz w:val="22"/>
          <w:szCs w:val="22"/>
        </w:rPr>
        <w:t xml:space="preserve"> της τάξης των</w:t>
      </w:r>
      <w:r w:rsidRPr="00096049">
        <w:rPr>
          <w:rFonts w:ascii="Calibri" w:hAnsi="Calibri" w:cs="Tahoma"/>
          <w:bCs/>
          <w:sz w:val="22"/>
          <w:szCs w:val="22"/>
        </w:rPr>
        <w:t xml:space="preserve"> </w:t>
      </w:r>
      <w:r w:rsidRPr="00096049">
        <w:rPr>
          <w:rFonts w:ascii="Calibri" w:hAnsi="Calibri" w:cs="Tahoma"/>
          <w:b/>
          <w:bCs/>
          <w:sz w:val="22"/>
          <w:szCs w:val="22"/>
        </w:rPr>
        <w:t>€</w:t>
      </w:r>
      <w:r w:rsidR="009761FC">
        <w:rPr>
          <w:rFonts w:ascii="Calibri" w:hAnsi="Calibri" w:cs="Tahoma"/>
          <w:b/>
          <w:bCs/>
          <w:sz w:val="22"/>
          <w:szCs w:val="22"/>
        </w:rPr>
        <w:t xml:space="preserve">25,96 </w:t>
      </w:r>
      <w:r w:rsidRPr="00096049">
        <w:rPr>
          <w:rFonts w:ascii="Calibri" w:hAnsi="Calibri" w:cs="Tahoma"/>
          <w:b/>
          <w:bCs/>
          <w:sz w:val="22"/>
          <w:szCs w:val="22"/>
        </w:rPr>
        <w:t>εκατ</w:t>
      </w:r>
      <w:r w:rsidR="00BD3652" w:rsidRPr="00096049">
        <w:rPr>
          <w:rFonts w:ascii="Calibri" w:hAnsi="Calibri" w:cs="Tahoma"/>
          <w:bCs/>
          <w:sz w:val="22"/>
          <w:szCs w:val="22"/>
        </w:rPr>
        <w:t>.</w:t>
      </w:r>
      <w:r w:rsidR="00CA0F84" w:rsidRPr="00096049">
        <w:rPr>
          <w:rFonts w:ascii="Calibri" w:hAnsi="Calibri" w:cs="Tahoma"/>
          <w:bCs/>
          <w:sz w:val="22"/>
          <w:szCs w:val="22"/>
        </w:rPr>
        <w:t xml:space="preserve"> </w:t>
      </w:r>
      <w:r w:rsidRPr="00096049">
        <w:rPr>
          <w:rFonts w:ascii="Calibri" w:hAnsi="Calibri" w:cs="Tahoma"/>
          <w:bCs/>
          <w:sz w:val="22"/>
          <w:szCs w:val="22"/>
        </w:rPr>
        <w:t xml:space="preserve">Οι </w:t>
      </w:r>
      <w:r w:rsidR="009761FC" w:rsidRPr="009761FC">
        <w:rPr>
          <w:rFonts w:ascii="Calibri" w:hAnsi="Calibri" w:cs="Tahoma"/>
          <w:b/>
          <w:bCs/>
          <w:sz w:val="22"/>
          <w:szCs w:val="22"/>
        </w:rPr>
        <w:t xml:space="preserve">μεγαλύτερες </w:t>
      </w:r>
      <w:r w:rsidR="006B3EEE" w:rsidRPr="009761FC">
        <w:rPr>
          <w:rFonts w:ascii="Calibri" w:hAnsi="Calibri" w:cs="Tahoma"/>
          <w:b/>
          <w:bCs/>
          <w:sz w:val="22"/>
          <w:szCs w:val="22"/>
        </w:rPr>
        <w:t>εισροές</w:t>
      </w:r>
      <w:r w:rsidRPr="00096049">
        <w:rPr>
          <w:rFonts w:ascii="Calibri" w:hAnsi="Calibri" w:cs="Tahoma"/>
          <w:bCs/>
          <w:sz w:val="22"/>
          <w:szCs w:val="22"/>
        </w:rPr>
        <w:t xml:space="preserve"> προέρχονται </w:t>
      </w:r>
      <w:r w:rsidR="00254CCE">
        <w:rPr>
          <w:rFonts w:ascii="Calibri" w:hAnsi="Calibri" w:cs="Tahoma"/>
          <w:bCs/>
          <w:sz w:val="22"/>
          <w:szCs w:val="22"/>
        </w:rPr>
        <w:t xml:space="preserve">από </w:t>
      </w:r>
      <w:r w:rsidR="009761FC" w:rsidRPr="009761FC">
        <w:rPr>
          <w:rFonts w:ascii="Calibri" w:hAnsi="Calibri" w:cs="Tahoma"/>
          <w:bCs/>
          <w:sz w:val="22"/>
          <w:szCs w:val="22"/>
        </w:rPr>
        <w:t xml:space="preserve">Πιστωτικά Ιδρύματα &amp; Πολυμερείς Αναπτυξιακές Τράπεζες </w:t>
      </w:r>
      <w:r w:rsidR="009330D2" w:rsidRPr="00C454BC">
        <w:rPr>
          <w:rFonts w:ascii="Calibri" w:hAnsi="Calibri" w:cs="Tahoma"/>
          <w:bCs/>
          <w:sz w:val="22"/>
          <w:szCs w:val="22"/>
        </w:rPr>
        <w:t>(€</w:t>
      </w:r>
      <w:r w:rsidR="009761FC">
        <w:rPr>
          <w:rFonts w:ascii="Calibri" w:hAnsi="Calibri" w:cs="Tahoma"/>
          <w:bCs/>
          <w:sz w:val="22"/>
          <w:szCs w:val="22"/>
        </w:rPr>
        <w:t>3</w:t>
      </w:r>
      <w:r w:rsidR="00254CCE">
        <w:rPr>
          <w:rFonts w:ascii="Calibri" w:hAnsi="Calibri" w:cs="Tahoma"/>
          <w:bCs/>
          <w:sz w:val="22"/>
          <w:szCs w:val="22"/>
        </w:rPr>
        <w:t>9</w:t>
      </w:r>
      <w:r w:rsidR="003438B5" w:rsidRPr="00C454BC">
        <w:rPr>
          <w:rFonts w:ascii="Calibri" w:hAnsi="Calibri" w:cs="Tahoma"/>
          <w:bCs/>
          <w:sz w:val="22"/>
          <w:szCs w:val="22"/>
        </w:rPr>
        <w:t>,</w:t>
      </w:r>
      <w:r w:rsidR="00254CCE">
        <w:rPr>
          <w:rFonts w:ascii="Calibri" w:hAnsi="Calibri" w:cs="Tahoma"/>
          <w:bCs/>
          <w:sz w:val="22"/>
          <w:szCs w:val="22"/>
        </w:rPr>
        <w:t>6</w:t>
      </w:r>
      <w:r w:rsidR="00455BA3">
        <w:rPr>
          <w:rFonts w:ascii="Calibri" w:hAnsi="Calibri" w:cs="Tahoma"/>
          <w:bCs/>
          <w:sz w:val="22"/>
          <w:szCs w:val="22"/>
        </w:rPr>
        <w:t>1</w:t>
      </w:r>
      <w:r w:rsidR="009330D2" w:rsidRPr="00C454BC">
        <w:rPr>
          <w:rFonts w:ascii="Calibri" w:hAnsi="Calibri" w:cs="Tahoma"/>
          <w:bCs/>
          <w:sz w:val="22"/>
          <w:szCs w:val="22"/>
        </w:rPr>
        <w:t xml:space="preserve"> εκατ.)</w:t>
      </w:r>
      <w:r w:rsidR="009761FC">
        <w:rPr>
          <w:rFonts w:ascii="Calibri" w:hAnsi="Calibri" w:cs="Tahoma"/>
          <w:bCs/>
          <w:sz w:val="22"/>
          <w:szCs w:val="22"/>
        </w:rPr>
        <w:t>,</w:t>
      </w:r>
      <w:r w:rsidR="009330D2" w:rsidRPr="00C454BC">
        <w:rPr>
          <w:rFonts w:ascii="Calibri" w:hAnsi="Calibri" w:cs="Tahoma"/>
          <w:bCs/>
          <w:sz w:val="22"/>
          <w:szCs w:val="22"/>
        </w:rPr>
        <w:t xml:space="preserve"> </w:t>
      </w:r>
      <w:r w:rsidR="009761FC" w:rsidRPr="009761FC">
        <w:rPr>
          <w:rFonts w:ascii="Calibri" w:hAnsi="Calibri" w:cs="Tahoma"/>
          <w:bCs/>
          <w:sz w:val="22"/>
          <w:szCs w:val="22"/>
        </w:rPr>
        <w:t xml:space="preserve">Λοιπά Χρηματοπιστωτικά Ιδρύματα </w:t>
      </w:r>
      <w:r w:rsidR="009761FC" w:rsidRPr="00C454BC">
        <w:rPr>
          <w:rFonts w:ascii="Calibri" w:hAnsi="Calibri" w:cs="Tahoma"/>
          <w:bCs/>
          <w:sz w:val="22"/>
          <w:szCs w:val="22"/>
        </w:rPr>
        <w:t>(€</w:t>
      </w:r>
      <w:r w:rsidR="009761FC">
        <w:rPr>
          <w:rFonts w:ascii="Calibri" w:hAnsi="Calibri" w:cs="Tahoma"/>
          <w:bCs/>
          <w:sz w:val="22"/>
          <w:szCs w:val="22"/>
        </w:rPr>
        <w:t>31</w:t>
      </w:r>
      <w:r w:rsidR="009761FC" w:rsidRPr="00C454BC">
        <w:rPr>
          <w:rFonts w:ascii="Calibri" w:hAnsi="Calibri" w:cs="Tahoma"/>
          <w:bCs/>
          <w:sz w:val="22"/>
          <w:szCs w:val="22"/>
        </w:rPr>
        <w:t>,</w:t>
      </w:r>
      <w:r w:rsidR="009761FC">
        <w:rPr>
          <w:rFonts w:ascii="Calibri" w:hAnsi="Calibri" w:cs="Tahoma"/>
          <w:bCs/>
          <w:sz w:val="22"/>
          <w:szCs w:val="22"/>
        </w:rPr>
        <w:t>01</w:t>
      </w:r>
      <w:r w:rsidR="009761FC" w:rsidRPr="00C454BC">
        <w:rPr>
          <w:rFonts w:ascii="Calibri" w:hAnsi="Calibri" w:cs="Tahoma"/>
          <w:bCs/>
          <w:sz w:val="22"/>
          <w:szCs w:val="22"/>
        </w:rPr>
        <w:t xml:space="preserve"> εκατ.)</w:t>
      </w:r>
      <w:r w:rsidR="009761FC">
        <w:rPr>
          <w:rFonts w:ascii="Calibri" w:hAnsi="Calibri" w:cs="Tahoma"/>
          <w:bCs/>
          <w:sz w:val="22"/>
          <w:szCs w:val="22"/>
        </w:rPr>
        <w:t>,</w:t>
      </w:r>
      <w:r w:rsidR="009761FC" w:rsidRPr="00C454BC">
        <w:rPr>
          <w:rFonts w:ascii="Calibri" w:hAnsi="Calibri" w:cs="Tahoma"/>
          <w:bCs/>
          <w:sz w:val="22"/>
          <w:szCs w:val="22"/>
        </w:rPr>
        <w:t xml:space="preserve"> </w:t>
      </w:r>
      <w:r w:rsidR="009761FC" w:rsidRPr="009761FC">
        <w:rPr>
          <w:rFonts w:ascii="Calibri" w:hAnsi="Calibri" w:cs="Tahoma"/>
          <w:bCs/>
          <w:sz w:val="22"/>
          <w:szCs w:val="22"/>
        </w:rPr>
        <w:t xml:space="preserve">Μη Χρηματοπιστωτικές Επιχειρήσεις </w:t>
      </w:r>
      <w:r w:rsidR="009761FC" w:rsidRPr="00C454BC">
        <w:rPr>
          <w:rFonts w:ascii="Calibri" w:hAnsi="Calibri" w:cs="Tahoma"/>
          <w:bCs/>
          <w:sz w:val="22"/>
          <w:szCs w:val="22"/>
        </w:rPr>
        <w:t>(€</w:t>
      </w:r>
      <w:r w:rsidR="009761FC">
        <w:rPr>
          <w:rFonts w:ascii="Calibri" w:hAnsi="Calibri" w:cs="Tahoma"/>
          <w:bCs/>
          <w:sz w:val="22"/>
          <w:szCs w:val="22"/>
        </w:rPr>
        <w:t>6,77</w:t>
      </w:r>
      <w:r w:rsidR="009761FC" w:rsidRPr="00C454BC">
        <w:rPr>
          <w:rFonts w:ascii="Calibri" w:hAnsi="Calibri" w:cs="Tahoma"/>
          <w:bCs/>
          <w:sz w:val="22"/>
          <w:szCs w:val="22"/>
        </w:rPr>
        <w:t xml:space="preserve"> εκατ.)</w:t>
      </w:r>
      <w:r w:rsidR="009761FC">
        <w:rPr>
          <w:rFonts w:ascii="Calibri" w:hAnsi="Calibri" w:cs="Tahoma"/>
          <w:bCs/>
          <w:sz w:val="22"/>
          <w:szCs w:val="22"/>
        </w:rPr>
        <w:t xml:space="preserve"> &amp; </w:t>
      </w:r>
      <w:r w:rsidR="009761FC" w:rsidRPr="009761FC">
        <w:rPr>
          <w:rFonts w:ascii="Calibri" w:hAnsi="Calibri" w:cs="Tahoma"/>
          <w:bCs/>
          <w:sz w:val="22"/>
          <w:szCs w:val="22"/>
        </w:rPr>
        <w:t>Επαγγελματικά Ταμεία Ιδιωτικής Ασφάλισης</w:t>
      </w:r>
      <w:r w:rsidR="009761FC" w:rsidRPr="00C454BC">
        <w:rPr>
          <w:rFonts w:ascii="Calibri" w:hAnsi="Calibri" w:cs="Tahoma"/>
          <w:bCs/>
          <w:sz w:val="22"/>
          <w:szCs w:val="22"/>
        </w:rPr>
        <w:t xml:space="preserve"> (€</w:t>
      </w:r>
      <w:r w:rsidR="009761FC">
        <w:rPr>
          <w:rFonts w:ascii="Calibri" w:hAnsi="Calibri" w:cs="Tahoma"/>
          <w:bCs/>
          <w:sz w:val="22"/>
          <w:szCs w:val="22"/>
        </w:rPr>
        <w:t>1,04</w:t>
      </w:r>
      <w:r w:rsidR="009761FC" w:rsidRPr="00C454BC">
        <w:rPr>
          <w:rFonts w:ascii="Calibri" w:hAnsi="Calibri" w:cs="Tahoma"/>
          <w:bCs/>
          <w:sz w:val="22"/>
          <w:szCs w:val="22"/>
        </w:rPr>
        <w:t xml:space="preserve"> εκατ.)</w:t>
      </w:r>
      <w:r w:rsidR="009761FC">
        <w:rPr>
          <w:rFonts w:ascii="Calibri" w:hAnsi="Calibri" w:cs="Tahoma"/>
          <w:bCs/>
          <w:sz w:val="22"/>
          <w:szCs w:val="22"/>
        </w:rPr>
        <w:t>,</w:t>
      </w:r>
      <w:r w:rsidR="00837232" w:rsidRPr="00C454BC">
        <w:rPr>
          <w:rFonts w:ascii="Calibri" w:hAnsi="Calibri" w:cs="Tahoma"/>
          <w:bCs/>
          <w:sz w:val="22"/>
          <w:szCs w:val="22"/>
        </w:rPr>
        <w:t xml:space="preserve"> </w:t>
      </w:r>
      <w:r w:rsidRPr="006B3EEE">
        <w:rPr>
          <w:rFonts w:ascii="Calibri" w:hAnsi="Calibri" w:cs="Tahoma"/>
          <w:bCs/>
          <w:sz w:val="22"/>
          <w:szCs w:val="22"/>
        </w:rPr>
        <w:t xml:space="preserve">ενώ </w:t>
      </w:r>
      <w:r w:rsidR="00096049" w:rsidRPr="006B3EEE">
        <w:rPr>
          <w:rFonts w:ascii="Calibri" w:hAnsi="Calibri" w:cs="Tahoma"/>
          <w:bCs/>
          <w:sz w:val="22"/>
          <w:szCs w:val="22"/>
        </w:rPr>
        <w:t xml:space="preserve">οι </w:t>
      </w:r>
      <w:r w:rsidR="009761FC" w:rsidRPr="009761FC">
        <w:rPr>
          <w:rFonts w:ascii="Calibri" w:hAnsi="Calibri" w:cs="Tahoma"/>
          <w:b/>
          <w:bCs/>
          <w:sz w:val="22"/>
          <w:szCs w:val="22"/>
        </w:rPr>
        <w:t xml:space="preserve">μεγαλύτερες </w:t>
      </w:r>
      <w:r w:rsidR="006B3EEE" w:rsidRPr="009761FC">
        <w:rPr>
          <w:rFonts w:ascii="Calibri" w:hAnsi="Calibri" w:cs="Tahoma"/>
          <w:b/>
          <w:bCs/>
          <w:sz w:val="22"/>
          <w:szCs w:val="22"/>
        </w:rPr>
        <w:t>εκροές</w:t>
      </w:r>
      <w:r w:rsidRPr="006B3EEE">
        <w:rPr>
          <w:rFonts w:ascii="Calibri" w:hAnsi="Calibri" w:cs="Tahoma"/>
          <w:bCs/>
          <w:sz w:val="22"/>
          <w:szCs w:val="22"/>
        </w:rPr>
        <w:t xml:space="preserve"> </w:t>
      </w:r>
      <w:r w:rsidR="00096049" w:rsidRPr="006B3EEE">
        <w:rPr>
          <w:rFonts w:ascii="Calibri" w:hAnsi="Calibri" w:cs="Tahoma"/>
          <w:bCs/>
          <w:sz w:val="22"/>
          <w:szCs w:val="22"/>
        </w:rPr>
        <w:t xml:space="preserve">προέρχονται από </w:t>
      </w:r>
      <w:r w:rsidR="009761FC" w:rsidRPr="009761FC">
        <w:rPr>
          <w:rFonts w:ascii="Calibri" w:hAnsi="Calibri" w:cs="Tahoma"/>
          <w:bCs/>
          <w:sz w:val="22"/>
          <w:szCs w:val="22"/>
        </w:rPr>
        <w:t>Διεθνείς Οργανισμο</w:t>
      </w:r>
      <w:r w:rsidR="009761FC">
        <w:rPr>
          <w:rFonts w:ascii="Calibri" w:hAnsi="Calibri" w:cs="Tahoma"/>
          <w:bCs/>
          <w:sz w:val="22"/>
          <w:szCs w:val="22"/>
        </w:rPr>
        <w:t>ύς</w:t>
      </w:r>
      <w:r w:rsidR="009761FC" w:rsidRPr="009761FC">
        <w:rPr>
          <w:rFonts w:ascii="Calibri" w:hAnsi="Calibri" w:cs="Tahoma"/>
          <w:bCs/>
          <w:sz w:val="22"/>
          <w:szCs w:val="22"/>
        </w:rPr>
        <w:t xml:space="preserve"> εκτός ΕΕ </w:t>
      </w:r>
      <w:r w:rsidR="009761FC" w:rsidRPr="00C454BC">
        <w:rPr>
          <w:rFonts w:ascii="Calibri" w:hAnsi="Calibri" w:cs="Tahoma"/>
          <w:bCs/>
          <w:sz w:val="22"/>
          <w:szCs w:val="22"/>
        </w:rPr>
        <w:t>(€</w:t>
      </w:r>
      <w:r w:rsidR="009761FC">
        <w:rPr>
          <w:rFonts w:ascii="Calibri" w:hAnsi="Calibri" w:cs="Tahoma"/>
          <w:bCs/>
          <w:sz w:val="22"/>
          <w:szCs w:val="22"/>
        </w:rPr>
        <w:t>39,06</w:t>
      </w:r>
      <w:r w:rsidR="009761FC" w:rsidRPr="00C454BC">
        <w:rPr>
          <w:rFonts w:ascii="Calibri" w:hAnsi="Calibri" w:cs="Tahoma"/>
          <w:bCs/>
          <w:sz w:val="22"/>
          <w:szCs w:val="22"/>
        </w:rPr>
        <w:t xml:space="preserve"> εκατ.)</w:t>
      </w:r>
      <w:r w:rsidR="009761FC">
        <w:rPr>
          <w:rFonts w:ascii="Calibri" w:hAnsi="Calibri" w:cs="Tahoma"/>
          <w:bCs/>
          <w:sz w:val="22"/>
          <w:szCs w:val="22"/>
        </w:rPr>
        <w:t>,</w:t>
      </w:r>
      <w:r w:rsidR="009761FC" w:rsidRPr="00C454BC">
        <w:rPr>
          <w:rFonts w:ascii="Calibri" w:hAnsi="Calibri" w:cs="Tahoma"/>
          <w:bCs/>
          <w:sz w:val="22"/>
          <w:szCs w:val="22"/>
        </w:rPr>
        <w:t xml:space="preserve"> </w:t>
      </w:r>
      <w:r w:rsidR="009761FC" w:rsidRPr="009761FC">
        <w:rPr>
          <w:rFonts w:ascii="Calibri" w:hAnsi="Calibri" w:cs="Tahoma"/>
          <w:bCs/>
          <w:sz w:val="22"/>
          <w:szCs w:val="22"/>
        </w:rPr>
        <w:t xml:space="preserve">Ετ. Επενδύσεων </w:t>
      </w:r>
      <w:r w:rsidR="009761FC" w:rsidRPr="009761FC">
        <w:rPr>
          <w:rFonts w:ascii="Calibri" w:hAnsi="Calibri" w:cs="Tahoma"/>
          <w:bCs/>
          <w:sz w:val="22"/>
          <w:szCs w:val="22"/>
        </w:rPr>
        <w:lastRenderedPageBreak/>
        <w:t xml:space="preserve">Χαρτοφυλακίου, Ετ. Επενδύσεων σε Ακίνητη Περιουσία, Λοιπά (πλην χρηματαγοράς) Αμοιβαία Κεφάλαια </w:t>
      </w:r>
      <w:r w:rsidR="00B366FB">
        <w:rPr>
          <w:rFonts w:ascii="Calibri" w:hAnsi="Calibri" w:cs="Tahoma"/>
          <w:bCs/>
          <w:sz w:val="22"/>
          <w:szCs w:val="22"/>
        </w:rPr>
        <w:t>(€</w:t>
      </w:r>
      <w:r w:rsidR="009761FC">
        <w:rPr>
          <w:rFonts w:ascii="Calibri" w:hAnsi="Calibri" w:cs="Tahoma"/>
          <w:bCs/>
          <w:sz w:val="22"/>
          <w:szCs w:val="22"/>
        </w:rPr>
        <w:t>11</w:t>
      </w:r>
      <w:r w:rsidR="00B366FB">
        <w:rPr>
          <w:rFonts w:ascii="Calibri" w:hAnsi="Calibri" w:cs="Tahoma"/>
          <w:bCs/>
          <w:sz w:val="22"/>
          <w:szCs w:val="22"/>
        </w:rPr>
        <w:t>,</w:t>
      </w:r>
      <w:r w:rsidR="009761FC">
        <w:rPr>
          <w:rFonts w:ascii="Calibri" w:hAnsi="Calibri" w:cs="Tahoma"/>
          <w:bCs/>
          <w:sz w:val="22"/>
          <w:szCs w:val="22"/>
        </w:rPr>
        <w:t>90</w:t>
      </w:r>
      <w:r w:rsidR="00B366FB">
        <w:rPr>
          <w:rFonts w:ascii="Calibri" w:hAnsi="Calibri" w:cs="Tahoma"/>
          <w:bCs/>
          <w:sz w:val="22"/>
          <w:szCs w:val="22"/>
        </w:rPr>
        <w:t xml:space="preserve"> εκατ</w:t>
      </w:r>
      <w:r w:rsidR="009761FC">
        <w:rPr>
          <w:rFonts w:ascii="Calibri" w:hAnsi="Calibri" w:cs="Tahoma"/>
          <w:bCs/>
          <w:sz w:val="22"/>
          <w:szCs w:val="22"/>
        </w:rPr>
        <w:t>.</w:t>
      </w:r>
      <w:r w:rsidR="00B366FB">
        <w:rPr>
          <w:rFonts w:ascii="Calibri" w:hAnsi="Calibri" w:cs="Tahoma"/>
          <w:bCs/>
          <w:sz w:val="22"/>
          <w:szCs w:val="22"/>
        </w:rPr>
        <w:t>) και</w:t>
      </w:r>
      <w:r w:rsidR="009330D2" w:rsidRPr="00C454BC">
        <w:rPr>
          <w:rFonts w:ascii="Calibri" w:hAnsi="Calibri" w:cs="Tahoma"/>
          <w:bCs/>
          <w:sz w:val="22"/>
          <w:szCs w:val="22"/>
        </w:rPr>
        <w:t xml:space="preserve"> </w:t>
      </w:r>
      <w:r w:rsidR="009761FC" w:rsidRPr="009761FC">
        <w:rPr>
          <w:rFonts w:ascii="Calibri" w:hAnsi="Calibri" w:cs="Tahoma"/>
          <w:bCs/>
          <w:sz w:val="22"/>
          <w:szCs w:val="22"/>
        </w:rPr>
        <w:t xml:space="preserve">Αμοιβαία Κεφάλαια Χρηματαγοράς </w:t>
      </w:r>
      <w:r w:rsidR="00B366FB">
        <w:rPr>
          <w:rFonts w:ascii="Calibri" w:hAnsi="Calibri" w:cs="Tahoma"/>
          <w:bCs/>
          <w:sz w:val="22"/>
          <w:szCs w:val="22"/>
        </w:rPr>
        <w:t>(</w:t>
      </w:r>
      <w:r w:rsidR="00837232" w:rsidRPr="00C454BC">
        <w:rPr>
          <w:rFonts w:ascii="Calibri" w:hAnsi="Calibri" w:cs="Tahoma"/>
          <w:bCs/>
          <w:sz w:val="22"/>
          <w:szCs w:val="22"/>
        </w:rPr>
        <w:t>€</w:t>
      </w:r>
      <w:r w:rsidR="00B73E8A">
        <w:rPr>
          <w:rFonts w:ascii="Calibri" w:hAnsi="Calibri" w:cs="Tahoma"/>
          <w:bCs/>
          <w:sz w:val="22"/>
          <w:szCs w:val="22"/>
        </w:rPr>
        <w:t>1</w:t>
      </w:r>
      <w:r w:rsidR="00C454BC" w:rsidRPr="00C454BC">
        <w:rPr>
          <w:rFonts w:ascii="Calibri" w:hAnsi="Calibri" w:cs="Tahoma"/>
          <w:bCs/>
          <w:sz w:val="22"/>
          <w:szCs w:val="22"/>
        </w:rPr>
        <w:t>,</w:t>
      </w:r>
      <w:r w:rsidR="00FC2CC1">
        <w:rPr>
          <w:rFonts w:ascii="Calibri" w:hAnsi="Calibri" w:cs="Tahoma"/>
          <w:bCs/>
          <w:sz w:val="22"/>
          <w:szCs w:val="22"/>
        </w:rPr>
        <w:t>42</w:t>
      </w:r>
      <w:r w:rsidR="00837232" w:rsidRPr="00C454BC">
        <w:rPr>
          <w:rFonts w:ascii="Calibri" w:hAnsi="Calibri" w:cs="Tahoma"/>
          <w:bCs/>
          <w:sz w:val="22"/>
          <w:szCs w:val="22"/>
        </w:rPr>
        <w:t xml:space="preserve"> εκατ.)</w:t>
      </w:r>
      <w:r w:rsidR="007A2B0D" w:rsidRPr="00C454BC">
        <w:rPr>
          <w:rFonts w:ascii="Calibri" w:hAnsi="Calibri" w:cs="Tahoma"/>
          <w:bCs/>
          <w:sz w:val="22"/>
          <w:szCs w:val="22"/>
        </w:rPr>
        <w:t>.</w:t>
      </w:r>
    </w:p>
    <w:p w:rsidR="006B3EEE" w:rsidRPr="003F25AA" w:rsidRDefault="003E405A" w:rsidP="003E405A">
      <w:pPr>
        <w:spacing w:before="120"/>
        <w:jc w:val="both"/>
        <w:rPr>
          <w:rFonts w:ascii="Calibri" w:hAnsi="Calibri" w:cs="Tahoma"/>
          <w:bCs/>
          <w:sz w:val="22"/>
          <w:szCs w:val="22"/>
        </w:rPr>
      </w:pPr>
      <w:r w:rsidRPr="005208F9">
        <w:rPr>
          <w:rFonts w:ascii="Calibri" w:hAnsi="Calibri" w:cs="Tahoma"/>
          <w:bCs/>
          <w:sz w:val="22"/>
          <w:szCs w:val="22"/>
        </w:rPr>
        <w:t>Οι</w:t>
      </w:r>
      <w:r w:rsidRPr="005208F9">
        <w:rPr>
          <w:rFonts w:ascii="Calibri" w:hAnsi="Calibri" w:cs="Tahoma"/>
          <w:b/>
          <w:bCs/>
          <w:sz w:val="22"/>
          <w:szCs w:val="22"/>
        </w:rPr>
        <w:t xml:space="preserve"> </w:t>
      </w:r>
      <w:r w:rsidRPr="00D05587">
        <w:rPr>
          <w:rFonts w:ascii="Calibri" w:hAnsi="Calibri" w:cs="Tahoma"/>
          <w:b/>
          <w:bCs/>
          <w:sz w:val="22"/>
          <w:szCs w:val="22"/>
        </w:rPr>
        <w:t xml:space="preserve">Έλληνες επενδυτές εμφανίζονται </w:t>
      </w:r>
      <w:r w:rsidR="00D05587" w:rsidRPr="00D05587">
        <w:rPr>
          <w:rFonts w:ascii="Calibri" w:hAnsi="Calibri" w:cs="Tahoma"/>
          <w:b/>
          <w:bCs/>
          <w:sz w:val="22"/>
          <w:szCs w:val="22"/>
        </w:rPr>
        <w:t>πωλητές</w:t>
      </w:r>
      <w:r w:rsidRPr="00D05587">
        <w:rPr>
          <w:rFonts w:ascii="Calibri" w:hAnsi="Calibri" w:cs="Tahoma"/>
          <w:b/>
          <w:bCs/>
          <w:sz w:val="22"/>
          <w:szCs w:val="22"/>
        </w:rPr>
        <w:t xml:space="preserve"> με </w:t>
      </w:r>
      <w:r w:rsidR="00D05587" w:rsidRPr="00D05587">
        <w:rPr>
          <w:rFonts w:ascii="Calibri" w:hAnsi="Calibri" w:cs="Tahoma"/>
          <w:b/>
          <w:bCs/>
          <w:sz w:val="22"/>
          <w:szCs w:val="22"/>
        </w:rPr>
        <w:t>εκροές</w:t>
      </w:r>
      <w:r w:rsidRPr="00D05587">
        <w:rPr>
          <w:rFonts w:ascii="Calibri" w:hAnsi="Calibri" w:cs="Tahoma"/>
          <w:b/>
          <w:bCs/>
          <w:sz w:val="22"/>
          <w:szCs w:val="22"/>
        </w:rPr>
        <w:t xml:space="preserve"> κεφαλαίων ύψους</w:t>
      </w:r>
      <w:r w:rsidRPr="005208F9">
        <w:rPr>
          <w:rFonts w:ascii="Calibri" w:hAnsi="Calibri" w:cs="Tahoma"/>
          <w:bCs/>
          <w:sz w:val="22"/>
          <w:szCs w:val="22"/>
        </w:rPr>
        <w:t xml:space="preserve"> </w:t>
      </w:r>
      <w:r w:rsidRPr="005208F9">
        <w:rPr>
          <w:rFonts w:ascii="Calibri" w:hAnsi="Calibri" w:cs="Tahoma"/>
          <w:b/>
          <w:bCs/>
          <w:sz w:val="22"/>
          <w:szCs w:val="22"/>
        </w:rPr>
        <w:t>€</w:t>
      </w:r>
      <w:r w:rsidR="00D05587">
        <w:rPr>
          <w:rFonts w:ascii="Calibri" w:hAnsi="Calibri" w:cs="Tahoma"/>
          <w:b/>
          <w:bCs/>
          <w:sz w:val="22"/>
          <w:szCs w:val="22"/>
        </w:rPr>
        <w:t>25,95</w:t>
      </w:r>
      <w:r w:rsidRPr="005208F9">
        <w:rPr>
          <w:rFonts w:ascii="Calibri" w:hAnsi="Calibri" w:cs="Tahoma"/>
          <w:b/>
          <w:bCs/>
          <w:sz w:val="22"/>
          <w:szCs w:val="22"/>
        </w:rPr>
        <w:t xml:space="preserve"> εκατ</w:t>
      </w:r>
      <w:r w:rsidR="00CA0F84" w:rsidRPr="005208F9">
        <w:rPr>
          <w:rFonts w:ascii="Calibri" w:hAnsi="Calibri" w:cs="Tahoma"/>
          <w:bCs/>
          <w:sz w:val="22"/>
          <w:szCs w:val="22"/>
        </w:rPr>
        <w:t xml:space="preserve">. </w:t>
      </w:r>
      <w:r w:rsidR="00BD3652" w:rsidRPr="005208F9">
        <w:rPr>
          <w:rFonts w:ascii="Calibri" w:hAnsi="Calibri" w:cs="Tahoma"/>
          <w:bCs/>
          <w:sz w:val="22"/>
          <w:szCs w:val="22"/>
        </w:rPr>
        <w:t>Ο</w:t>
      </w:r>
      <w:r w:rsidRPr="005208F9">
        <w:rPr>
          <w:rFonts w:ascii="Calibri" w:hAnsi="Calibri" w:cs="Tahoma"/>
          <w:bCs/>
          <w:sz w:val="22"/>
          <w:szCs w:val="22"/>
        </w:rPr>
        <w:t xml:space="preserve">ι </w:t>
      </w:r>
      <w:r w:rsidR="00D05587" w:rsidRPr="00D05587">
        <w:rPr>
          <w:rFonts w:ascii="Calibri" w:hAnsi="Calibri" w:cs="Tahoma"/>
          <w:b/>
          <w:bCs/>
          <w:sz w:val="22"/>
          <w:szCs w:val="22"/>
        </w:rPr>
        <w:t xml:space="preserve">μεγαλύτερες </w:t>
      </w:r>
      <w:r w:rsidR="00D05587">
        <w:rPr>
          <w:rFonts w:ascii="Calibri" w:hAnsi="Calibri" w:cs="Tahoma"/>
          <w:b/>
          <w:bCs/>
          <w:sz w:val="22"/>
          <w:szCs w:val="22"/>
        </w:rPr>
        <w:t>εκ</w:t>
      </w:r>
      <w:r w:rsidR="00BB00C3" w:rsidRPr="00BB00C3">
        <w:rPr>
          <w:rFonts w:ascii="Calibri" w:hAnsi="Calibri" w:cs="Tahoma"/>
          <w:b/>
          <w:bCs/>
          <w:sz w:val="22"/>
          <w:szCs w:val="22"/>
        </w:rPr>
        <w:t>ροές</w:t>
      </w:r>
      <w:r w:rsidRPr="005208F9">
        <w:rPr>
          <w:rFonts w:ascii="Calibri" w:hAnsi="Calibri" w:cs="Tahoma"/>
          <w:bCs/>
          <w:sz w:val="22"/>
          <w:szCs w:val="22"/>
        </w:rPr>
        <w:t xml:space="preserve"> προέρχονται</w:t>
      </w:r>
      <w:r w:rsidR="00D05587">
        <w:rPr>
          <w:rFonts w:ascii="Calibri" w:hAnsi="Calibri" w:cs="Tahoma"/>
          <w:bCs/>
          <w:sz w:val="22"/>
          <w:szCs w:val="22"/>
        </w:rPr>
        <w:t xml:space="preserve"> από </w:t>
      </w:r>
      <w:r w:rsidR="00D05587" w:rsidRPr="00D05587">
        <w:rPr>
          <w:rFonts w:ascii="Calibri" w:hAnsi="Calibri" w:cs="Tahoma"/>
          <w:bCs/>
          <w:sz w:val="22"/>
          <w:szCs w:val="22"/>
        </w:rPr>
        <w:t xml:space="preserve">Ασφαλιστικές Εταιρίες </w:t>
      </w:r>
      <w:r w:rsidR="00D05587" w:rsidRPr="00963EA0">
        <w:rPr>
          <w:rFonts w:ascii="Calibri" w:hAnsi="Calibri" w:cs="Tahoma"/>
          <w:bCs/>
          <w:sz w:val="22"/>
          <w:szCs w:val="22"/>
        </w:rPr>
        <w:t>(€</w:t>
      </w:r>
      <w:r w:rsidR="00D05587">
        <w:rPr>
          <w:rFonts w:ascii="Calibri" w:hAnsi="Calibri" w:cs="Tahoma"/>
          <w:bCs/>
          <w:sz w:val="22"/>
          <w:szCs w:val="22"/>
        </w:rPr>
        <w:t>32,15</w:t>
      </w:r>
      <w:r w:rsidR="00D05587" w:rsidRPr="00963EA0">
        <w:rPr>
          <w:rFonts w:ascii="Calibri" w:hAnsi="Calibri" w:cs="Tahoma"/>
          <w:bCs/>
          <w:sz w:val="22"/>
          <w:szCs w:val="22"/>
        </w:rPr>
        <w:t xml:space="preserve"> εκατ.), </w:t>
      </w:r>
      <w:r w:rsidR="00D05587" w:rsidRPr="00D05587">
        <w:rPr>
          <w:rFonts w:ascii="Calibri" w:hAnsi="Calibri" w:cs="Tahoma"/>
          <w:bCs/>
          <w:sz w:val="22"/>
          <w:szCs w:val="22"/>
        </w:rPr>
        <w:t xml:space="preserve">Πιστωτικά Ιδρύματα &amp; Πολυμερείς Αναπτυξιακές Τράπεζες </w:t>
      </w:r>
      <w:r w:rsidR="00D05587" w:rsidRPr="00100059">
        <w:rPr>
          <w:rFonts w:ascii="Calibri" w:hAnsi="Calibri" w:cs="Tahoma"/>
          <w:bCs/>
          <w:sz w:val="22"/>
          <w:szCs w:val="22"/>
        </w:rPr>
        <w:t>(€</w:t>
      </w:r>
      <w:r w:rsidR="00D05587">
        <w:rPr>
          <w:rFonts w:ascii="Calibri" w:hAnsi="Calibri" w:cs="Tahoma"/>
          <w:bCs/>
          <w:sz w:val="22"/>
          <w:szCs w:val="22"/>
        </w:rPr>
        <w:t xml:space="preserve">7,31 εκατ.), </w:t>
      </w:r>
      <w:r w:rsidR="00D05587" w:rsidRPr="009761FC">
        <w:rPr>
          <w:rFonts w:ascii="Calibri" w:hAnsi="Calibri" w:cs="Tahoma"/>
          <w:bCs/>
          <w:sz w:val="22"/>
          <w:szCs w:val="22"/>
        </w:rPr>
        <w:t xml:space="preserve">Αμοιβαία Κεφάλαια Χρηματαγοράς </w:t>
      </w:r>
      <w:r w:rsidR="00D05587">
        <w:rPr>
          <w:rFonts w:ascii="Calibri" w:hAnsi="Calibri" w:cs="Tahoma"/>
          <w:bCs/>
          <w:sz w:val="22"/>
          <w:szCs w:val="22"/>
        </w:rPr>
        <w:t>(</w:t>
      </w:r>
      <w:r w:rsidR="00D05587" w:rsidRPr="00C454BC">
        <w:rPr>
          <w:rFonts w:ascii="Calibri" w:hAnsi="Calibri" w:cs="Tahoma"/>
          <w:bCs/>
          <w:sz w:val="22"/>
          <w:szCs w:val="22"/>
        </w:rPr>
        <w:t>€</w:t>
      </w:r>
      <w:r w:rsidR="00D05587">
        <w:rPr>
          <w:rFonts w:ascii="Calibri" w:hAnsi="Calibri" w:cs="Tahoma"/>
          <w:bCs/>
          <w:sz w:val="22"/>
          <w:szCs w:val="22"/>
        </w:rPr>
        <w:t>6,46</w:t>
      </w:r>
      <w:r w:rsidR="00D05587" w:rsidRPr="00C454BC">
        <w:rPr>
          <w:rFonts w:ascii="Calibri" w:hAnsi="Calibri" w:cs="Tahoma"/>
          <w:bCs/>
          <w:sz w:val="22"/>
          <w:szCs w:val="22"/>
        </w:rPr>
        <w:t xml:space="preserve"> εκατ.)</w:t>
      </w:r>
      <w:r w:rsidR="00A75C2B">
        <w:rPr>
          <w:rFonts w:ascii="Calibri" w:hAnsi="Calibri" w:cs="Tahoma"/>
          <w:bCs/>
          <w:sz w:val="22"/>
          <w:szCs w:val="22"/>
        </w:rPr>
        <w:t>,</w:t>
      </w:r>
      <w:r w:rsidR="00963EA0">
        <w:rPr>
          <w:rFonts w:ascii="Calibri" w:hAnsi="Calibri" w:cs="Tahoma"/>
          <w:bCs/>
          <w:sz w:val="22"/>
          <w:szCs w:val="22"/>
        </w:rPr>
        <w:t xml:space="preserve"> </w:t>
      </w:r>
      <w:r w:rsidR="001F79C0" w:rsidRPr="00100059">
        <w:rPr>
          <w:rFonts w:ascii="Calibri" w:hAnsi="Calibri" w:cs="Tahoma"/>
          <w:bCs/>
          <w:sz w:val="22"/>
          <w:szCs w:val="22"/>
        </w:rPr>
        <w:t xml:space="preserve"> </w:t>
      </w:r>
      <w:r w:rsidR="00A75C2B" w:rsidRPr="00A75C2B">
        <w:rPr>
          <w:rFonts w:ascii="Calibri" w:hAnsi="Calibri" w:cs="Tahoma"/>
          <w:bCs/>
          <w:sz w:val="22"/>
          <w:szCs w:val="22"/>
        </w:rPr>
        <w:t>Ετ. Επενδύσεων Χαρτοφυλακίου, Ετ. Επενδύσεων σε Ακίνητη Περιουσία</w:t>
      </w:r>
      <w:r w:rsidR="00A75C2B">
        <w:rPr>
          <w:rFonts w:ascii="Calibri" w:hAnsi="Calibri" w:cs="Tahoma"/>
          <w:bCs/>
          <w:sz w:val="22"/>
          <w:szCs w:val="22"/>
        </w:rPr>
        <w:t xml:space="preserve"> (</w:t>
      </w:r>
      <w:r w:rsidR="00A75C2B" w:rsidRPr="00C454BC">
        <w:rPr>
          <w:rFonts w:ascii="Calibri" w:hAnsi="Calibri" w:cs="Tahoma"/>
          <w:bCs/>
          <w:sz w:val="22"/>
          <w:szCs w:val="22"/>
        </w:rPr>
        <w:t>€</w:t>
      </w:r>
      <w:r w:rsidR="00A75C2B">
        <w:rPr>
          <w:rFonts w:ascii="Calibri" w:hAnsi="Calibri" w:cs="Tahoma"/>
          <w:bCs/>
          <w:sz w:val="22"/>
          <w:szCs w:val="22"/>
        </w:rPr>
        <w:t>4,96</w:t>
      </w:r>
      <w:r w:rsidR="00A75C2B" w:rsidRPr="00C454BC">
        <w:rPr>
          <w:rFonts w:ascii="Calibri" w:hAnsi="Calibri" w:cs="Tahoma"/>
          <w:bCs/>
          <w:sz w:val="22"/>
          <w:szCs w:val="22"/>
        </w:rPr>
        <w:t xml:space="preserve"> εκατ.)</w:t>
      </w:r>
      <w:r w:rsidR="00976CBB">
        <w:rPr>
          <w:rFonts w:ascii="Calibri" w:hAnsi="Calibri" w:cs="Tahoma"/>
          <w:bCs/>
          <w:sz w:val="22"/>
          <w:szCs w:val="22"/>
        </w:rPr>
        <w:t xml:space="preserve"> &amp; </w:t>
      </w:r>
      <w:r w:rsidR="00976CBB" w:rsidRPr="00976CBB">
        <w:rPr>
          <w:rFonts w:ascii="Calibri" w:hAnsi="Calibri" w:cs="Tahoma"/>
          <w:bCs/>
          <w:sz w:val="22"/>
          <w:szCs w:val="22"/>
        </w:rPr>
        <w:t>Επαγγελματικά Ταμεία Ιδιωτικής Ασφάλισης</w:t>
      </w:r>
      <w:r w:rsidR="00976CBB">
        <w:rPr>
          <w:rFonts w:ascii="Calibri" w:hAnsi="Calibri" w:cs="Tahoma"/>
          <w:bCs/>
          <w:sz w:val="22"/>
          <w:szCs w:val="22"/>
        </w:rPr>
        <w:t xml:space="preserve"> (</w:t>
      </w:r>
      <w:r w:rsidR="00976CBB" w:rsidRPr="00C454BC">
        <w:rPr>
          <w:rFonts w:ascii="Calibri" w:hAnsi="Calibri" w:cs="Tahoma"/>
          <w:bCs/>
          <w:sz w:val="22"/>
          <w:szCs w:val="22"/>
        </w:rPr>
        <w:t>€</w:t>
      </w:r>
      <w:r w:rsidR="00976CBB">
        <w:rPr>
          <w:rFonts w:ascii="Calibri" w:hAnsi="Calibri" w:cs="Tahoma"/>
          <w:bCs/>
          <w:sz w:val="22"/>
          <w:szCs w:val="22"/>
        </w:rPr>
        <w:t>1,01</w:t>
      </w:r>
      <w:r w:rsidR="00976CBB" w:rsidRPr="00C454BC">
        <w:rPr>
          <w:rFonts w:ascii="Calibri" w:hAnsi="Calibri" w:cs="Tahoma"/>
          <w:bCs/>
          <w:sz w:val="22"/>
          <w:szCs w:val="22"/>
        </w:rPr>
        <w:t xml:space="preserve"> εκατ</w:t>
      </w:r>
      <w:r w:rsidR="00976CBB">
        <w:rPr>
          <w:rFonts w:ascii="Calibri" w:hAnsi="Calibri" w:cs="Tahoma"/>
          <w:bCs/>
          <w:sz w:val="22"/>
          <w:szCs w:val="22"/>
        </w:rPr>
        <w:t xml:space="preserve">.), </w:t>
      </w:r>
      <w:r w:rsidR="001F79C0" w:rsidRPr="006B3EEE">
        <w:rPr>
          <w:rFonts w:ascii="Calibri" w:hAnsi="Calibri" w:cs="Tahoma"/>
          <w:bCs/>
          <w:sz w:val="22"/>
          <w:szCs w:val="22"/>
        </w:rPr>
        <w:t xml:space="preserve">ενώ οι </w:t>
      </w:r>
      <w:r w:rsidR="00976CBB" w:rsidRPr="00976CBB">
        <w:rPr>
          <w:rFonts w:ascii="Calibri" w:hAnsi="Calibri" w:cs="Tahoma"/>
          <w:b/>
          <w:bCs/>
          <w:sz w:val="22"/>
          <w:szCs w:val="22"/>
        </w:rPr>
        <w:t>μεγαλύτερες εισ</w:t>
      </w:r>
      <w:r w:rsidR="001F79C0" w:rsidRPr="00976CBB">
        <w:rPr>
          <w:rFonts w:ascii="Calibri" w:hAnsi="Calibri" w:cs="Tahoma"/>
          <w:b/>
          <w:bCs/>
          <w:sz w:val="22"/>
          <w:szCs w:val="22"/>
        </w:rPr>
        <w:t>ροές</w:t>
      </w:r>
      <w:r w:rsidR="001F79C0" w:rsidRPr="006B3EEE">
        <w:rPr>
          <w:rFonts w:ascii="Calibri" w:hAnsi="Calibri" w:cs="Tahoma"/>
          <w:bCs/>
          <w:sz w:val="22"/>
          <w:szCs w:val="22"/>
        </w:rPr>
        <w:t xml:space="preserve"> προέρχονται από</w:t>
      </w:r>
      <w:r w:rsidR="00976CBB">
        <w:rPr>
          <w:rFonts w:ascii="Calibri" w:hAnsi="Calibri" w:cs="Tahoma"/>
          <w:bCs/>
          <w:sz w:val="22"/>
          <w:szCs w:val="22"/>
        </w:rPr>
        <w:t xml:space="preserve"> </w:t>
      </w:r>
      <w:r w:rsidR="00976CBB" w:rsidRPr="00976CBB">
        <w:rPr>
          <w:rFonts w:ascii="Calibri" w:hAnsi="Calibri" w:cs="Tahoma"/>
          <w:bCs/>
          <w:sz w:val="22"/>
          <w:szCs w:val="22"/>
        </w:rPr>
        <w:t>Ιδιώτες, Ελεύθερο</w:t>
      </w:r>
      <w:r w:rsidR="00976CBB">
        <w:rPr>
          <w:rFonts w:ascii="Calibri" w:hAnsi="Calibri" w:cs="Tahoma"/>
          <w:bCs/>
          <w:sz w:val="22"/>
          <w:szCs w:val="22"/>
        </w:rPr>
        <w:t>υς</w:t>
      </w:r>
      <w:r w:rsidR="00976CBB" w:rsidRPr="00976CBB">
        <w:rPr>
          <w:rFonts w:ascii="Calibri" w:hAnsi="Calibri" w:cs="Tahoma"/>
          <w:bCs/>
          <w:sz w:val="22"/>
          <w:szCs w:val="22"/>
        </w:rPr>
        <w:t xml:space="preserve"> Επαγγελματίες, Αγρότες &amp; Ατομικές Επιχειρήσεις </w:t>
      </w:r>
      <w:r w:rsidR="00976CBB">
        <w:rPr>
          <w:rFonts w:ascii="Calibri" w:hAnsi="Calibri" w:cs="Tahoma"/>
          <w:bCs/>
          <w:sz w:val="22"/>
          <w:szCs w:val="22"/>
        </w:rPr>
        <w:t>(</w:t>
      </w:r>
      <w:r w:rsidR="00976CBB" w:rsidRPr="00C454BC">
        <w:rPr>
          <w:rFonts w:ascii="Calibri" w:hAnsi="Calibri" w:cs="Tahoma"/>
          <w:bCs/>
          <w:sz w:val="22"/>
          <w:szCs w:val="22"/>
        </w:rPr>
        <w:t>€</w:t>
      </w:r>
      <w:r w:rsidR="00976CBB">
        <w:rPr>
          <w:rFonts w:ascii="Calibri" w:hAnsi="Calibri" w:cs="Tahoma"/>
          <w:bCs/>
          <w:sz w:val="22"/>
          <w:szCs w:val="22"/>
        </w:rPr>
        <w:t>21,88</w:t>
      </w:r>
      <w:r w:rsidR="00976CBB" w:rsidRPr="00C454BC">
        <w:rPr>
          <w:rFonts w:ascii="Calibri" w:hAnsi="Calibri" w:cs="Tahoma"/>
          <w:bCs/>
          <w:sz w:val="22"/>
          <w:szCs w:val="22"/>
        </w:rPr>
        <w:t xml:space="preserve"> εκατ.)</w:t>
      </w:r>
      <w:r w:rsidR="00976CBB">
        <w:rPr>
          <w:rFonts w:ascii="Calibri" w:hAnsi="Calibri" w:cs="Tahoma"/>
          <w:bCs/>
          <w:sz w:val="22"/>
          <w:szCs w:val="22"/>
        </w:rPr>
        <w:t xml:space="preserve"> και </w:t>
      </w:r>
      <w:r w:rsidR="00976CBB" w:rsidRPr="00976CBB">
        <w:rPr>
          <w:rFonts w:ascii="Calibri" w:hAnsi="Calibri" w:cs="Tahoma"/>
          <w:bCs/>
          <w:sz w:val="22"/>
          <w:szCs w:val="22"/>
        </w:rPr>
        <w:t xml:space="preserve">Λοιπά Χρηματοπιστωτικά Ιδρύματα (συμπεριλαμβανομένων &amp; Εταιρειών Ειδικού Σκοπού) </w:t>
      </w:r>
      <w:r w:rsidR="00EE284A" w:rsidRPr="00963EA0">
        <w:rPr>
          <w:rFonts w:ascii="Calibri" w:hAnsi="Calibri" w:cs="Tahoma"/>
          <w:bCs/>
          <w:sz w:val="22"/>
          <w:szCs w:val="22"/>
        </w:rPr>
        <w:t xml:space="preserve"> (€</w:t>
      </w:r>
      <w:r w:rsidR="00976CBB">
        <w:rPr>
          <w:rFonts w:ascii="Calibri" w:hAnsi="Calibri" w:cs="Tahoma"/>
          <w:bCs/>
          <w:sz w:val="22"/>
          <w:szCs w:val="22"/>
        </w:rPr>
        <w:t>3,78 εκατ.).</w:t>
      </w:r>
    </w:p>
    <w:p w:rsidR="00E00870" w:rsidRDefault="003E405A" w:rsidP="003E405A">
      <w:pPr>
        <w:spacing w:before="120"/>
        <w:jc w:val="both"/>
        <w:rPr>
          <w:rFonts w:ascii="Calibri" w:hAnsi="Calibri" w:cs="Tahoma"/>
          <w:bCs/>
          <w:sz w:val="22"/>
          <w:szCs w:val="22"/>
        </w:rPr>
      </w:pPr>
      <w:r w:rsidRPr="00DD311C">
        <w:rPr>
          <w:rFonts w:ascii="Calibri" w:hAnsi="Calibri" w:cs="Tahoma"/>
          <w:bCs/>
          <w:sz w:val="22"/>
          <w:szCs w:val="22"/>
        </w:rPr>
        <w:t xml:space="preserve">Οι </w:t>
      </w:r>
      <w:r>
        <w:rPr>
          <w:rFonts w:ascii="Calibri" w:hAnsi="Calibri" w:cs="Tahoma"/>
          <w:b/>
          <w:bCs/>
          <w:sz w:val="22"/>
          <w:szCs w:val="22"/>
        </w:rPr>
        <w:t xml:space="preserve">ξένοι επενδυτές </w:t>
      </w:r>
      <w:r w:rsidRPr="005E0BCD">
        <w:rPr>
          <w:rFonts w:ascii="Calibri" w:hAnsi="Calibri" w:cs="Tahoma"/>
          <w:bCs/>
          <w:sz w:val="22"/>
          <w:szCs w:val="22"/>
        </w:rPr>
        <w:t xml:space="preserve">τον </w:t>
      </w:r>
      <w:r w:rsidR="000B53E7" w:rsidRPr="000B53E7">
        <w:rPr>
          <w:rFonts w:ascii="Calibri" w:hAnsi="Calibri" w:cs="Tahoma"/>
          <w:bCs/>
          <w:sz w:val="22"/>
          <w:szCs w:val="22"/>
        </w:rPr>
        <w:t>Ιανουάριο 2016</w:t>
      </w:r>
      <w:r w:rsidRPr="00AF0F99">
        <w:rPr>
          <w:rFonts w:ascii="Calibri" w:hAnsi="Calibri" w:cs="Tahoma"/>
          <w:b/>
          <w:bCs/>
          <w:sz w:val="22"/>
          <w:szCs w:val="22"/>
        </w:rPr>
        <w:t xml:space="preserve"> πραγματοποίησαν το </w:t>
      </w:r>
      <w:r w:rsidR="00312F95">
        <w:rPr>
          <w:rFonts w:ascii="Calibri" w:hAnsi="Calibri" w:cs="Tahoma"/>
          <w:b/>
          <w:bCs/>
          <w:sz w:val="22"/>
          <w:szCs w:val="22"/>
        </w:rPr>
        <w:t>61,9%</w:t>
      </w:r>
      <w:r w:rsidRPr="00AF0F99">
        <w:rPr>
          <w:rFonts w:ascii="Calibri" w:hAnsi="Calibri" w:cs="Tahoma"/>
          <w:b/>
          <w:bCs/>
          <w:sz w:val="22"/>
          <w:szCs w:val="22"/>
        </w:rPr>
        <w:t xml:space="preserve"> των συναλλαγών</w:t>
      </w:r>
      <w:r>
        <w:rPr>
          <w:rFonts w:ascii="Calibri" w:hAnsi="Calibri" w:cs="Tahoma"/>
          <w:bCs/>
          <w:sz w:val="22"/>
          <w:szCs w:val="22"/>
        </w:rPr>
        <w:t xml:space="preserve"> (</w:t>
      </w:r>
      <w:r w:rsidR="009330D2">
        <w:rPr>
          <w:rFonts w:ascii="Calibri" w:hAnsi="Calibri" w:cs="Tahoma"/>
          <w:bCs/>
          <w:sz w:val="22"/>
          <w:szCs w:val="22"/>
        </w:rPr>
        <w:t xml:space="preserve">σε σχέση με το </w:t>
      </w:r>
      <w:r w:rsidR="000B53E7" w:rsidRPr="000B53E7">
        <w:rPr>
          <w:rFonts w:ascii="Calibri" w:hAnsi="Calibri" w:cs="Tahoma"/>
          <w:bCs/>
          <w:sz w:val="22"/>
          <w:szCs w:val="22"/>
        </w:rPr>
        <w:t>65,1%</w:t>
      </w:r>
      <w:r w:rsidR="009330D2">
        <w:rPr>
          <w:rFonts w:ascii="Calibri" w:hAnsi="Calibri" w:cs="Tahoma"/>
          <w:bCs/>
          <w:sz w:val="22"/>
          <w:szCs w:val="22"/>
        </w:rPr>
        <w:t xml:space="preserve"> τον προηγούμενο μήνα</w:t>
      </w:r>
      <w:r>
        <w:rPr>
          <w:rFonts w:ascii="Calibri" w:hAnsi="Calibri" w:cs="Tahoma"/>
          <w:bCs/>
          <w:sz w:val="22"/>
          <w:szCs w:val="22"/>
        </w:rPr>
        <w:t xml:space="preserve">, ενώ </w:t>
      </w:r>
      <w:bookmarkStart w:id="1" w:name="OLE_LINK1"/>
      <w:bookmarkStart w:id="2" w:name="OLE_LINK2"/>
      <w:r>
        <w:rPr>
          <w:rFonts w:ascii="Calibri" w:hAnsi="Calibri" w:cs="Tahoma"/>
          <w:bCs/>
          <w:sz w:val="22"/>
          <w:szCs w:val="22"/>
        </w:rPr>
        <w:t xml:space="preserve">τον </w:t>
      </w:r>
      <w:bookmarkEnd w:id="1"/>
      <w:bookmarkEnd w:id="2"/>
      <w:r w:rsidR="000B53E7" w:rsidRPr="000B53E7">
        <w:rPr>
          <w:rFonts w:ascii="Calibri" w:hAnsi="Calibri" w:cs="Tahoma"/>
          <w:bCs/>
          <w:sz w:val="22"/>
          <w:szCs w:val="22"/>
        </w:rPr>
        <w:t>Ιανουάριο 2015</w:t>
      </w:r>
      <w:r w:rsidRPr="00AF0F99">
        <w:rPr>
          <w:rFonts w:ascii="Calibri" w:hAnsi="Calibri" w:cs="Tahoma"/>
          <w:bCs/>
          <w:sz w:val="22"/>
          <w:szCs w:val="22"/>
        </w:rPr>
        <w:t xml:space="preserve"> είχαν πραγματοποιήσει το </w:t>
      </w:r>
      <w:r w:rsidR="000B53E7" w:rsidRPr="000B53E7">
        <w:rPr>
          <w:rFonts w:ascii="Calibri" w:hAnsi="Calibri" w:cs="Tahoma"/>
          <w:bCs/>
          <w:sz w:val="22"/>
          <w:szCs w:val="22"/>
        </w:rPr>
        <w:t>71,1%</w:t>
      </w:r>
      <w:r w:rsidRPr="00AF0F99">
        <w:rPr>
          <w:rFonts w:ascii="Calibri" w:hAnsi="Calibri" w:cs="Tahoma"/>
          <w:bCs/>
          <w:sz w:val="22"/>
          <w:szCs w:val="22"/>
        </w:rPr>
        <w:t xml:space="preserve"> των συναλλαγών).</w:t>
      </w:r>
    </w:p>
    <w:p w:rsidR="00312F95" w:rsidRPr="009D378F" w:rsidRDefault="003E405A" w:rsidP="00312F95">
      <w:pPr>
        <w:spacing w:before="120" w:after="120"/>
        <w:jc w:val="both"/>
        <w:rPr>
          <w:rFonts w:ascii="Calibri" w:hAnsi="Calibri" w:cs="Tahoma"/>
          <w:bCs/>
          <w:sz w:val="22"/>
          <w:szCs w:val="22"/>
        </w:rPr>
      </w:pPr>
      <w:r w:rsidRPr="00AF0F99">
        <w:rPr>
          <w:rFonts w:ascii="Calibri" w:hAnsi="Calibri" w:cs="Tahoma"/>
          <w:bCs/>
          <w:sz w:val="22"/>
          <w:szCs w:val="22"/>
        </w:rPr>
        <w:t xml:space="preserve">Οι </w:t>
      </w:r>
      <w:r>
        <w:rPr>
          <w:rFonts w:ascii="Calibri" w:hAnsi="Calibri" w:cs="Tahoma"/>
          <w:b/>
          <w:bCs/>
          <w:sz w:val="22"/>
          <w:szCs w:val="22"/>
        </w:rPr>
        <w:t xml:space="preserve">Έλληνες </w:t>
      </w:r>
      <w:r w:rsidR="00312F95">
        <w:rPr>
          <w:rFonts w:ascii="Calibri" w:hAnsi="Calibri" w:cs="Tahoma"/>
          <w:b/>
          <w:bCs/>
          <w:sz w:val="22"/>
          <w:szCs w:val="22"/>
        </w:rPr>
        <w:t>Ι</w:t>
      </w:r>
      <w:r>
        <w:rPr>
          <w:rFonts w:ascii="Calibri" w:hAnsi="Calibri" w:cs="Tahoma"/>
          <w:b/>
          <w:bCs/>
          <w:sz w:val="22"/>
          <w:szCs w:val="22"/>
        </w:rPr>
        <w:t xml:space="preserve">διώτες επενδυτές </w:t>
      </w:r>
      <w:r w:rsidR="00312F95" w:rsidRPr="00FA6C36">
        <w:rPr>
          <w:rFonts w:ascii="Calibri" w:hAnsi="Calibri" w:cs="Tahoma"/>
          <w:bCs/>
          <w:sz w:val="22"/>
          <w:szCs w:val="22"/>
        </w:rPr>
        <w:t>(</w:t>
      </w:r>
      <w:r w:rsidR="00312F95" w:rsidRPr="00976CBB">
        <w:rPr>
          <w:rFonts w:ascii="Calibri" w:hAnsi="Calibri" w:cs="Tahoma"/>
          <w:bCs/>
          <w:sz w:val="22"/>
          <w:szCs w:val="22"/>
        </w:rPr>
        <w:t>Ιδιώτες, Ελεύθερο</w:t>
      </w:r>
      <w:r w:rsidR="00312F95">
        <w:rPr>
          <w:rFonts w:ascii="Calibri" w:hAnsi="Calibri" w:cs="Tahoma"/>
          <w:bCs/>
          <w:sz w:val="22"/>
          <w:szCs w:val="22"/>
        </w:rPr>
        <w:t>ι</w:t>
      </w:r>
      <w:r w:rsidR="00312F95" w:rsidRPr="00976CBB">
        <w:rPr>
          <w:rFonts w:ascii="Calibri" w:hAnsi="Calibri" w:cs="Tahoma"/>
          <w:bCs/>
          <w:sz w:val="22"/>
          <w:szCs w:val="22"/>
        </w:rPr>
        <w:t xml:space="preserve"> Επαγγελματίες, Αγρότες &amp; Ατομικές Επιχειρήσεις</w:t>
      </w:r>
      <w:r w:rsidR="00312F95">
        <w:rPr>
          <w:rFonts w:ascii="Calibri" w:hAnsi="Calibri" w:cs="Tahoma"/>
          <w:bCs/>
          <w:sz w:val="22"/>
          <w:szCs w:val="22"/>
        </w:rPr>
        <w:t xml:space="preserve">) </w:t>
      </w:r>
      <w:r>
        <w:rPr>
          <w:rFonts w:ascii="Calibri" w:hAnsi="Calibri" w:cs="Tahoma"/>
          <w:b/>
          <w:bCs/>
          <w:sz w:val="22"/>
          <w:szCs w:val="22"/>
        </w:rPr>
        <w:t>τον</w:t>
      </w:r>
      <w:r w:rsidRPr="00AF0F99">
        <w:rPr>
          <w:rFonts w:ascii="Calibri" w:hAnsi="Calibri" w:cs="Tahoma"/>
          <w:b/>
          <w:bCs/>
          <w:sz w:val="22"/>
          <w:szCs w:val="22"/>
        </w:rPr>
        <w:t xml:space="preserve"> </w:t>
      </w:r>
      <w:r w:rsidR="000B53E7" w:rsidRPr="000B53E7">
        <w:rPr>
          <w:rFonts w:ascii="Calibri" w:hAnsi="Calibri" w:cs="Tahoma"/>
          <w:bCs/>
          <w:sz w:val="22"/>
          <w:szCs w:val="22"/>
        </w:rPr>
        <w:t>Ιανουάριο 2016</w:t>
      </w:r>
      <w:r w:rsidRPr="005E0BCD">
        <w:rPr>
          <w:rFonts w:ascii="Calibri" w:hAnsi="Calibri" w:cs="Tahoma"/>
          <w:bCs/>
          <w:sz w:val="22"/>
          <w:szCs w:val="22"/>
        </w:rPr>
        <w:t xml:space="preserve"> </w:t>
      </w:r>
      <w:r w:rsidRPr="00AF0F99">
        <w:rPr>
          <w:rFonts w:ascii="Calibri" w:hAnsi="Calibri" w:cs="Tahoma"/>
          <w:b/>
          <w:bCs/>
          <w:sz w:val="22"/>
          <w:szCs w:val="22"/>
        </w:rPr>
        <w:t>πραγματοποίησαν το</w:t>
      </w:r>
      <w:r>
        <w:rPr>
          <w:rFonts w:ascii="Calibri" w:hAnsi="Calibri" w:cs="Tahoma"/>
          <w:b/>
          <w:bCs/>
          <w:sz w:val="22"/>
          <w:szCs w:val="22"/>
        </w:rPr>
        <w:t xml:space="preserve"> </w:t>
      </w:r>
      <w:r w:rsidR="00312F95">
        <w:rPr>
          <w:rFonts w:ascii="Calibri" w:hAnsi="Calibri" w:cs="Tahoma"/>
          <w:b/>
          <w:bCs/>
          <w:sz w:val="22"/>
          <w:szCs w:val="22"/>
        </w:rPr>
        <w:t>14,4%</w:t>
      </w:r>
      <w:r w:rsidRPr="00AF0F99">
        <w:rPr>
          <w:rFonts w:ascii="Calibri" w:hAnsi="Calibri" w:cs="Tahoma"/>
          <w:b/>
          <w:bCs/>
          <w:sz w:val="22"/>
          <w:szCs w:val="22"/>
        </w:rPr>
        <w:t xml:space="preserve"> των συναλλαγών</w:t>
      </w:r>
      <w:r>
        <w:rPr>
          <w:rFonts w:ascii="Calibri" w:hAnsi="Calibri" w:cs="Tahoma"/>
          <w:bCs/>
          <w:sz w:val="22"/>
          <w:szCs w:val="22"/>
        </w:rPr>
        <w:t xml:space="preserve"> (τον</w:t>
      </w:r>
      <w:r w:rsidRPr="00DD311C">
        <w:rPr>
          <w:rFonts w:ascii="Calibri" w:hAnsi="Calibri" w:cs="Tahoma"/>
          <w:bCs/>
          <w:sz w:val="22"/>
          <w:szCs w:val="22"/>
        </w:rPr>
        <w:t xml:space="preserve"> </w:t>
      </w:r>
      <w:r w:rsidR="00BD3652">
        <w:rPr>
          <w:rFonts w:ascii="Calibri" w:hAnsi="Calibri" w:cs="Tahoma"/>
          <w:bCs/>
          <w:sz w:val="22"/>
          <w:szCs w:val="22"/>
        </w:rPr>
        <w:t>προηγούμενο μήνα</w:t>
      </w:r>
      <w:r w:rsidRPr="00AF0F99">
        <w:rPr>
          <w:rFonts w:ascii="Calibri" w:hAnsi="Calibri" w:cs="Tahoma"/>
          <w:bCs/>
          <w:sz w:val="22"/>
          <w:szCs w:val="22"/>
        </w:rPr>
        <w:t xml:space="preserve"> πραγματοποίησαν το </w:t>
      </w:r>
      <w:r w:rsidR="000B53E7" w:rsidRPr="000B53E7">
        <w:rPr>
          <w:rFonts w:ascii="Calibri" w:hAnsi="Calibri" w:cs="Tahoma"/>
          <w:bCs/>
          <w:sz w:val="22"/>
          <w:szCs w:val="22"/>
        </w:rPr>
        <w:t>8,9%</w:t>
      </w:r>
      <w:r w:rsidRPr="00AF0F99">
        <w:rPr>
          <w:rFonts w:ascii="Calibri" w:hAnsi="Calibri" w:cs="Tahoma"/>
          <w:bCs/>
          <w:sz w:val="22"/>
          <w:szCs w:val="22"/>
        </w:rPr>
        <w:t xml:space="preserve"> των συναλλαγών, ενώ </w:t>
      </w:r>
      <w:r>
        <w:rPr>
          <w:rFonts w:ascii="Calibri" w:hAnsi="Calibri" w:cs="Tahoma"/>
          <w:bCs/>
          <w:sz w:val="22"/>
          <w:szCs w:val="22"/>
        </w:rPr>
        <w:t xml:space="preserve">τον </w:t>
      </w:r>
      <w:r w:rsidR="00BD3652">
        <w:rPr>
          <w:rFonts w:ascii="Calibri" w:hAnsi="Calibri" w:cs="Tahoma"/>
          <w:bCs/>
          <w:sz w:val="22"/>
          <w:szCs w:val="22"/>
        </w:rPr>
        <w:t>ίδιο μήνα του προηγούμενου έτους</w:t>
      </w:r>
      <w:r w:rsidRPr="00AF0F99">
        <w:rPr>
          <w:rFonts w:ascii="Calibri" w:hAnsi="Calibri" w:cs="Tahoma"/>
          <w:bCs/>
          <w:sz w:val="22"/>
          <w:szCs w:val="22"/>
        </w:rPr>
        <w:t xml:space="preserve"> είχαν πραγματοποιήσει το </w:t>
      </w:r>
      <w:r w:rsidR="000B53E7" w:rsidRPr="000B53E7">
        <w:rPr>
          <w:rFonts w:ascii="Calibri" w:hAnsi="Calibri" w:cs="Tahoma"/>
          <w:bCs/>
          <w:sz w:val="22"/>
          <w:szCs w:val="22"/>
        </w:rPr>
        <w:t>15,4%</w:t>
      </w:r>
      <w:r w:rsidR="00312F95">
        <w:rPr>
          <w:rFonts w:ascii="Calibri" w:hAnsi="Calibri" w:cs="Tahoma"/>
          <w:bCs/>
          <w:sz w:val="22"/>
          <w:szCs w:val="22"/>
        </w:rPr>
        <w:t xml:space="preserve"> των συναλλαγών).</w:t>
      </w:r>
      <w:r>
        <w:rPr>
          <w:rFonts w:ascii="Calibri" w:hAnsi="Calibri" w:cs="Tahoma"/>
          <w:bCs/>
          <w:sz w:val="22"/>
          <w:szCs w:val="22"/>
        </w:rPr>
        <w:t xml:space="preserve"> </w:t>
      </w:r>
      <w:r w:rsidR="00312F95" w:rsidRPr="003E0080">
        <w:rPr>
          <w:rFonts w:ascii="Calibri" w:hAnsi="Calibri" w:cs="Tahoma"/>
          <w:bCs/>
          <w:i/>
          <w:sz w:val="22"/>
          <w:szCs w:val="22"/>
        </w:rPr>
        <w:t>(βλ. γράφημα 3)</w:t>
      </w:r>
    </w:p>
    <w:p w:rsidR="009E0543" w:rsidRDefault="009E0543" w:rsidP="003E405A">
      <w:pPr>
        <w:spacing w:before="120"/>
        <w:jc w:val="both"/>
        <w:rPr>
          <w:rFonts w:ascii="Calibri" w:hAnsi="Calibri" w:cs="Tahoma"/>
          <w:bCs/>
          <w:sz w:val="22"/>
          <w:szCs w:val="22"/>
        </w:rPr>
      </w:pPr>
    </w:p>
    <w:p w:rsidR="003E405A" w:rsidRPr="006A0EE6" w:rsidRDefault="00BE288B" w:rsidP="006A0EE6">
      <w:pPr>
        <w:pStyle w:val="Caption"/>
        <w:jc w:val="center"/>
        <w:rPr>
          <w:b/>
          <w:i w:val="0"/>
          <w:sz w:val="18"/>
          <w:szCs w:val="18"/>
        </w:rPr>
      </w:pPr>
      <w:r>
        <w:rPr>
          <w:rFonts w:ascii="Calibri" w:hAnsi="Calibri" w:cs="Tahoma"/>
          <w:b/>
          <w:bCs/>
          <w:noProof/>
          <w:lang w:eastAsia="el-GR"/>
        </w:rPr>
        <w:drawing>
          <wp:inline distT="0" distB="0" distL="0" distR="0">
            <wp:extent cx="6080760" cy="162306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0760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0EE6" w:rsidRPr="006A0EE6">
        <w:rPr>
          <w:b/>
          <w:i w:val="0"/>
          <w:sz w:val="18"/>
          <w:szCs w:val="18"/>
        </w:rPr>
        <w:t xml:space="preserve">Γράφημα </w:t>
      </w:r>
      <w:r w:rsidR="006A0EE6" w:rsidRPr="006A0EE6">
        <w:rPr>
          <w:b/>
          <w:i w:val="0"/>
          <w:sz w:val="18"/>
          <w:szCs w:val="18"/>
        </w:rPr>
        <w:fldChar w:fldCharType="begin"/>
      </w:r>
      <w:r w:rsidR="006A0EE6" w:rsidRPr="006A0EE6">
        <w:rPr>
          <w:b/>
          <w:i w:val="0"/>
          <w:sz w:val="18"/>
          <w:szCs w:val="18"/>
        </w:rPr>
        <w:instrText xml:space="preserve"> SEQ Γράφημα \* ARABIC </w:instrText>
      </w:r>
      <w:r w:rsidR="006A0EE6" w:rsidRPr="006A0EE6">
        <w:rPr>
          <w:b/>
          <w:i w:val="0"/>
          <w:sz w:val="18"/>
          <w:szCs w:val="18"/>
        </w:rPr>
        <w:fldChar w:fldCharType="separate"/>
      </w:r>
      <w:r w:rsidR="000A358B">
        <w:rPr>
          <w:b/>
          <w:i w:val="0"/>
          <w:noProof/>
          <w:sz w:val="18"/>
          <w:szCs w:val="18"/>
        </w:rPr>
        <w:t>3</w:t>
      </w:r>
      <w:r w:rsidR="006A0EE6" w:rsidRPr="006A0EE6">
        <w:rPr>
          <w:b/>
          <w:i w:val="0"/>
          <w:sz w:val="18"/>
          <w:szCs w:val="18"/>
        </w:rPr>
        <w:fldChar w:fldCharType="end"/>
      </w:r>
    </w:p>
    <w:p w:rsidR="0078174E" w:rsidRPr="004C4CD7" w:rsidRDefault="0078174E" w:rsidP="00CA0F84">
      <w:pPr>
        <w:spacing w:before="120" w:after="120"/>
        <w:jc w:val="both"/>
        <w:rPr>
          <w:rFonts w:ascii="Calibri" w:hAnsi="Calibri" w:cs="Tahoma"/>
          <w:b/>
          <w:bCs/>
          <w:sz w:val="22"/>
          <w:szCs w:val="22"/>
        </w:rPr>
      </w:pPr>
    </w:p>
    <w:p w:rsidR="003E405A" w:rsidRPr="00F31B28" w:rsidRDefault="003E405A" w:rsidP="00CA0F84">
      <w:pPr>
        <w:spacing w:before="120" w:after="120"/>
        <w:jc w:val="both"/>
        <w:rPr>
          <w:rFonts w:ascii="Calibri" w:hAnsi="Calibri" w:cs="Tahoma"/>
          <w:b/>
          <w:bCs/>
          <w:sz w:val="22"/>
          <w:szCs w:val="22"/>
        </w:rPr>
      </w:pPr>
      <w:r w:rsidRPr="00F31B28">
        <w:rPr>
          <w:rFonts w:ascii="Calibri" w:hAnsi="Calibri" w:cs="Tahoma"/>
          <w:b/>
          <w:bCs/>
          <w:sz w:val="22"/>
          <w:szCs w:val="22"/>
        </w:rPr>
        <w:t>Συμμετοχή Επενδυτών στο Χρηματιστήριο Αθηνών</w:t>
      </w:r>
    </w:p>
    <w:p w:rsidR="00834C72" w:rsidRDefault="00834C72" w:rsidP="00834C72">
      <w:pPr>
        <w:spacing w:before="120" w:after="120"/>
        <w:jc w:val="both"/>
        <w:rPr>
          <w:rFonts w:ascii="Calibri" w:hAnsi="Calibri" w:cs="Tahoma"/>
          <w:bCs/>
          <w:sz w:val="22"/>
          <w:szCs w:val="22"/>
        </w:rPr>
      </w:pPr>
      <w:r w:rsidRPr="00255634">
        <w:rPr>
          <w:rFonts w:ascii="Calibri" w:hAnsi="Calibri" w:cs="Tahoma"/>
          <w:bCs/>
          <w:sz w:val="22"/>
          <w:szCs w:val="22"/>
        </w:rPr>
        <w:t xml:space="preserve">Η </w:t>
      </w:r>
      <w:r w:rsidRPr="00255634">
        <w:rPr>
          <w:rFonts w:ascii="Calibri" w:hAnsi="Calibri" w:cs="Tahoma"/>
          <w:b/>
          <w:bCs/>
          <w:sz w:val="22"/>
          <w:szCs w:val="22"/>
        </w:rPr>
        <w:t xml:space="preserve">συμμετοχή των ξένων επενδυτών </w:t>
      </w:r>
      <w:r w:rsidRPr="00255634">
        <w:rPr>
          <w:rFonts w:ascii="Calibri" w:hAnsi="Calibri" w:cs="Tahoma"/>
          <w:bCs/>
          <w:sz w:val="22"/>
          <w:szCs w:val="22"/>
        </w:rPr>
        <w:t xml:space="preserve">στην κεφαλαιοποίηση του Ελληνικού Χρηματιστηρίου στο τέλος του μήνα -συνυπολογίζοντας την συμμετοχή του ΤΧΣ- ανήλθε στο </w:t>
      </w:r>
      <w:r w:rsidR="006B750E">
        <w:rPr>
          <w:rFonts w:ascii="Calibri" w:hAnsi="Calibri" w:cs="Tahoma"/>
          <w:b/>
          <w:bCs/>
          <w:sz w:val="22"/>
          <w:szCs w:val="22"/>
        </w:rPr>
        <w:t>58</w:t>
      </w:r>
      <w:r w:rsidRPr="00255634">
        <w:rPr>
          <w:rFonts w:ascii="Calibri" w:hAnsi="Calibri" w:cs="Tahoma"/>
          <w:b/>
          <w:bCs/>
          <w:sz w:val="22"/>
          <w:szCs w:val="22"/>
        </w:rPr>
        <w:t>,</w:t>
      </w:r>
      <w:r w:rsidR="006B750E">
        <w:rPr>
          <w:rFonts w:ascii="Calibri" w:hAnsi="Calibri" w:cs="Tahoma"/>
          <w:b/>
          <w:bCs/>
          <w:sz w:val="22"/>
          <w:szCs w:val="22"/>
        </w:rPr>
        <w:t>7</w:t>
      </w:r>
      <w:r w:rsidRPr="00255634">
        <w:rPr>
          <w:rFonts w:ascii="Calibri" w:hAnsi="Calibri" w:cs="Tahoma"/>
          <w:b/>
          <w:bCs/>
          <w:sz w:val="22"/>
          <w:szCs w:val="22"/>
        </w:rPr>
        <w:t>%,</w:t>
      </w:r>
      <w:r w:rsidRPr="00255634">
        <w:rPr>
          <w:rFonts w:ascii="Calibri" w:hAnsi="Calibri" w:cs="Tahoma"/>
          <w:bCs/>
          <w:sz w:val="22"/>
          <w:szCs w:val="22"/>
        </w:rPr>
        <w:t xml:space="preserve"> παρουσιάζοντας </w:t>
      </w:r>
      <w:r>
        <w:rPr>
          <w:rFonts w:ascii="Calibri" w:hAnsi="Calibri" w:cs="Tahoma"/>
          <w:bCs/>
          <w:sz w:val="22"/>
          <w:szCs w:val="22"/>
        </w:rPr>
        <w:t>μείωση</w:t>
      </w:r>
      <w:r w:rsidRPr="00255634">
        <w:rPr>
          <w:rFonts w:ascii="Calibri" w:hAnsi="Calibri" w:cs="Tahoma"/>
          <w:bCs/>
          <w:sz w:val="22"/>
          <w:szCs w:val="22"/>
        </w:rPr>
        <w:t xml:space="preserve"> συγκριτικά με το ποσοστό που είχε διαμορφωθεί στο τέλος </w:t>
      </w:r>
      <w:r>
        <w:rPr>
          <w:rFonts w:ascii="Calibri" w:hAnsi="Calibri" w:cs="Tahoma"/>
          <w:bCs/>
          <w:sz w:val="22"/>
          <w:szCs w:val="22"/>
        </w:rPr>
        <w:t>Δεκεμβρίου 2015</w:t>
      </w:r>
      <w:r w:rsidRPr="00255634">
        <w:rPr>
          <w:rFonts w:ascii="Calibri" w:hAnsi="Calibri" w:cs="Tahoma"/>
          <w:bCs/>
          <w:sz w:val="22"/>
          <w:szCs w:val="22"/>
        </w:rPr>
        <w:t xml:space="preserve">, ενώ χωρίς την συμμετοχή του ΤΧΣ το ποσοστό αυτό διαμορφώθηκε στο </w:t>
      </w:r>
      <w:r>
        <w:rPr>
          <w:rFonts w:ascii="Calibri" w:hAnsi="Calibri" w:cs="Tahoma"/>
          <w:bCs/>
          <w:sz w:val="22"/>
          <w:szCs w:val="22"/>
        </w:rPr>
        <w:t>6</w:t>
      </w:r>
      <w:r w:rsidR="006B750E">
        <w:rPr>
          <w:rFonts w:ascii="Calibri" w:hAnsi="Calibri" w:cs="Tahoma"/>
          <w:bCs/>
          <w:sz w:val="22"/>
          <w:szCs w:val="22"/>
        </w:rPr>
        <w:t>1</w:t>
      </w:r>
      <w:r>
        <w:rPr>
          <w:rFonts w:ascii="Calibri" w:hAnsi="Calibri" w:cs="Tahoma"/>
          <w:bCs/>
          <w:sz w:val="22"/>
          <w:szCs w:val="22"/>
        </w:rPr>
        <w:t>,</w:t>
      </w:r>
      <w:r w:rsidR="006B750E">
        <w:rPr>
          <w:rFonts w:ascii="Calibri" w:hAnsi="Calibri" w:cs="Tahoma"/>
          <w:bCs/>
          <w:sz w:val="22"/>
          <w:szCs w:val="22"/>
        </w:rPr>
        <w:t>8</w:t>
      </w:r>
      <w:r w:rsidRPr="00255634">
        <w:rPr>
          <w:rFonts w:ascii="Calibri" w:hAnsi="Calibri" w:cs="Tahoma"/>
          <w:bCs/>
          <w:sz w:val="22"/>
          <w:szCs w:val="22"/>
        </w:rPr>
        <w:t xml:space="preserve">% έναντι </w:t>
      </w:r>
      <w:r w:rsidR="006B750E">
        <w:rPr>
          <w:rFonts w:ascii="Calibri" w:hAnsi="Calibri" w:cs="Tahoma"/>
          <w:bCs/>
          <w:sz w:val="22"/>
          <w:szCs w:val="22"/>
        </w:rPr>
        <w:t>64</w:t>
      </w:r>
      <w:r w:rsidRPr="00255634">
        <w:rPr>
          <w:rFonts w:ascii="Calibri" w:hAnsi="Calibri" w:cs="Tahoma"/>
          <w:bCs/>
          <w:sz w:val="22"/>
          <w:szCs w:val="22"/>
        </w:rPr>
        <w:t>,</w:t>
      </w:r>
      <w:r>
        <w:rPr>
          <w:rFonts w:ascii="Calibri" w:hAnsi="Calibri" w:cs="Tahoma"/>
          <w:bCs/>
          <w:sz w:val="22"/>
          <w:szCs w:val="22"/>
        </w:rPr>
        <w:t>2</w:t>
      </w:r>
      <w:r w:rsidRPr="00255634">
        <w:rPr>
          <w:rFonts w:ascii="Calibri" w:hAnsi="Calibri" w:cs="Tahoma"/>
          <w:bCs/>
          <w:sz w:val="22"/>
          <w:szCs w:val="22"/>
        </w:rPr>
        <w:t xml:space="preserve">%. Τον ίδιο μήνα του προηγούμενου έτους η συμμετοχή των ξένων επενδυτών ήταν </w:t>
      </w:r>
      <w:r>
        <w:rPr>
          <w:rFonts w:ascii="Calibri" w:hAnsi="Calibri" w:cs="Tahoma"/>
          <w:bCs/>
          <w:sz w:val="22"/>
          <w:szCs w:val="22"/>
        </w:rPr>
        <w:t>4</w:t>
      </w:r>
      <w:r w:rsidR="006B750E">
        <w:rPr>
          <w:rFonts w:ascii="Calibri" w:hAnsi="Calibri" w:cs="Tahoma"/>
          <w:bCs/>
          <w:sz w:val="22"/>
          <w:szCs w:val="22"/>
        </w:rPr>
        <w:t>9</w:t>
      </w:r>
      <w:r w:rsidRPr="00255634">
        <w:rPr>
          <w:rFonts w:ascii="Calibri" w:hAnsi="Calibri" w:cs="Tahoma"/>
          <w:bCs/>
          <w:sz w:val="22"/>
          <w:szCs w:val="22"/>
        </w:rPr>
        <w:t>,</w:t>
      </w:r>
      <w:r w:rsidR="006B750E">
        <w:rPr>
          <w:rFonts w:ascii="Calibri" w:hAnsi="Calibri" w:cs="Tahoma"/>
          <w:bCs/>
          <w:sz w:val="22"/>
          <w:szCs w:val="22"/>
        </w:rPr>
        <w:t>5</w:t>
      </w:r>
      <w:r w:rsidRPr="00255634">
        <w:rPr>
          <w:rFonts w:ascii="Calibri" w:hAnsi="Calibri" w:cs="Tahoma"/>
          <w:bCs/>
          <w:sz w:val="22"/>
          <w:szCs w:val="22"/>
        </w:rPr>
        <w:t xml:space="preserve">% συνυπολογίζοντας την συμμετοχή του ΤΧΣ και </w:t>
      </w:r>
      <w:r>
        <w:rPr>
          <w:rFonts w:ascii="Calibri" w:hAnsi="Calibri" w:cs="Tahoma"/>
          <w:bCs/>
          <w:sz w:val="22"/>
          <w:szCs w:val="22"/>
        </w:rPr>
        <w:t>61</w:t>
      </w:r>
      <w:r w:rsidRPr="00255634">
        <w:rPr>
          <w:rFonts w:ascii="Calibri" w:hAnsi="Calibri" w:cs="Tahoma"/>
          <w:bCs/>
          <w:sz w:val="22"/>
          <w:szCs w:val="22"/>
        </w:rPr>
        <w:t>,</w:t>
      </w:r>
      <w:r w:rsidR="006B750E">
        <w:rPr>
          <w:rFonts w:ascii="Calibri" w:hAnsi="Calibri" w:cs="Tahoma"/>
          <w:bCs/>
          <w:sz w:val="22"/>
          <w:szCs w:val="22"/>
        </w:rPr>
        <w:t>1</w:t>
      </w:r>
      <w:r w:rsidRPr="00255634">
        <w:rPr>
          <w:rFonts w:ascii="Calibri" w:hAnsi="Calibri" w:cs="Tahoma"/>
          <w:bCs/>
          <w:sz w:val="22"/>
          <w:szCs w:val="22"/>
        </w:rPr>
        <w:t xml:space="preserve">% χωρίς την συμμετοχή του ΤΧΣ. (βλ. γράφημα 4). </w:t>
      </w:r>
    </w:p>
    <w:p w:rsidR="006A0EE6" w:rsidRDefault="003E405A" w:rsidP="00CA0F84">
      <w:pPr>
        <w:spacing w:before="120" w:after="120"/>
        <w:jc w:val="both"/>
        <w:rPr>
          <w:rFonts w:ascii="Calibri" w:hAnsi="Calibri" w:cs="Tahoma"/>
          <w:bCs/>
          <w:sz w:val="22"/>
          <w:szCs w:val="22"/>
        </w:rPr>
      </w:pPr>
      <w:r w:rsidRPr="00F31B28">
        <w:rPr>
          <w:rFonts w:ascii="Calibri" w:hAnsi="Calibri" w:cs="Tahoma"/>
          <w:bCs/>
          <w:sz w:val="22"/>
          <w:szCs w:val="22"/>
        </w:rPr>
        <w:t xml:space="preserve">Οι </w:t>
      </w:r>
      <w:r w:rsidRPr="00F31B28">
        <w:rPr>
          <w:rFonts w:ascii="Calibri" w:hAnsi="Calibri" w:cs="Tahoma"/>
          <w:b/>
          <w:bCs/>
          <w:sz w:val="22"/>
          <w:szCs w:val="22"/>
        </w:rPr>
        <w:t>Έλληνες επενδυτές</w:t>
      </w:r>
      <w:r w:rsidRPr="00F31B28">
        <w:rPr>
          <w:rFonts w:ascii="Calibri" w:hAnsi="Calibri" w:cs="Tahoma"/>
          <w:bCs/>
          <w:sz w:val="22"/>
          <w:szCs w:val="22"/>
        </w:rPr>
        <w:t xml:space="preserve"> </w:t>
      </w:r>
      <w:r w:rsidR="003E0080">
        <w:rPr>
          <w:rFonts w:ascii="Calibri" w:hAnsi="Calibri" w:cs="Tahoma"/>
          <w:bCs/>
          <w:sz w:val="22"/>
          <w:szCs w:val="22"/>
        </w:rPr>
        <w:t>στο τέλος του μήνα</w:t>
      </w:r>
      <w:r w:rsidRPr="00F31B28">
        <w:rPr>
          <w:rFonts w:ascii="Calibri" w:hAnsi="Calibri" w:cs="Tahoma"/>
          <w:bCs/>
          <w:sz w:val="22"/>
          <w:szCs w:val="22"/>
        </w:rPr>
        <w:t xml:space="preserve"> κατείχαν το </w:t>
      </w:r>
      <w:r w:rsidR="006B750E">
        <w:rPr>
          <w:rFonts w:ascii="Calibri" w:hAnsi="Calibri" w:cs="Tahoma"/>
          <w:bCs/>
          <w:sz w:val="22"/>
          <w:szCs w:val="22"/>
        </w:rPr>
        <w:t xml:space="preserve">39,9% </w:t>
      </w:r>
      <w:r>
        <w:rPr>
          <w:rFonts w:ascii="Calibri" w:hAnsi="Calibri" w:cs="Tahoma"/>
          <w:bCs/>
          <w:sz w:val="22"/>
          <w:szCs w:val="22"/>
        </w:rPr>
        <w:t>του συνόλου της κεφαλαιοποίησης των μετοχών στο Χ.Α.</w:t>
      </w:r>
    </w:p>
    <w:p w:rsidR="001877F5" w:rsidRPr="001877F5" w:rsidRDefault="001877F5" w:rsidP="006A0EE6">
      <w:pPr>
        <w:pStyle w:val="Caption"/>
        <w:jc w:val="center"/>
        <w:rPr>
          <w:b/>
          <w:i w:val="0"/>
          <w:sz w:val="18"/>
          <w:szCs w:val="18"/>
        </w:rPr>
      </w:pPr>
    </w:p>
    <w:p w:rsidR="001877F5" w:rsidRPr="001877F5" w:rsidRDefault="001877F5" w:rsidP="006A0EE6">
      <w:pPr>
        <w:pStyle w:val="Caption"/>
        <w:jc w:val="center"/>
        <w:rPr>
          <w:b/>
          <w:i w:val="0"/>
          <w:sz w:val="18"/>
          <w:szCs w:val="18"/>
        </w:rPr>
      </w:pPr>
    </w:p>
    <w:p w:rsidR="001877F5" w:rsidRPr="001877F5" w:rsidRDefault="001877F5" w:rsidP="006A0EE6">
      <w:pPr>
        <w:pStyle w:val="Caption"/>
        <w:jc w:val="center"/>
        <w:rPr>
          <w:b/>
          <w:i w:val="0"/>
          <w:sz w:val="18"/>
          <w:szCs w:val="18"/>
        </w:rPr>
      </w:pPr>
    </w:p>
    <w:p w:rsidR="001877F5" w:rsidRPr="001877F5" w:rsidRDefault="00BE288B" w:rsidP="006A0EE6">
      <w:pPr>
        <w:pStyle w:val="Caption"/>
        <w:jc w:val="center"/>
        <w:rPr>
          <w:b/>
          <w:i w:val="0"/>
          <w:sz w:val="18"/>
          <w:szCs w:val="18"/>
        </w:rPr>
      </w:pPr>
      <w:r>
        <w:rPr>
          <w:b/>
          <w:i w:val="0"/>
          <w:noProof/>
          <w:sz w:val="18"/>
          <w:szCs w:val="18"/>
          <w:lang w:eastAsia="el-GR"/>
        </w:rPr>
        <w:drawing>
          <wp:inline distT="0" distB="0" distL="0" distR="0">
            <wp:extent cx="6012180" cy="2324100"/>
            <wp:effectExtent l="0" t="0" r="762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18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EE6" w:rsidRPr="006A0EE6" w:rsidRDefault="006A0EE6" w:rsidP="006A0EE6">
      <w:pPr>
        <w:pStyle w:val="Caption"/>
        <w:jc w:val="center"/>
        <w:rPr>
          <w:b/>
          <w:i w:val="0"/>
          <w:sz w:val="18"/>
          <w:szCs w:val="18"/>
        </w:rPr>
      </w:pPr>
      <w:r w:rsidRPr="006A0EE6">
        <w:rPr>
          <w:b/>
          <w:i w:val="0"/>
          <w:sz w:val="18"/>
          <w:szCs w:val="18"/>
        </w:rPr>
        <w:t xml:space="preserve">Γράφημα </w:t>
      </w:r>
      <w:r w:rsidRPr="006A0EE6">
        <w:rPr>
          <w:b/>
          <w:i w:val="0"/>
          <w:sz w:val="18"/>
          <w:szCs w:val="18"/>
        </w:rPr>
        <w:fldChar w:fldCharType="begin"/>
      </w:r>
      <w:r w:rsidRPr="006A0EE6">
        <w:rPr>
          <w:b/>
          <w:i w:val="0"/>
          <w:sz w:val="18"/>
          <w:szCs w:val="18"/>
        </w:rPr>
        <w:instrText xml:space="preserve"> SEQ Γράφημα \* ARABIC </w:instrText>
      </w:r>
      <w:r w:rsidRPr="006A0EE6">
        <w:rPr>
          <w:b/>
          <w:i w:val="0"/>
          <w:sz w:val="18"/>
          <w:szCs w:val="18"/>
        </w:rPr>
        <w:fldChar w:fldCharType="separate"/>
      </w:r>
      <w:r w:rsidR="000A358B">
        <w:rPr>
          <w:b/>
          <w:i w:val="0"/>
          <w:noProof/>
          <w:sz w:val="18"/>
          <w:szCs w:val="18"/>
        </w:rPr>
        <w:t>4</w:t>
      </w:r>
      <w:r w:rsidRPr="006A0EE6">
        <w:rPr>
          <w:b/>
          <w:i w:val="0"/>
          <w:sz w:val="18"/>
          <w:szCs w:val="18"/>
        </w:rPr>
        <w:fldChar w:fldCharType="end"/>
      </w:r>
    </w:p>
    <w:p w:rsidR="00AA11DB" w:rsidRPr="001877F5" w:rsidRDefault="00F04A1A" w:rsidP="003E405A">
      <w:pPr>
        <w:spacing w:before="120"/>
        <w:jc w:val="both"/>
        <w:rPr>
          <w:rFonts w:ascii="Calibri" w:hAnsi="Calibri" w:cs="Tahoma"/>
          <w:bCs/>
          <w:sz w:val="16"/>
          <w:szCs w:val="16"/>
        </w:rPr>
      </w:pPr>
      <w:r w:rsidRPr="00F04A1A">
        <w:rPr>
          <w:rFonts w:ascii="Calibri" w:hAnsi="Calibri" w:cs="Tahoma"/>
          <w:b/>
          <w:bCs/>
          <w:sz w:val="16"/>
          <w:szCs w:val="16"/>
          <w:u w:val="single"/>
        </w:rPr>
        <w:t>Σημείωση</w:t>
      </w:r>
      <w:r w:rsidRPr="00F04A1A">
        <w:rPr>
          <w:rFonts w:ascii="Calibri" w:hAnsi="Calibri" w:cs="Tahoma"/>
          <w:bCs/>
          <w:sz w:val="16"/>
          <w:szCs w:val="16"/>
        </w:rPr>
        <w:t xml:space="preserve">: </w:t>
      </w:r>
      <w:r>
        <w:rPr>
          <w:rFonts w:ascii="Calibri" w:hAnsi="Calibri" w:cs="Tahoma"/>
          <w:bCs/>
          <w:sz w:val="16"/>
          <w:szCs w:val="16"/>
        </w:rPr>
        <w:t>Στο πιο πάνω γράφημα τ</w:t>
      </w:r>
      <w:r w:rsidR="006A0EE6" w:rsidRPr="00F04A1A">
        <w:rPr>
          <w:rFonts w:ascii="Calibri" w:hAnsi="Calibri" w:cs="Tahoma"/>
          <w:bCs/>
          <w:sz w:val="16"/>
          <w:szCs w:val="16"/>
        </w:rPr>
        <w:t>α ποσοστά που υπολείπονται για το 100% της συμμετοχής ανήκουν σε Λοιπούς – αταξινόμητους επενδυτές και είναι κάτω του 2%.</w:t>
      </w:r>
    </w:p>
    <w:p w:rsidR="001877F5" w:rsidRPr="001877F5" w:rsidRDefault="001877F5" w:rsidP="003E405A">
      <w:pPr>
        <w:spacing w:before="120"/>
        <w:jc w:val="both"/>
        <w:rPr>
          <w:rFonts w:ascii="Calibri" w:hAnsi="Calibri" w:cs="Tahoma"/>
          <w:bCs/>
          <w:sz w:val="22"/>
          <w:szCs w:val="22"/>
        </w:rPr>
      </w:pPr>
    </w:p>
    <w:p w:rsidR="001877F5" w:rsidRPr="00F811C0" w:rsidRDefault="001877F5" w:rsidP="003E405A">
      <w:pPr>
        <w:spacing w:before="120"/>
        <w:jc w:val="both"/>
      </w:pPr>
    </w:p>
    <w:p w:rsidR="001877F5" w:rsidRPr="00F811C0" w:rsidRDefault="001877F5" w:rsidP="003E405A">
      <w:pPr>
        <w:spacing w:before="120"/>
        <w:jc w:val="both"/>
      </w:pPr>
    </w:p>
    <w:p w:rsidR="001877F5" w:rsidRPr="00F811C0" w:rsidRDefault="001877F5" w:rsidP="003E405A">
      <w:pPr>
        <w:spacing w:before="120"/>
        <w:jc w:val="both"/>
        <w:rPr>
          <w:rFonts w:ascii="Calibri" w:hAnsi="Calibri" w:cs="Tahoma"/>
          <w:bCs/>
          <w:sz w:val="22"/>
          <w:szCs w:val="22"/>
        </w:rPr>
      </w:pPr>
    </w:p>
    <w:sectPr w:rsidR="001877F5" w:rsidRPr="00F811C0" w:rsidSect="00F35C29">
      <w:headerReference w:type="default" r:id="rId12"/>
      <w:headerReference w:type="first" r:id="rId13"/>
      <w:pgSz w:w="11906" w:h="16838" w:code="9"/>
      <w:pgMar w:top="1843" w:right="127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C4A" w:rsidRDefault="006A0C4A">
      <w:r>
        <w:separator/>
      </w:r>
    </w:p>
  </w:endnote>
  <w:endnote w:type="continuationSeparator" w:id="0">
    <w:p w:rsidR="006A0C4A" w:rsidRDefault="006A0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C4A" w:rsidRDefault="006A0C4A">
      <w:r>
        <w:separator/>
      </w:r>
    </w:p>
  </w:footnote>
  <w:footnote w:type="continuationSeparator" w:id="0">
    <w:p w:rsidR="006A0C4A" w:rsidRDefault="006A0C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FBC" w:rsidRDefault="00BE288B" w:rsidP="001877F5">
    <w:pPr>
      <w:pStyle w:val="Header"/>
      <w:jc w:val="center"/>
      <w:rPr>
        <w:lang w:val="en-GB"/>
      </w:rPr>
    </w:pPr>
    <w:r>
      <w:rPr>
        <w:rFonts w:ascii="Verdana" w:hAnsi="Verdana"/>
        <w:b/>
        <w:noProof/>
        <w:color w:val="333399"/>
        <w:sz w:val="48"/>
        <w:szCs w:val="48"/>
      </w:rPr>
      <w:drawing>
        <wp:inline distT="0" distB="0" distL="0" distR="0">
          <wp:extent cx="1472565" cy="1043940"/>
          <wp:effectExtent l="0" t="0" r="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2565" cy="1043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17FBC" w:rsidRDefault="00217FBC">
    <w:pPr>
      <w:pStyle w:val="Header"/>
      <w:rPr>
        <w:lang w:val="en-GB"/>
      </w:rPr>
    </w:pPr>
  </w:p>
  <w:p w:rsidR="00217FBC" w:rsidRDefault="00217FBC">
    <w:pPr>
      <w:pStyle w:val="Header"/>
      <w:rPr>
        <w:rFonts w:ascii="Calibri" w:hAnsi="Calibri"/>
        <w:b/>
        <w:i/>
        <w:color w:val="000080"/>
        <w:sz w:val="28"/>
        <w:szCs w:val="28"/>
      </w:rPr>
    </w:pPr>
    <w:r w:rsidRPr="00217FBC">
      <w:rPr>
        <w:rFonts w:ascii="Calibri" w:hAnsi="Calibri"/>
        <w:b/>
        <w:i/>
        <w:color w:val="000080"/>
        <w:sz w:val="28"/>
        <w:szCs w:val="28"/>
      </w:rPr>
      <w:t>Ανακοίνωση (συνέχεια)</w:t>
    </w:r>
  </w:p>
  <w:p w:rsidR="00217FBC" w:rsidRPr="00217FBC" w:rsidRDefault="00217FBC">
    <w:pPr>
      <w:pStyle w:val="Header"/>
      <w:rPr>
        <w:rFonts w:ascii="Calibri" w:hAnsi="Calibri"/>
        <w:b/>
        <w:i/>
        <w:color w:val="000080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4A2" w:rsidRDefault="00F144A2" w:rsidP="00CC706E">
    <w:pPr>
      <w:pStyle w:val="Header"/>
    </w:pPr>
  </w:p>
  <w:p w:rsidR="006275D1" w:rsidRDefault="00BE288B" w:rsidP="006275D1">
    <w:pPr>
      <w:pStyle w:val="Header"/>
      <w:spacing w:before="720" w:after="120"/>
      <w:jc w:val="center"/>
      <w:rPr>
        <w:rFonts w:ascii="Verdana" w:hAnsi="Verdana"/>
        <w:b/>
        <w:color w:val="333399"/>
        <w:sz w:val="48"/>
        <w:szCs w:val="48"/>
        <w:lang w:val="en-US"/>
      </w:rPr>
    </w:pPr>
    <w:r>
      <w:rPr>
        <w:rFonts w:ascii="Verdana" w:hAnsi="Verdana"/>
        <w:b/>
        <w:noProof/>
        <w:color w:val="333399"/>
        <w:sz w:val="48"/>
        <w:szCs w:val="48"/>
      </w:rPr>
      <w:drawing>
        <wp:inline distT="0" distB="0" distL="0" distR="0">
          <wp:extent cx="1472565" cy="104394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2565" cy="1043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144A2" w:rsidRPr="00651802" w:rsidRDefault="00651802" w:rsidP="00F144A2">
    <w:pPr>
      <w:pStyle w:val="Header"/>
      <w:spacing w:before="720" w:after="120"/>
      <w:rPr>
        <w:rFonts w:ascii="Verdana" w:hAnsi="Verdana"/>
        <w:sz w:val="48"/>
        <w:szCs w:val="48"/>
        <w:lang w:val="en-US"/>
      </w:rPr>
    </w:pPr>
    <w:r w:rsidRPr="00651802">
      <w:rPr>
        <w:rFonts w:ascii="Verdana" w:hAnsi="Verdana"/>
        <w:b/>
        <w:color w:val="333399"/>
        <w:sz w:val="48"/>
        <w:szCs w:val="48"/>
      </w:rPr>
      <w:t>Ανακοίνωση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7.6pt;height:86.4pt" o:bullet="t">
        <v:imagedata r:id="rId1" o:title="Helex Top"/>
      </v:shape>
    </w:pict>
  </w:numPicBullet>
  <w:abstractNum w:abstractNumId="0">
    <w:nsid w:val="3D1F004A"/>
    <w:multiLevelType w:val="hybridMultilevel"/>
    <w:tmpl w:val="8926EDB4"/>
    <w:lvl w:ilvl="0" w:tplc="40427E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680087"/>
    <w:multiLevelType w:val="hybridMultilevel"/>
    <w:tmpl w:val="AD74BFDC"/>
    <w:lvl w:ilvl="0" w:tplc="4E2ECA2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68277616"/>
    <w:multiLevelType w:val="hybridMultilevel"/>
    <w:tmpl w:val="FC920F8A"/>
    <w:lvl w:ilvl="0" w:tplc="40427E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5221E0"/>
    <w:multiLevelType w:val="hybridMultilevel"/>
    <w:tmpl w:val="8C30AB8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FE6"/>
    <w:rsid w:val="000005EF"/>
    <w:rsid w:val="00000A03"/>
    <w:rsid w:val="00002D7F"/>
    <w:rsid w:val="00003B40"/>
    <w:rsid w:val="00014941"/>
    <w:rsid w:val="00015651"/>
    <w:rsid w:val="00015E31"/>
    <w:rsid w:val="00015FE0"/>
    <w:rsid w:val="00016069"/>
    <w:rsid w:val="00021D70"/>
    <w:rsid w:val="00024C61"/>
    <w:rsid w:val="00025385"/>
    <w:rsid w:val="000266F6"/>
    <w:rsid w:val="000375EF"/>
    <w:rsid w:val="000401F9"/>
    <w:rsid w:val="00040FE4"/>
    <w:rsid w:val="00043143"/>
    <w:rsid w:val="00043F7A"/>
    <w:rsid w:val="00047614"/>
    <w:rsid w:val="0005114D"/>
    <w:rsid w:val="000511BB"/>
    <w:rsid w:val="00051A34"/>
    <w:rsid w:val="00051CEC"/>
    <w:rsid w:val="000530F9"/>
    <w:rsid w:val="00053D75"/>
    <w:rsid w:val="00054246"/>
    <w:rsid w:val="00054423"/>
    <w:rsid w:val="00057A45"/>
    <w:rsid w:val="00060ABE"/>
    <w:rsid w:val="000647C1"/>
    <w:rsid w:val="00065BED"/>
    <w:rsid w:val="00066E8A"/>
    <w:rsid w:val="00067658"/>
    <w:rsid w:val="0006790F"/>
    <w:rsid w:val="000711AE"/>
    <w:rsid w:val="00071B33"/>
    <w:rsid w:val="0007654C"/>
    <w:rsid w:val="00077B1B"/>
    <w:rsid w:val="00080BC9"/>
    <w:rsid w:val="00083C5F"/>
    <w:rsid w:val="00084DD7"/>
    <w:rsid w:val="00085390"/>
    <w:rsid w:val="00086949"/>
    <w:rsid w:val="000872FA"/>
    <w:rsid w:val="00090AA7"/>
    <w:rsid w:val="0009155E"/>
    <w:rsid w:val="000916D1"/>
    <w:rsid w:val="00093A7E"/>
    <w:rsid w:val="0009471A"/>
    <w:rsid w:val="00096049"/>
    <w:rsid w:val="000A0F78"/>
    <w:rsid w:val="000A1841"/>
    <w:rsid w:val="000A2721"/>
    <w:rsid w:val="000A358B"/>
    <w:rsid w:val="000A5977"/>
    <w:rsid w:val="000A5D46"/>
    <w:rsid w:val="000A6FA7"/>
    <w:rsid w:val="000A7E13"/>
    <w:rsid w:val="000B09BB"/>
    <w:rsid w:val="000B1932"/>
    <w:rsid w:val="000B2359"/>
    <w:rsid w:val="000B2946"/>
    <w:rsid w:val="000B53E7"/>
    <w:rsid w:val="000C0153"/>
    <w:rsid w:val="000C0C4C"/>
    <w:rsid w:val="000C0D01"/>
    <w:rsid w:val="000C2CD5"/>
    <w:rsid w:val="000C3A33"/>
    <w:rsid w:val="000C41AD"/>
    <w:rsid w:val="000C59B9"/>
    <w:rsid w:val="000C6F80"/>
    <w:rsid w:val="000C7539"/>
    <w:rsid w:val="000D0B36"/>
    <w:rsid w:val="000D0D22"/>
    <w:rsid w:val="000D1126"/>
    <w:rsid w:val="000D29EB"/>
    <w:rsid w:val="000D2B5D"/>
    <w:rsid w:val="000D5F35"/>
    <w:rsid w:val="000D6C1E"/>
    <w:rsid w:val="000E068E"/>
    <w:rsid w:val="000E18CF"/>
    <w:rsid w:val="000E228A"/>
    <w:rsid w:val="000E2EB2"/>
    <w:rsid w:val="000E42D2"/>
    <w:rsid w:val="000E6785"/>
    <w:rsid w:val="000E7E27"/>
    <w:rsid w:val="000F1A20"/>
    <w:rsid w:val="000F37AD"/>
    <w:rsid w:val="000F4052"/>
    <w:rsid w:val="000F451D"/>
    <w:rsid w:val="000F4D4A"/>
    <w:rsid w:val="000F5953"/>
    <w:rsid w:val="000F66AA"/>
    <w:rsid w:val="00100059"/>
    <w:rsid w:val="0010020E"/>
    <w:rsid w:val="00100593"/>
    <w:rsid w:val="00100D9E"/>
    <w:rsid w:val="00103374"/>
    <w:rsid w:val="00103930"/>
    <w:rsid w:val="00105959"/>
    <w:rsid w:val="00106FE6"/>
    <w:rsid w:val="001079F8"/>
    <w:rsid w:val="00110190"/>
    <w:rsid w:val="001106FC"/>
    <w:rsid w:val="001133E5"/>
    <w:rsid w:val="00113811"/>
    <w:rsid w:val="00113995"/>
    <w:rsid w:val="001144CA"/>
    <w:rsid w:val="00114E8D"/>
    <w:rsid w:val="00116031"/>
    <w:rsid w:val="00116C88"/>
    <w:rsid w:val="00120AF6"/>
    <w:rsid w:val="001215FD"/>
    <w:rsid w:val="001257C2"/>
    <w:rsid w:val="00125C0C"/>
    <w:rsid w:val="001313E2"/>
    <w:rsid w:val="001315E6"/>
    <w:rsid w:val="0013242E"/>
    <w:rsid w:val="00132E80"/>
    <w:rsid w:val="001356CA"/>
    <w:rsid w:val="001407BA"/>
    <w:rsid w:val="00140A05"/>
    <w:rsid w:val="00142500"/>
    <w:rsid w:val="00143196"/>
    <w:rsid w:val="00144E50"/>
    <w:rsid w:val="001465AB"/>
    <w:rsid w:val="001469EE"/>
    <w:rsid w:val="00150A46"/>
    <w:rsid w:val="00150ED9"/>
    <w:rsid w:val="00151315"/>
    <w:rsid w:val="001533A6"/>
    <w:rsid w:val="001545AD"/>
    <w:rsid w:val="00154D37"/>
    <w:rsid w:val="00154EA5"/>
    <w:rsid w:val="00154FC4"/>
    <w:rsid w:val="00160428"/>
    <w:rsid w:val="00160DEB"/>
    <w:rsid w:val="00162D62"/>
    <w:rsid w:val="00166733"/>
    <w:rsid w:val="0017000A"/>
    <w:rsid w:val="00170724"/>
    <w:rsid w:val="001716BD"/>
    <w:rsid w:val="00173EE1"/>
    <w:rsid w:val="0017428A"/>
    <w:rsid w:val="00174D82"/>
    <w:rsid w:val="00175BA9"/>
    <w:rsid w:val="00176687"/>
    <w:rsid w:val="00181A7A"/>
    <w:rsid w:val="0018214E"/>
    <w:rsid w:val="00182F64"/>
    <w:rsid w:val="00183EC2"/>
    <w:rsid w:val="00184005"/>
    <w:rsid w:val="001841BD"/>
    <w:rsid w:val="001847A0"/>
    <w:rsid w:val="00186509"/>
    <w:rsid w:val="001877F5"/>
    <w:rsid w:val="00190765"/>
    <w:rsid w:val="001928D8"/>
    <w:rsid w:val="00192F64"/>
    <w:rsid w:val="001934F7"/>
    <w:rsid w:val="00193502"/>
    <w:rsid w:val="0019364A"/>
    <w:rsid w:val="0019569E"/>
    <w:rsid w:val="0019653F"/>
    <w:rsid w:val="001971D5"/>
    <w:rsid w:val="001A7023"/>
    <w:rsid w:val="001A73C8"/>
    <w:rsid w:val="001A73CE"/>
    <w:rsid w:val="001B2961"/>
    <w:rsid w:val="001B32AA"/>
    <w:rsid w:val="001B369D"/>
    <w:rsid w:val="001C0B32"/>
    <w:rsid w:val="001C2628"/>
    <w:rsid w:val="001C6689"/>
    <w:rsid w:val="001C7849"/>
    <w:rsid w:val="001D50D5"/>
    <w:rsid w:val="001D5760"/>
    <w:rsid w:val="001D6097"/>
    <w:rsid w:val="001E1530"/>
    <w:rsid w:val="001E1B0D"/>
    <w:rsid w:val="001E1DC2"/>
    <w:rsid w:val="001E335A"/>
    <w:rsid w:val="001E3DE6"/>
    <w:rsid w:val="001E42BE"/>
    <w:rsid w:val="001E44DF"/>
    <w:rsid w:val="001E4D16"/>
    <w:rsid w:val="001E6985"/>
    <w:rsid w:val="001E7816"/>
    <w:rsid w:val="001E7CFB"/>
    <w:rsid w:val="001F036D"/>
    <w:rsid w:val="001F1286"/>
    <w:rsid w:val="001F1F5E"/>
    <w:rsid w:val="001F26B5"/>
    <w:rsid w:val="001F434A"/>
    <w:rsid w:val="001F4F01"/>
    <w:rsid w:val="001F6541"/>
    <w:rsid w:val="001F6D6A"/>
    <w:rsid w:val="001F79C0"/>
    <w:rsid w:val="00200E6A"/>
    <w:rsid w:val="00202379"/>
    <w:rsid w:val="0020339F"/>
    <w:rsid w:val="002034D8"/>
    <w:rsid w:val="00205139"/>
    <w:rsid w:val="00206CFC"/>
    <w:rsid w:val="00212E10"/>
    <w:rsid w:val="00213554"/>
    <w:rsid w:val="00217FBC"/>
    <w:rsid w:val="00220EB2"/>
    <w:rsid w:val="002214FC"/>
    <w:rsid w:val="0022231E"/>
    <w:rsid w:val="00222992"/>
    <w:rsid w:val="00227CE6"/>
    <w:rsid w:val="00233B59"/>
    <w:rsid w:val="00233E4C"/>
    <w:rsid w:val="00235317"/>
    <w:rsid w:val="00236772"/>
    <w:rsid w:val="00237469"/>
    <w:rsid w:val="00237521"/>
    <w:rsid w:val="0023767D"/>
    <w:rsid w:val="00240152"/>
    <w:rsid w:val="00240443"/>
    <w:rsid w:val="00241882"/>
    <w:rsid w:val="002434E2"/>
    <w:rsid w:val="00244035"/>
    <w:rsid w:val="002445EC"/>
    <w:rsid w:val="00244ADE"/>
    <w:rsid w:val="00246CE1"/>
    <w:rsid w:val="0025027F"/>
    <w:rsid w:val="002507F7"/>
    <w:rsid w:val="0025105E"/>
    <w:rsid w:val="00252F31"/>
    <w:rsid w:val="00253A70"/>
    <w:rsid w:val="00254CCE"/>
    <w:rsid w:val="002558E8"/>
    <w:rsid w:val="00256D87"/>
    <w:rsid w:val="00262908"/>
    <w:rsid w:val="0026411B"/>
    <w:rsid w:val="00264CAF"/>
    <w:rsid w:val="0026515E"/>
    <w:rsid w:val="0026531B"/>
    <w:rsid w:val="0026582E"/>
    <w:rsid w:val="00266833"/>
    <w:rsid w:val="00274131"/>
    <w:rsid w:val="00274315"/>
    <w:rsid w:val="002745A1"/>
    <w:rsid w:val="00280098"/>
    <w:rsid w:val="00281CA7"/>
    <w:rsid w:val="002820C3"/>
    <w:rsid w:val="00283792"/>
    <w:rsid w:val="00283B2A"/>
    <w:rsid w:val="00284B71"/>
    <w:rsid w:val="002874C3"/>
    <w:rsid w:val="0029004C"/>
    <w:rsid w:val="00290AE2"/>
    <w:rsid w:val="00290D43"/>
    <w:rsid w:val="0029363B"/>
    <w:rsid w:val="00296EEE"/>
    <w:rsid w:val="002A429B"/>
    <w:rsid w:val="002A7B11"/>
    <w:rsid w:val="002B12DD"/>
    <w:rsid w:val="002B2D09"/>
    <w:rsid w:val="002B371F"/>
    <w:rsid w:val="002B4AAE"/>
    <w:rsid w:val="002B4AEA"/>
    <w:rsid w:val="002B55AB"/>
    <w:rsid w:val="002B602C"/>
    <w:rsid w:val="002B6549"/>
    <w:rsid w:val="002B67B8"/>
    <w:rsid w:val="002C00F6"/>
    <w:rsid w:val="002C094B"/>
    <w:rsid w:val="002C194C"/>
    <w:rsid w:val="002C20A3"/>
    <w:rsid w:val="002C2ADB"/>
    <w:rsid w:val="002C530E"/>
    <w:rsid w:val="002C5741"/>
    <w:rsid w:val="002C7A78"/>
    <w:rsid w:val="002C7C3B"/>
    <w:rsid w:val="002D17C6"/>
    <w:rsid w:val="002D2B5C"/>
    <w:rsid w:val="002D3C5A"/>
    <w:rsid w:val="002D5128"/>
    <w:rsid w:val="002D6233"/>
    <w:rsid w:val="002D7826"/>
    <w:rsid w:val="002E0958"/>
    <w:rsid w:val="002E18C0"/>
    <w:rsid w:val="002E3FA7"/>
    <w:rsid w:val="002E48DA"/>
    <w:rsid w:val="002E491E"/>
    <w:rsid w:val="002E5226"/>
    <w:rsid w:val="002E5440"/>
    <w:rsid w:val="002E57E5"/>
    <w:rsid w:val="002E7DE7"/>
    <w:rsid w:val="002E7E7C"/>
    <w:rsid w:val="002F0349"/>
    <w:rsid w:val="002F27B7"/>
    <w:rsid w:val="00302124"/>
    <w:rsid w:val="00302650"/>
    <w:rsid w:val="0030270E"/>
    <w:rsid w:val="003035E5"/>
    <w:rsid w:val="00306864"/>
    <w:rsid w:val="003078C3"/>
    <w:rsid w:val="00307EE7"/>
    <w:rsid w:val="003108BB"/>
    <w:rsid w:val="00310B09"/>
    <w:rsid w:val="00312F95"/>
    <w:rsid w:val="00313448"/>
    <w:rsid w:val="003212E1"/>
    <w:rsid w:val="003217A6"/>
    <w:rsid w:val="00321884"/>
    <w:rsid w:val="00322984"/>
    <w:rsid w:val="00322EF2"/>
    <w:rsid w:val="0032629D"/>
    <w:rsid w:val="00330EE2"/>
    <w:rsid w:val="003311CA"/>
    <w:rsid w:val="00333EF1"/>
    <w:rsid w:val="00334C76"/>
    <w:rsid w:val="003356CE"/>
    <w:rsid w:val="00335743"/>
    <w:rsid w:val="00336E90"/>
    <w:rsid w:val="00337316"/>
    <w:rsid w:val="003403B1"/>
    <w:rsid w:val="00341151"/>
    <w:rsid w:val="003428B4"/>
    <w:rsid w:val="003438B5"/>
    <w:rsid w:val="00343C7E"/>
    <w:rsid w:val="00343DEA"/>
    <w:rsid w:val="00344588"/>
    <w:rsid w:val="00344BC3"/>
    <w:rsid w:val="003455FA"/>
    <w:rsid w:val="00347863"/>
    <w:rsid w:val="003508B8"/>
    <w:rsid w:val="00351046"/>
    <w:rsid w:val="00353317"/>
    <w:rsid w:val="0035368D"/>
    <w:rsid w:val="00353FC3"/>
    <w:rsid w:val="00354577"/>
    <w:rsid w:val="00354E79"/>
    <w:rsid w:val="0035636C"/>
    <w:rsid w:val="00356D0D"/>
    <w:rsid w:val="00365A96"/>
    <w:rsid w:val="0036661B"/>
    <w:rsid w:val="0036785E"/>
    <w:rsid w:val="00370F1B"/>
    <w:rsid w:val="003713B8"/>
    <w:rsid w:val="003713DE"/>
    <w:rsid w:val="00371A07"/>
    <w:rsid w:val="00371D1F"/>
    <w:rsid w:val="0037539D"/>
    <w:rsid w:val="00375B24"/>
    <w:rsid w:val="00383708"/>
    <w:rsid w:val="00383DE9"/>
    <w:rsid w:val="003856EA"/>
    <w:rsid w:val="00385C52"/>
    <w:rsid w:val="00386490"/>
    <w:rsid w:val="003879E4"/>
    <w:rsid w:val="00387F5E"/>
    <w:rsid w:val="003903CC"/>
    <w:rsid w:val="00390BC8"/>
    <w:rsid w:val="0039494D"/>
    <w:rsid w:val="00396761"/>
    <w:rsid w:val="00396AAA"/>
    <w:rsid w:val="00397A5E"/>
    <w:rsid w:val="003A1A7C"/>
    <w:rsid w:val="003A1FEB"/>
    <w:rsid w:val="003A442F"/>
    <w:rsid w:val="003A567A"/>
    <w:rsid w:val="003A60E6"/>
    <w:rsid w:val="003A7BA8"/>
    <w:rsid w:val="003B0BFE"/>
    <w:rsid w:val="003B24BB"/>
    <w:rsid w:val="003B40E6"/>
    <w:rsid w:val="003B4EAD"/>
    <w:rsid w:val="003B6D3B"/>
    <w:rsid w:val="003C15C7"/>
    <w:rsid w:val="003C55B8"/>
    <w:rsid w:val="003C5624"/>
    <w:rsid w:val="003C60EA"/>
    <w:rsid w:val="003C7789"/>
    <w:rsid w:val="003C7B6D"/>
    <w:rsid w:val="003D0F7A"/>
    <w:rsid w:val="003D193B"/>
    <w:rsid w:val="003D3AF0"/>
    <w:rsid w:val="003D3D82"/>
    <w:rsid w:val="003D51E6"/>
    <w:rsid w:val="003D5CAA"/>
    <w:rsid w:val="003E0080"/>
    <w:rsid w:val="003E0E35"/>
    <w:rsid w:val="003E2385"/>
    <w:rsid w:val="003E361C"/>
    <w:rsid w:val="003E405A"/>
    <w:rsid w:val="003E4220"/>
    <w:rsid w:val="003E4AA0"/>
    <w:rsid w:val="003E4CA0"/>
    <w:rsid w:val="003E4FAA"/>
    <w:rsid w:val="003E51B8"/>
    <w:rsid w:val="003E7D12"/>
    <w:rsid w:val="003F129D"/>
    <w:rsid w:val="003F25AA"/>
    <w:rsid w:val="003F3037"/>
    <w:rsid w:val="003F3841"/>
    <w:rsid w:val="003F43B5"/>
    <w:rsid w:val="003F43FD"/>
    <w:rsid w:val="003F4791"/>
    <w:rsid w:val="003F5BE0"/>
    <w:rsid w:val="003F5CE3"/>
    <w:rsid w:val="00400069"/>
    <w:rsid w:val="004005D3"/>
    <w:rsid w:val="0040108B"/>
    <w:rsid w:val="004022CA"/>
    <w:rsid w:val="00403005"/>
    <w:rsid w:val="004031AE"/>
    <w:rsid w:val="00403888"/>
    <w:rsid w:val="004039FA"/>
    <w:rsid w:val="00403E87"/>
    <w:rsid w:val="0040448D"/>
    <w:rsid w:val="0040585E"/>
    <w:rsid w:val="00405EFC"/>
    <w:rsid w:val="00410B73"/>
    <w:rsid w:val="004117F2"/>
    <w:rsid w:val="00411EA3"/>
    <w:rsid w:val="00412F6E"/>
    <w:rsid w:val="00413359"/>
    <w:rsid w:val="0041469B"/>
    <w:rsid w:val="00415B33"/>
    <w:rsid w:val="00416C54"/>
    <w:rsid w:val="004175B7"/>
    <w:rsid w:val="0041799B"/>
    <w:rsid w:val="00420250"/>
    <w:rsid w:val="004215F7"/>
    <w:rsid w:val="00423B36"/>
    <w:rsid w:val="00424536"/>
    <w:rsid w:val="00426E53"/>
    <w:rsid w:val="0042758B"/>
    <w:rsid w:val="00427954"/>
    <w:rsid w:val="00433D1D"/>
    <w:rsid w:val="00434198"/>
    <w:rsid w:val="004345E6"/>
    <w:rsid w:val="00435462"/>
    <w:rsid w:val="004357FB"/>
    <w:rsid w:val="0043727C"/>
    <w:rsid w:val="004378AD"/>
    <w:rsid w:val="00440FB4"/>
    <w:rsid w:val="0044159F"/>
    <w:rsid w:val="004416C9"/>
    <w:rsid w:val="00441FBC"/>
    <w:rsid w:val="00443774"/>
    <w:rsid w:val="004437B0"/>
    <w:rsid w:val="004437E3"/>
    <w:rsid w:val="00445663"/>
    <w:rsid w:val="00445A60"/>
    <w:rsid w:val="00453C0B"/>
    <w:rsid w:val="00453EF7"/>
    <w:rsid w:val="00455400"/>
    <w:rsid w:val="00455BA3"/>
    <w:rsid w:val="00457EB1"/>
    <w:rsid w:val="0046347D"/>
    <w:rsid w:val="004637A6"/>
    <w:rsid w:val="0046485B"/>
    <w:rsid w:val="00464AE3"/>
    <w:rsid w:val="00465D59"/>
    <w:rsid w:val="00465D5B"/>
    <w:rsid w:val="00467C1B"/>
    <w:rsid w:val="00470E38"/>
    <w:rsid w:val="0047162B"/>
    <w:rsid w:val="004735BA"/>
    <w:rsid w:val="00473714"/>
    <w:rsid w:val="00474896"/>
    <w:rsid w:val="0047538C"/>
    <w:rsid w:val="00480988"/>
    <w:rsid w:val="004834F1"/>
    <w:rsid w:val="00484834"/>
    <w:rsid w:val="004856FE"/>
    <w:rsid w:val="0048726D"/>
    <w:rsid w:val="0049042C"/>
    <w:rsid w:val="00494A72"/>
    <w:rsid w:val="00497A0F"/>
    <w:rsid w:val="004A0430"/>
    <w:rsid w:val="004A2FF6"/>
    <w:rsid w:val="004A31D8"/>
    <w:rsid w:val="004A3811"/>
    <w:rsid w:val="004A4AE5"/>
    <w:rsid w:val="004A4E86"/>
    <w:rsid w:val="004A6E47"/>
    <w:rsid w:val="004A6F73"/>
    <w:rsid w:val="004B08C3"/>
    <w:rsid w:val="004B317F"/>
    <w:rsid w:val="004B3CB2"/>
    <w:rsid w:val="004B4C2D"/>
    <w:rsid w:val="004B4D6A"/>
    <w:rsid w:val="004B7612"/>
    <w:rsid w:val="004C02BD"/>
    <w:rsid w:val="004C0A64"/>
    <w:rsid w:val="004C1BA2"/>
    <w:rsid w:val="004C1D15"/>
    <w:rsid w:val="004C2B1E"/>
    <w:rsid w:val="004C33BC"/>
    <w:rsid w:val="004C345F"/>
    <w:rsid w:val="004C4CD7"/>
    <w:rsid w:val="004C4EC3"/>
    <w:rsid w:val="004C5E05"/>
    <w:rsid w:val="004C61DA"/>
    <w:rsid w:val="004D0142"/>
    <w:rsid w:val="004D38F6"/>
    <w:rsid w:val="004D4783"/>
    <w:rsid w:val="004D67F1"/>
    <w:rsid w:val="004E2AA1"/>
    <w:rsid w:val="004F0883"/>
    <w:rsid w:val="004F0DAD"/>
    <w:rsid w:val="004F2A09"/>
    <w:rsid w:val="004F46F0"/>
    <w:rsid w:val="004F64F6"/>
    <w:rsid w:val="00505653"/>
    <w:rsid w:val="00510137"/>
    <w:rsid w:val="00511821"/>
    <w:rsid w:val="00512149"/>
    <w:rsid w:val="00512D6F"/>
    <w:rsid w:val="005132AE"/>
    <w:rsid w:val="00513F25"/>
    <w:rsid w:val="00514CF2"/>
    <w:rsid w:val="00514DD8"/>
    <w:rsid w:val="00514EBC"/>
    <w:rsid w:val="005170CE"/>
    <w:rsid w:val="005208F9"/>
    <w:rsid w:val="00521D18"/>
    <w:rsid w:val="00521F7E"/>
    <w:rsid w:val="005221E8"/>
    <w:rsid w:val="00524A55"/>
    <w:rsid w:val="005257C6"/>
    <w:rsid w:val="00532CCA"/>
    <w:rsid w:val="0053403F"/>
    <w:rsid w:val="00534048"/>
    <w:rsid w:val="00542F53"/>
    <w:rsid w:val="0054582F"/>
    <w:rsid w:val="0054656E"/>
    <w:rsid w:val="00546DB1"/>
    <w:rsid w:val="00547A53"/>
    <w:rsid w:val="00547BB9"/>
    <w:rsid w:val="005515C4"/>
    <w:rsid w:val="00553660"/>
    <w:rsid w:val="005539EC"/>
    <w:rsid w:val="00553F1A"/>
    <w:rsid w:val="00556C0E"/>
    <w:rsid w:val="005575C3"/>
    <w:rsid w:val="005615B2"/>
    <w:rsid w:val="00563123"/>
    <w:rsid w:val="005651C4"/>
    <w:rsid w:val="00566969"/>
    <w:rsid w:val="00566EA5"/>
    <w:rsid w:val="005677B9"/>
    <w:rsid w:val="00570A26"/>
    <w:rsid w:val="00571426"/>
    <w:rsid w:val="00571996"/>
    <w:rsid w:val="00572338"/>
    <w:rsid w:val="005723C6"/>
    <w:rsid w:val="00573018"/>
    <w:rsid w:val="00573240"/>
    <w:rsid w:val="0057432B"/>
    <w:rsid w:val="00574A90"/>
    <w:rsid w:val="00575261"/>
    <w:rsid w:val="00577993"/>
    <w:rsid w:val="00580E59"/>
    <w:rsid w:val="00581D6C"/>
    <w:rsid w:val="00583D77"/>
    <w:rsid w:val="005844DB"/>
    <w:rsid w:val="00584BAE"/>
    <w:rsid w:val="00587C90"/>
    <w:rsid w:val="0059128F"/>
    <w:rsid w:val="00594617"/>
    <w:rsid w:val="00595F52"/>
    <w:rsid w:val="0059641A"/>
    <w:rsid w:val="00597D1E"/>
    <w:rsid w:val="005A10B4"/>
    <w:rsid w:val="005A32C8"/>
    <w:rsid w:val="005A36D6"/>
    <w:rsid w:val="005A5195"/>
    <w:rsid w:val="005A662A"/>
    <w:rsid w:val="005B153D"/>
    <w:rsid w:val="005B2064"/>
    <w:rsid w:val="005B2261"/>
    <w:rsid w:val="005B2C81"/>
    <w:rsid w:val="005B305A"/>
    <w:rsid w:val="005B4569"/>
    <w:rsid w:val="005B491A"/>
    <w:rsid w:val="005B6CCA"/>
    <w:rsid w:val="005B7891"/>
    <w:rsid w:val="005B7A7A"/>
    <w:rsid w:val="005C1661"/>
    <w:rsid w:val="005C2229"/>
    <w:rsid w:val="005C2F94"/>
    <w:rsid w:val="005C3C1F"/>
    <w:rsid w:val="005C4731"/>
    <w:rsid w:val="005C50E8"/>
    <w:rsid w:val="005C528B"/>
    <w:rsid w:val="005C76FF"/>
    <w:rsid w:val="005C7CF7"/>
    <w:rsid w:val="005D0BBB"/>
    <w:rsid w:val="005D1218"/>
    <w:rsid w:val="005D148B"/>
    <w:rsid w:val="005D211B"/>
    <w:rsid w:val="005D236C"/>
    <w:rsid w:val="005D2817"/>
    <w:rsid w:val="005D3B82"/>
    <w:rsid w:val="005D46EA"/>
    <w:rsid w:val="005D5683"/>
    <w:rsid w:val="005D626E"/>
    <w:rsid w:val="005D654E"/>
    <w:rsid w:val="005E0BCD"/>
    <w:rsid w:val="005E2C77"/>
    <w:rsid w:val="005E57D9"/>
    <w:rsid w:val="005E58A5"/>
    <w:rsid w:val="005E619D"/>
    <w:rsid w:val="005E7D23"/>
    <w:rsid w:val="005F32DF"/>
    <w:rsid w:val="005F349B"/>
    <w:rsid w:val="005F4313"/>
    <w:rsid w:val="005F4E15"/>
    <w:rsid w:val="005F6601"/>
    <w:rsid w:val="005F677A"/>
    <w:rsid w:val="005F7266"/>
    <w:rsid w:val="005F7846"/>
    <w:rsid w:val="0060016A"/>
    <w:rsid w:val="0060382B"/>
    <w:rsid w:val="00603938"/>
    <w:rsid w:val="00605B89"/>
    <w:rsid w:val="00607C59"/>
    <w:rsid w:val="006109EB"/>
    <w:rsid w:val="0061267B"/>
    <w:rsid w:val="006136E8"/>
    <w:rsid w:val="00613BF1"/>
    <w:rsid w:val="00613F22"/>
    <w:rsid w:val="00616692"/>
    <w:rsid w:val="00616F65"/>
    <w:rsid w:val="00622423"/>
    <w:rsid w:val="00622906"/>
    <w:rsid w:val="00623088"/>
    <w:rsid w:val="00623510"/>
    <w:rsid w:val="00625EBE"/>
    <w:rsid w:val="00626387"/>
    <w:rsid w:val="006267BC"/>
    <w:rsid w:val="00626DEE"/>
    <w:rsid w:val="006273D8"/>
    <w:rsid w:val="006275D1"/>
    <w:rsid w:val="0062760E"/>
    <w:rsid w:val="00631C45"/>
    <w:rsid w:val="0063368D"/>
    <w:rsid w:val="00636A59"/>
    <w:rsid w:val="00640277"/>
    <w:rsid w:val="006450C9"/>
    <w:rsid w:val="0064564B"/>
    <w:rsid w:val="00645799"/>
    <w:rsid w:val="00645EA8"/>
    <w:rsid w:val="00647379"/>
    <w:rsid w:val="00651802"/>
    <w:rsid w:val="0065248C"/>
    <w:rsid w:val="00653057"/>
    <w:rsid w:val="00653561"/>
    <w:rsid w:val="0065465D"/>
    <w:rsid w:val="00655072"/>
    <w:rsid w:val="006561E6"/>
    <w:rsid w:val="00657016"/>
    <w:rsid w:val="00657307"/>
    <w:rsid w:val="00657F73"/>
    <w:rsid w:val="0066078E"/>
    <w:rsid w:val="00661B16"/>
    <w:rsid w:val="006622A8"/>
    <w:rsid w:val="00663FB4"/>
    <w:rsid w:val="00664899"/>
    <w:rsid w:val="006655E4"/>
    <w:rsid w:val="00667411"/>
    <w:rsid w:val="00672407"/>
    <w:rsid w:val="00672EAB"/>
    <w:rsid w:val="006735E2"/>
    <w:rsid w:val="00673865"/>
    <w:rsid w:val="00674DB1"/>
    <w:rsid w:val="00674EE2"/>
    <w:rsid w:val="00675A91"/>
    <w:rsid w:val="00677534"/>
    <w:rsid w:val="00681F66"/>
    <w:rsid w:val="0068381D"/>
    <w:rsid w:val="00684891"/>
    <w:rsid w:val="006853D4"/>
    <w:rsid w:val="00685F87"/>
    <w:rsid w:val="00687BE6"/>
    <w:rsid w:val="00691EFB"/>
    <w:rsid w:val="00694FEC"/>
    <w:rsid w:val="00695576"/>
    <w:rsid w:val="00695AD5"/>
    <w:rsid w:val="00696B22"/>
    <w:rsid w:val="006A04FF"/>
    <w:rsid w:val="006A0C4A"/>
    <w:rsid w:val="006A0EE6"/>
    <w:rsid w:val="006A0F72"/>
    <w:rsid w:val="006A212E"/>
    <w:rsid w:val="006A52E5"/>
    <w:rsid w:val="006A5F3C"/>
    <w:rsid w:val="006B0832"/>
    <w:rsid w:val="006B10FE"/>
    <w:rsid w:val="006B3EEE"/>
    <w:rsid w:val="006B750E"/>
    <w:rsid w:val="006C0D52"/>
    <w:rsid w:val="006C0E47"/>
    <w:rsid w:val="006C37B9"/>
    <w:rsid w:val="006C41EA"/>
    <w:rsid w:val="006D2488"/>
    <w:rsid w:val="006D298E"/>
    <w:rsid w:val="006D5037"/>
    <w:rsid w:val="006D7689"/>
    <w:rsid w:val="006D7B94"/>
    <w:rsid w:val="006E02EE"/>
    <w:rsid w:val="006E5244"/>
    <w:rsid w:val="006F008F"/>
    <w:rsid w:val="006F0EA4"/>
    <w:rsid w:val="006F2CAA"/>
    <w:rsid w:val="006F3640"/>
    <w:rsid w:val="006F6905"/>
    <w:rsid w:val="006F6B61"/>
    <w:rsid w:val="006F788D"/>
    <w:rsid w:val="00700394"/>
    <w:rsid w:val="0070066D"/>
    <w:rsid w:val="0070069C"/>
    <w:rsid w:val="00700B36"/>
    <w:rsid w:val="00701F0B"/>
    <w:rsid w:val="00702BA0"/>
    <w:rsid w:val="007033C0"/>
    <w:rsid w:val="007049D3"/>
    <w:rsid w:val="00706086"/>
    <w:rsid w:val="007072AD"/>
    <w:rsid w:val="00711D0F"/>
    <w:rsid w:val="00713166"/>
    <w:rsid w:val="007136DC"/>
    <w:rsid w:val="00714C1D"/>
    <w:rsid w:val="00714D6D"/>
    <w:rsid w:val="00717532"/>
    <w:rsid w:val="007205BA"/>
    <w:rsid w:val="00721086"/>
    <w:rsid w:val="00721916"/>
    <w:rsid w:val="00721AF0"/>
    <w:rsid w:val="00721C29"/>
    <w:rsid w:val="0072273A"/>
    <w:rsid w:val="00722767"/>
    <w:rsid w:val="00722A1B"/>
    <w:rsid w:val="00722D34"/>
    <w:rsid w:val="00723FB0"/>
    <w:rsid w:val="00725BF0"/>
    <w:rsid w:val="00725E88"/>
    <w:rsid w:val="007263E1"/>
    <w:rsid w:val="00726C34"/>
    <w:rsid w:val="00727752"/>
    <w:rsid w:val="007309E5"/>
    <w:rsid w:val="00731085"/>
    <w:rsid w:val="00731351"/>
    <w:rsid w:val="007350F1"/>
    <w:rsid w:val="00737530"/>
    <w:rsid w:val="00737751"/>
    <w:rsid w:val="00737D78"/>
    <w:rsid w:val="00740E12"/>
    <w:rsid w:val="00741358"/>
    <w:rsid w:val="00741422"/>
    <w:rsid w:val="00742704"/>
    <w:rsid w:val="0074284E"/>
    <w:rsid w:val="00742D85"/>
    <w:rsid w:val="00743307"/>
    <w:rsid w:val="00744350"/>
    <w:rsid w:val="007445FA"/>
    <w:rsid w:val="00746328"/>
    <w:rsid w:val="00746541"/>
    <w:rsid w:val="00747277"/>
    <w:rsid w:val="007504F5"/>
    <w:rsid w:val="0075137D"/>
    <w:rsid w:val="00752E6A"/>
    <w:rsid w:val="00752FDC"/>
    <w:rsid w:val="00753BD9"/>
    <w:rsid w:val="00760FE7"/>
    <w:rsid w:val="00761199"/>
    <w:rsid w:val="0076212C"/>
    <w:rsid w:val="0076262A"/>
    <w:rsid w:val="00765461"/>
    <w:rsid w:val="007732BA"/>
    <w:rsid w:val="00773842"/>
    <w:rsid w:val="00774B57"/>
    <w:rsid w:val="00780B84"/>
    <w:rsid w:val="0078174E"/>
    <w:rsid w:val="007820C0"/>
    <w:rsid w:val="00783BF2"/>
    <w:rsid w:val="00784085"/>
    <w:rsid w:val="007847C5"/>
    <w:rsid w:val="0078526C"/>
    <w:rsid w:val="00786650"/>
    <w:rsid w:val="007877AD"/>
    <w:rsid w:val="007906D9"/>
    <w:rsid w:val="00790B8F"/>
    <w:rsid w:val="00790F7D"/>
    <w:rsid w:val="00790F8A"/>
    <w:rsid w:val="0079159D"/>
    <w:rsid w:val="007935E7"/>
    <w:rsid w:val="00795E12"/>
    <w:rsid w:val="007967FF"/>
    <w:rsid w:val="00796CD5"/>
    <w:rsid w:val="007A1BCC"/>
    <w:rsid w:val="007A1BDA"/>
    <w:rsid w:val="007A214D"/>
    <w:rsid w:val="007A2B0D"/>
    <w:rsid w:val="007A30E1"/>
    <w:rsid w:val="007A52EE"/>
    <w:rsid w:val="007A5764"/>
    <w:rsid w:val="007A6B15"/>
    <w:rsid w:val="007B0156"/>
    <w:rsid w:val="007B5533"/>
    <w:rsid w:val="007B5632"/>
    <w:rsid w:val="007B6E3B"/>
    <w:rsid w:val="007C01B4"/>
    <w:rsid w:val="007C0FAC"/>
    <w:rsid w:val="007C45FE"/>
    <w:rsid w:val="007C54D1"/>
    <w:rsid w:val="007C5516"/>
    <w:rsid w:val="007C7341"/>
    <w:rsid w:val="007D27BC"/>
    <w:rsid w:val="007D3218"/>
    <w:rsid w:val="007D383D"/>
    <w:rsid w:val="007D3DB9"/>
    <w:rsid w:val="007D42D3"/>
    <w:rsid w:val="007D4C81"/>
    <w:rsid w:val="007D5858"/>
    <w:rsid w:val="007D65B5"/>
    <w:rsid w:val="007D6C1A"/>
    <w:rsid w:val="007D7914"/>
    <w:rsid w:val="007E7DD9"/>
    <w:rsid w:val="007F0E87"/>
    <w:rsid w:val="007F10C6"/>
    <w:rsid w:val="007F17AC"/>
    <w:rsid w:val="007F1DE1"/>
    <w:rsid w:val="007F1F6F"/>
    <w:rsid w:val="007F2C97"/>
    <w:rsid w:val="007F35BC"/>
    <w:rsid w:val="007F3C3B"/>
    <w:rsid w:val="007F3FCA"/>
    <w:rsid w:val="008010EA"/>
    <w:rsid w:val="008039B0"/>
    <w:rsid w:val="008044EB"/>
    <w:rsid w:val="008063B5"/>
    <w:rsid w:val="0080684D"/>
    <w:rsid w:val="00806C65"/>
    <w:rsid w:val="00807AE6"/>
    <w:rsid w:val="00810721"/>
    <w:rsid w:val="00810A50"/>
    <w:rsid w:val="00811309"/>
    <w:rsid w:val="00812890"/>
    <w:rsid w:val="00812A13"/>
    <w:rsid w:val="00813CA1"/>
    <w:rsid w:val="008141C7"/>
    <w:rsid w:val="008147AB"/>
    <w:rsid w:val="0081575C"/>
    <w:rsid w:val="00817DDE"/>
    <w:rsid w:val="00817FD3"/>
    <w:rsid w:val="00820157"/>
    <w:rsid w:val="0082060F"/>
    <w:rsid w:val="00820FAE"/>
    <w:rsid w:val="0082188E"/>
    <w:rsid w:val="00821991"/>
    <w:rsid w:val="00823FF9"/>
    <w:rsid w:val="00827171"/>
    <w:rsid w:val="008274AA"/>
    <w:rsid w:val="00830F8B"/>
    <w:rsid w:val="0083329A"/>
    <w:rsid w:val="00833B84"/>
    <w:rsid w:val="00834C72"/>
    <w:rsid w:val="008350FF"/>
    <w:rsid w:val="008360CF"/>
    <w:rsid w:val="008367A6"/>
    <w:rsid w:val="00837232"/>
    <w:rsid w:val="00837AFF"/>
    <w:rsid w:val="00840300"/>
    <w:rsid w:val="0084056A"/>
    <w:rsid w:val="00841F3A"/>
    <w:rsid w:val="00843059"/>
    <w:rsid w:val="008465B6"/>
    <w:rsid w:val="008469C1"/>
    <w:rsid w:val="008503D7"/>
    <w:rsid w:val="00853818"/>
    <w:rsid w:val="00854831"/>
    <w:rsid w:val="00854AD5"/>
    <w:rsid w:val="00854DB5"/>
    <w:rsid w:val="00854E1A"/>
    <w:rsid w:val="00854FAC"/>
    <w:rsid w:val="00855772"/>
    <w:rsid w:val="008561CA"/>
    <w:rsid w:val="008567E8"/>
    <w:rsid w:val="008572D8"/>
    <w:rsid w:val="00862CED"/>
    <w:rsid w:val="008636BC"/>
    <w:rsid w:val="00864E9A"/>
    <w:rsid w:val="008668B0"/>
    <w:rsid w:val="00866E58"/>
    <w:rsid w:val="00867FB4"/>
    <w:rsid w:val="00871509"/>
    <w:rsid w:val="00871CF8"/>
    <w:rsid w:val="00872948"/>
    <w:rsid w:val="00872F18"/>
    <w:rsid w:val="00873BC4"/>
    <w:rsid w:val="008802B5"/>
    <w:rsid w:val="008823B7"/>
    <w:rsid w:val="00882CC9"/>
    <w:rsid w:val="00885190"/>
    <w:rsid w:val="00886548"/>
    <w:rsid w:val="00887626"/>
    <w:rsid w:val="00887D0F"/>
    <w:rsid w:val="00887EC9"/>
    <w:rsid w:val="008912C1"/>
    <w:rsid w:val="00894699"/>
    <w:rsid w:val="00895522"/>
    <w:rsid w:val="0089639A"/>
    <w:rsid w:val="008972A7"/>
    <w:rsid w:val="008A003C"/>
    <w:rsid w:val="008A1843"/>
    <w:rsid w:val="008A6AD8"/>
    <w:rsid w:val="008A785E"/>
    <w:rsid w:val="008B53E1"/>
    <w:rsid w:val="008B74A1"/>
    <w:rsid w:val="008C0929"/>
    <w:rsid w:val="008C1DCE"/>
    <w:rsid w:val="008C4338"/>
    <w:rsid w:val="008C575E"/>
    <w:rsid w:val="008C5FE3"/>
    <w:rsid w:val="008D4F15"/>
    <w:rsid w:val="008D4F60"/>
    <w:rsid w:val="008E2DCA"/>
    <w:rsid w:val="008E3160"/>
    <w:rsid w:val="008E39B4"/>
    <w:rsid w:val="008E5EBA"/>
    <w:rsid w:val="008E6231"/>
    <w:rsid w:val="008E6420"/>
    <w:rsid w:val="008E6441"/>
    <w:rsid w:val="008E7101"/>
    <w:rsid w:val="008F07D2"/>
    <w:rsid w:val="008F0EA9"/>
    <w:rsid w:val="008F116E"/>
    <w:rsid w:val="008F3294"/>
    <w:rsid w:val="008F4737"/>
    <w:rsid w:val="008F4F7A"/>
    <w:rsid w:val="008F538F"/>
    <w:rsid w:val="008F7094"/>
    <w:rsid w:val="008F737B"/>
    <w:rsid w:val="0090007B"/>
    <w:rsid w:val="00900233"/>
    <w:rsid w:val="00906370"/>
    <w:rsid w:val="00907A96"/>
    <w:rsid w:val="009100BA"/>
    <w:rsid w:val="00910EFF"/>
    <w:rsid w:val="00911ACE"/>
    <w:rsid w:val="00912040"/>
    <w:rsid w:val="00912DEF"/>
    <w:rsid w:val="0091356D"/>
    <w:rsid w:val="00914150"/>
    <w:rsid w:val="00915BF6"/>
    <w:rsid w:val="00915C63"/>
    <w:rsid w:val="00916726"/>
    <w:rsid w:val="00920824"/>
    <w:rsid w:val="0092199E"/>
    <w:rsid w:val="00921A58"/>
    <w:rsid w:val="009222B6"/>
    <w:rsid w:val="00923FEB"/>
    <w:rsid w:val="00924DEA"/>
    <w:rsid w:val="0093070A"/>
    <w:rsid w:val="009330D2"/>
    <w:rsid w:val="00934BDE"/>
    <w:rsid w:val="00935D35"/>
    <w:rsid w:val="009406AE"/>
    <w:rsid w:val="009446E8"/>
    <w:rsid w:val="009449BB"/>
    <w:rsid w:val="009509BA"/>
    <w:rsid w:val="00950E4E"/>
    <w:rsid w:val="00951196"/>
    <w:rsid w:val="00954483"/>
    <w:rsid w:val="009560A5"/>
    <w:rsid w:val="009610A1"/>
    <w:rsid w:val="0096130A"/>
    <w:rsid w:val="00962065"/>
    <w:rsid w:val="009622E9"/>
    <w:rsid w:val="00963EA0"/>
    <w:rsid w:val="00966C6E"/>
    <w:rsid w:val="00966E85"/>
    <w:rsid w:val="00970887"/>
    <w:rsid w:val="0097214B"/>
    <w:rsid w:val="00972981"/>
    <w:rsid w:val="009736DF"/>
    <w:rsid w:val="00973D0C"/>
    <w:rsid w:val="009761FC"/>
    <w:rsid w:val="00976CBB"/>
    <w:rsid w:val="00984134"/>
    <w:rsid w:val="00985499"/>
    <w:rsid w:val="00986EFB"/>
    <w:rsid w:val="00987952"/>
    <w:rsid w:val="00990F41"/>
    <w:rsid w:val="00992F7C"/>
    <w:rsid w:val="00993F31"/>
    <w:rsid w:val="00996DD7"/>
    <w:rsid w:val="009974C9"/>
    <w:rsid w:val="009A0B2A"/>
    <w:rsid w:val="009A14E8"/>
    <w:rsid w:val="009A181F"/>
    <w:rsid w:val="009A1D2B"/>
    <w:rsid w:val="009A1E30"/>
    <w:rsid w:val="009A2A9C"/>
    <w:rsid w:val="009A3904"/>
    <w:rsid w:val="009A4372"/>
    <w:rsid w:val="009A4EE6"/>
    <w:rsid w:val="009B0D4A"/>
    <w:rsid w:val="009B2C1C"/>
    <w:rsid w:val="009B33BE"/>
    <w:rsid w:val="009B387F"/>
    <w:rsid w:val="009B43B7"/>
    <w:rsid w:val="009B5C61"/>
    <w:rsid w:val="009B5F9E"/>
    <w:rsid w:val="009B6FF3"/>
    <w:rsid w:val="009C0037"/>
    <w:rsid w:val="009C0538"/>
    <w:rsid w:val="009C1DE2"/>
    <w:rsid w:val="009C35D5"/>
    <w:rsid w:val="009C5893"/>
    <w:rsid w:val="009C72A0"/>
    <w:rsid w:val="009D1D82"/>
    <w:rsid w:val="009D265B"/>
    <w:rsid w:val="009D378F"/>
    <w:rsid w:val="009D3D34"/>
    <w:rsid w:val="009D43C2"/>
    <w:rsid w:val="009D46ED"/>
    <w:rsid w:val="009D73C6"/>
    <w:rsid w:val="009D78ED"/>
    <w:rsid w:val="009E0543"/>
    <w:rsid w:val="009E206A"/>
    <w:rsid w:val="009E2A31"/>
    <w:rsid w:val="009E3296"/>
    <w:rsid w:val="009E36AB"/>
    <w:rsid w:val="009E755F"/>
    <w:rsid w:val="009F718B"/>
    <w:rsid w:val="00A00086"/>
    <w:rsid w:val="00A02EDC"/>
    <w:rsid w:val="00A035EE"/>
    <w:rsid w:val="00A04176"/>
    <w:rsid w:val="00A061AA"/>
    <w:rsid w:val="00A06DEC"/>
    <w:rsid w:val="00A06E88"/>
    <w:rsid w:val="00A13ECF"/>
    <w:rsid w:val="00A146AC"/>
    <w:rsid w:val="00A14FBB"/>
    <w:rsid w:val="00A17A49"/>
    <w:rsid w:val="00A17BC2"/>
    <w:rsid w:val="00A22286"/>
    <w:rsid w:val="00A22467"/>
    <w:rsid w:val="00A22EB3"/>
    <w:rsid w:val="00A2412D"/>
    <w:rsid w:val="00A308D0"/>
    <w:rsid w:val="00A31393"/>
    <w:rsid w:val="00A31504"/>
    <w:rsid w:val="00A31837"/>
    <w:rsid w:val="00A324DB"/>
    <w:rsid w:val="00A3272F"/>
    <w:rsid w:val="00A32AD6"/>
    <w:rsid w:val="00A34472"/>
    <w:rsid w:val="00A347DD"/>
    <w:rsid w:val="00A34935"/>
    <w:rsid w:val="00A34C20"/>
    <w:rsid w:val="00A36012"/>
    <w:rsid w:val="00A37930"/>
    <w:rsid w:val="00A40F63"/>
    <w:rsid w:val="00A500F0"/>
    <w:rsid w:val="00A50540"/>
    <w:rsid w:val="00A50B7F"/>
    <w:rsid w:val="00A51AF2"/>
    <w:rsid w:val="00A51F2C"/>
    <w:rsid w:val="00A54D8C"/>
    <w:rsid w:val="00A60D79"/>
    <w:rsid w:val="00A6231E"/>
    <w:rsid w:val="00A62BAC"/>
    <w:rsid w:val="00A62D21"/>
    <w:rsid w:val="00A62D50"/>
    <w:rsid w:val="00A62E48"/>
    <w:rsid w:val="00A63127"/>
    <w:rsid w:val="00A63EA9"/>
    <w:rsid w:val="00A6497E"/>
    <w:rsid w:val="00A67289"/>
    <w:rsid w:val="00A67735"/>
    <w:rsid w:val="00A719AA"/>
    <w:rsid w:val="00A73A52"/>
    <w:rsid w:val="00A73ABC"/>
    <w:rsid w:val="00A73B27"/>
    <w:rsid w:val="00A75C2B"/>
    <w:rsid w:val="00A8096D"/>
    <w:rsid w:val="00A81BF6"/>
    <w:rsid w:val="00A85B59"/>
    <w:rsid w:val="00A86371"/>
    <w:rsid w:val="00A87C30"/>
    <w:rsid w:val="00A87EF6"/>
    <w:rsid w:val="00A914BC"/>
    <w:rsid w:val="00A929EF"/>
    <w:rsid w:val="00A92DA9"/>
    <w:rsid w:val="00A92E7F"/>
    <w:rsid w:val="00A93BEA"/>
    <w:rsid w:val="00A9421E"/>
    <w:rsid w:val="00AA11DB"/>
    <w:rsid w:val="00AA3ED7"/>
    <w:rsid w:val="00AA3FE2"/>
    <w:rsid w:val="00AA42F7"/>
    <w:rsid w:val="00AA4476"/>
    <w:rsid w:val="00AA7CEE"/>
    <w:rsid w:val="00AB099F"/>
    <w:rsid w:val="00AB1C1A"/>
    <w:rsid w:val="00AB2B5A"/>
    <w:rsid w:val="00AB2E3A"/>
    <w:rsid w:val="00AB34F8"/>
    <w:rsid w:val="00AB3562"/>
    <w:rsid w:val="00AB406C"/>
    <w:rsid w:val="00AB541B"/>
    <w:rsid w:val="00AB7FA9"/>
    <w:rsid w:val="00AC2327"/>
    <w:rsid w:val="00AC2D39"/>
    <w:rsid w:val="00AC3832"/>
    <w:rsid w:val="00AC3DDB"/>
    <w:rsid w:val="00AC491C"/>
    <w:rsid w:val="00AC66FC"/>
    <w:rsid w:val="00AC75E7"/>
    <w:rsid w:val="00AC7DDA"/>
    <w:rsid w:val="00AD14F1"/>
    <w:rsid w:val="00AD1A78"/>
    <w:rsid w:val="00AD251B"/>
    <w:rsid w:val="00AD4D12"/>
    <w:rsid w:val="00AD6FC2"/>
    <w:rsid w:val="00AE12AF"/>
    <w:rsid w:val="00AE732F"/>
    <w:rsid w:val="00AF2A8D"/>
    <w:rsid w:val="00AF3988"/>
    <w:rsid w:val="00AF5484"/>
    <w:rsid w:val="00AF5D85"/>
    <w:rsid w:val="00B01E7C"/>
    <w:rsid w:val="00B01EFE"/>
    <w:rsid w:val="00B02C0C"/>
    <w:rsid w:val="00B04424"/>
    <w:rsid w:val="00B055A7"/>
    <w:rsid w:val="00B05AB4"/>
    <w:rsid w:val="00B06477"/>
    <w:rsid w:val="00B10F47"/>
    <w:rsid w:val="00B1275E"/>
    <w:rsid w:val="00B13002"/>
    <w:rsid w:val="00B13BC5"/>
    <w:rsid w:val="00B13BF6"/>
    <w:rsid w:val="00B1440A"/>
    <w:rsid w:val="00B15FB3"/>
    <w:rsid w:val="00B17338"/>
    <w:rsid w:val="00B17C15"/>
    <w:rsid w:val="00B21D50"/>
    <w:rsid w:val="00B22EC2"/>
    <w:rsid w:val="00B233FB"/>
    <w:rsid w:val="00B234A4"/>
    <w:rsid w:val="00B241F6"/>
    <w:rsid w:val="00B24BF9"/>
    <w:rsid w:val="00B30B96"/>
    <w:rsid w:val="00B32559"/>
    <w:rsid w:val="00B33582"/>
    <w:rsid w:val="00B3507F"/>
    <w:rsid w:val="00B35847"/>
    <w:rsid w:val="00B366FB"/>
    <w:rsid w:val="00B40AE4"/>
    <w:rsid w:val="00B40EDC"/>
    <w:rsid w:val="00B41C40"/>
    <w:rsid w:val="00B41F4F"/>
    <w:rsid w:val="00B42456"/>
    <w:rsid w:val="00B446A9"/>
    <w:rsid w:val="00B44C5D"/>
    <w:rsid w:val="00B47056"/>
    <w:rsid w:val="00B47F0A"/>
    <w:rsid w:val="00B5075C"/>
    <w:rsid w:val="00B5179D"/>
    <w:rsid w:val="00B5406C"/>
    <w:rsid w:val="00B5524E"/>
    <w:rsid w:val="00B57048"/>
    <w:rsid w:val="00B601BE"/>
    <w:rsid w:val="00B61506"/>
    <w:rsid w:val="00B64AE0"/>
    <w:rsid w:val="00B65A55"/>
    <w:rsid w:val="00B65B7B"/>
    <w:rsid w:val="00B709B2"/>
    <w:rsid w:val="00B71FE1"/>
    <w:rsid w:val="00B72056"/>
    <w:rsid w:val="00B72097"/>
    <w:rsid w:val="00B73E8A"/>
    <w:rsid w:val="00B759BC"/>
    <w:rsid w:val="00B77454"/>
    <w:rsid w:val="00B808E7"/>
    <w:rsid w:val="00B80CE1"/>
    <w:rsid w:val="00B81973"/>
    <w:rsid w:val="00B87F56"/>
    <w:rsid w:val="00B93910"/>
    <w:rsid w:val="00B94AE0"/>
    <w:rsid w:val="00BA03BC"/>
    <w:rsid w:val="00BA1C27"/>
    <w:rsid w:val="00BA1D38"/>
    <w:rsid w:val="00BA21FD"/>
    <w:rsid w:val="00BA34FC"/>
    <w:rsid w:val="00BA5917"/>
    <w:rsid w:val="00BA7B77"/>
    <w:rsid w:val="00BB00C3"/>
    <w:rsid w:val="00BB124F"/>
    <w:rsid w:val="00BB2227"/>
    <w:rsid w:val="00BB3FA7"/>
    <w:rsid w:val="00BB4010"/>
    <w:rsid w:val="00BB4087"/>
    <w:rsid w:val="00BB50B7"/>
    <w:rsid w:val="00BB643E"/>
    <w:rsid w:val="00BB69BA"/>
    <w:rsid w:val="00BB7D20"/>
    <w:rsid w:val="00BC0752"/>
    <w:rsid w:val="00BC0774"/>
    <w:rsid w:val="00BC0E1E"/>
    <w:rsid w:val="00BC1898"/>
    <w:rsid w:val="00BC2F86"/>
    <w:rsid w:val="00BC6B0D"/>
    <w:rsid w:val="00BC72C4"/>
    <w:rsid w:val="00BD0E7B"/>
    <w:rsid w:val="00BD215C"/>
    <w:rsid w:val="00BD2677"/>
    <w:rsid w:val="00BD2A77"/>
    <w:rsid w:val="00BD3652"/>
    <w:rsid w:val="00BD4386"/>
    <w:rsid w:val="00BD4A19"/>
    <w:rsid w:val="00BD5999"/>
    <w:rsid w:val="00BD77A9"/>
    <w:rsid w:val="00BE05EF"/>
    <w:rsid w:val="00BE288B"/>
    <w:rsid w:val="00BE5CAC"/>
    <w:rsid w:val="00BE79BB"/>
    <w:rsid w:val="00BF078F"/>
    <w:rsid w:val="00BF1178"/>
    <w:rsid w:val="00BF2194"/>
    <w:rsid w:val="00BF362F"/>
    <w:rsid w:val="00BF407F"/>
    <w:rsid w:val="00BF5E16"/>
    <w:rsid w:val="00C0052D"/>
    <w:rsid w:val="00C010A3"/>
    <w:rsid w:val="00C01B62"/>
    <w:rsid w:val="00C0455C"/>
    <w:rsid w:val="00C073B5"/>
    <w:rsid w:val="00C07874"/>
    <w:rsid w:val="00C079A6"/>
    <w:rsid w:val="00C15355"/>
    <w:rsid w:val="00C166A6"/>
    <w:rsid w:val="00C17F4A"/>
    <w:rsid w:val="00C20CAA"/>
    <w:rsid w:val="00C214EF"/>
    <w:rsid w:val="00C27020"/>
    <w:rsid w:val="00C270CB"/>
    <w:rsid w:val="00C2710D"/>
    <w:rsid w:val="00C3281C"/>
    <w:rsid w:val="00C34DC7"/>
    <w:rsid w:val="00C357F9"/>
    <w:rsid w:val="00C35FB8"/>
    <w:rsid w:val="00C363C9"/>
    <w:rsid w:val="00C3670E"/>
    <w:rsid w:val="00C401DE"/>
    <w:rsid w:val="00C420DC"/>
    <w:rsid w:val="00C4489D"/>
    <w:rsid w:val="00C451D7"/>
    <w:rsid w:val="00C454BC"/>
    <w:rsid w:val="00C46BDA"/>
    <w:rsid w:val="00C4745E"/>
    <w:rsid w:val="00C50843"/>
    <w:rsid w:val="00C5132F"/>
    <w:rsid w:val="00C514AC"/>
    <w:rsid w:val="00C52209"/>
    <w:rsid w:val="00C53304"/>
    <w:rsid w:val="00C53EAE"/>
    <w:rsid w:val="00C53F6B"/>
    <w:rsid w:val="00C54743"/>
    <w:rsid w:val="00C55A8F"/>
    <w:rsid w:val="00C5609E"/>
    <w:rsid w:val="00C56136"/>
    <w:rsid w:val="00C56446"/>
    <w:rsid w:val="00C607FB"/>
    <w:rsid w:val="00C64A1D"/>
    <w:rsid w:val="00C64F2C"/>
    <w:rsid w:val="00C6747A"/>
    <w:rsid w:val="00C67EC1"/>
    <w:rsid w:val="00C70B7F"/>
    <w:rsid w:val="00C70F27"/>
    <w:rsid w:val="00C710CA"/>
    <w:rsid w:val="00C72DF6"/>
    <w:rsid w:val="00C7508C"/>
    <w:rsid w:val="00C815B2"/>
    <w:rsid w:val="00C82D04"/>
    <w:rsid w:val="00C84E7D"/>
    <w:rsid w:val="00C85602"/>
    <w:rsid w:val="00C87473"/>
    <w:rsid w:val="00C87B68"/>
    <w:rsid w:val="00C93A0B"/>
    <w:rsid w:val="00C93ADC"/>
    <w:rsid w:val="00C93C62"/>
    <w:rsid w:val="00C93CCD"/>
    <w:rsid w:val="00C94948"/>
    <w:rsid w:val="00C955C4"/>
    <w:rsid w:val="00C966A1"/>
    <w:rsid w:val="00C96CBC"/>
    <w:rsid w:val="00CA0F84"/>
    <w:rsid w:val="00CA10D9"/>
    <w:rsid w:val="00CA18E2"/>
    <w:rsid w:val="00CA1BD0"/>
    <w:rsid w:val="00CA35A2"/>
    <w:rsid w:val="00CA3DA1"/>
    <w:rsid w:val="00CA51E6"/>
    <w:rsid w:val="00CA535E"/>
    <w:rsid w:val="00CA69C7"/>
    <w:rsid w:val="00CB02A4"/>
    <w:rsid w:val="00CB0BBB"/>
    <w:rsid w:val="00CB602E"/>
    <w:rsid w:val="00CB6D7C"/>
    <w:rsid w:val="00CC0A2A"/>
    <w:rsid w:val="00CC163A"/>
    <w:rsid w:val="00CC239C"/>
    <w:rsid w:val="00CC52FA"/>
    <w:rsid w:val="00CC6499"/>
    <w:rsid w:val="00CC706E"/>
    <w:rsid w:val="00CC78E5"/>
    <w:rsid w:val="00CC7BD1"/>
    <w:rsid w:val="00CD089D"/>
    <w:rsid w:val="00CD0ECC"/>
    <w:rsid w:val="00CD1318"/>
    <w:rsid w:val="00CD28C5"/>
    <w:rsid w:val="00CD38CE"/>
    <w:rsid w:val="00CD5107"/>
    <w:rsid w:val="00CD76CE"/>
    <w:rsid w:val="00CE382E"/>
    <w:rsid w:val="00CE3C2E"/>
    <w:rsid w:val="00CF01DC"/>
    <w:rsid w:val="00CF0CA1"/>
    <w:rsid w:val="00CF1C17"/>
    <w:rsid w:val="00CF2144"/>
    <w:rsid w:val="00CF2E4E"/>
    <w:rsid w:val="00CF35EE"/>
    <w:rsid w:val="00CF4DC8"/>
    <w:rsid w:val="00CF7182"/>
    <w:rsid w:val="00D01A55"/>
    <w:rsid w:val="00D03673"/>
    <w:rsid w:val="00D0431D"/>
    <w:rsid w:val="00D05587"/>
    <w:rsid w:val="00D07E37"/>
    <w:rsid w:val="00D10998"/>
    <w:rsid w:val="00D10D0B"/>
    <w:rsid w:val="00D11166"/>
    <w:rsid w:val="00D11BD7"/>
    <w:rsid w:val="00D13A73"/>
    <w:rsid w:val="00D14BF5"/>
    <w:rsid w:val="00D15AE6"/>
    <w:rsid w:val="00D16EEF"/>
    <w:rsid w:val="00D175BB"/>
    <w:rsid w:val="00D17803"/>
    <w:rsid w:val="00D216B5"/>
    <w:rsid w:val="00D23EC1"/>
    <w:rsid w:val="00D24B3D"/>
    <w:rsid w:val="00D25192"/>
    <w:rsid w:val="00D30F50"/>
    <w:rsid w:val="00D31711"/>
    <w:rsid w:val="00D31903"/>
    <w:rsid w:val="00D331C6"/>
    <w:rsid w:val="00D34583"/>
    <w:rsid w:val="00D36BE5"/>
    <w:rsid w:val="00D37D7A"/>
    <w:rsid w:val="00D40827"/>
    <w:rsid w:val="00D42D7E"/>
    <w:rsid w:val="00D4511F"/>
    <w:rsid w:val="00D45E53"/>
    <w:rsid w:val="00D462CD"/>
    <w:rsid w:val="00D46FE6"/>
    <w:rsid w:val="00D47311"/>
    <w:rsid w:val="00D52813"/>
    <w:rsid w:val="00D52DED"/>
    <w:rsid w:val="00D53409"/>
    <w:rsid w:val="00D53F87"/>
    <w:rsid w:val="00D5443D"/>
    <w:rsid w:val="00D576F2"/>
    <w:rsid w:val="00D60C66"/>
    <w:rsid w:val="00D62111"/>
    <w:rsid w:val="00D6542C"/>
    <w:rsid w:val="00D66228"/>
    <w:rsid w:val="00D7036C"/>
    <w:rsid w:val="00D706D3"/>
    <w:rsid w:val="00D70F1F"/>
    <w:rsid w:val="00D71BC1"/>
    <w:rsid w:val="00D73AF2"/>
    <w:rsid w:val="00D73B4B"/>
    <w:rsid w:val="00D7458E"/>
    <w:rsid w:val="00D75246"/>
    <w:rsid w:val="00D7545B"/>
    <w:rsid w:val="00D7699C"/>
    <w:rsid w:val="00D76D52"/>
    <w:rsid w:val="00D77589"/>
    <w:rsid w:val="00D777C2"/>
    <w:rsid w:val="00D8051F"/>
    <w:rsid w:val="00D87253"/>
    <w:rsid w:val="00D87966"/>
    <w:rsid w:val="00D87C45"/>
    <w:rsid w:val="00D91073"/>
    <w:rsid w:val="00D913DF"/>
    <w:rsid w:val="00D92AF9"/>
    <w:rsid w:val="00D93A3A"/>
    <w:rsid w:val="00D94BCB"/>
    <w:rsid w:val="00D96FA6"/>
    <w:rsid w:val="00DA0061"/>
    <w:rsid w:val="00DA17AA"/>
    <w:rsid w:val="00DA17C9"/>
    <w:rsid w:val="00DA46EA"/>
    <w:rsid w:val="00DA51D1"/>
    <w:rsid w:val="00DB151D"/>
    <w:rsid w:val="00DB35DC"/>
    <w:rsid w:val="00DB491B"/>
    <w:rsid w:val="00DB58B1"/>
    <w:rsid w:val="00DB7D19"/>
    <w:rsid w:val="00DB7DBD"/>
    <w:rsid w:val="00DC1C88"/>
    <w:rsid w:val="00DC3AB7"/>
    <w:rsid w:val="00DC3CF2"/>
    <w:rsid w:val="00DC6020"/>
    <w:rsid w:val="00DD0044"/>
    <w:rsid w:val="00DD2AE0"/>
    <w:rsid w:val="00DD320F"/>
    <w:rsid w:val="00DD3C1E"/>
    <w:rsid w:val="00DD3F88"/>
    <w:rsid w:val="00DD4549"/>
    <w:rsid w:val="00DD654A"/>
    <w:rsid w:val="00DD7820"/>
    <w:rsid w:val="00DD78FE"/>
    <w:rsid w:val="00DE0121"/>
    <w:rsid w:val="00DE100C"/>
    <w:rsid w:val="00DE3247"/>
    <w:rsid w:val="00DF0944"/>
    <w:rsid w:val="00DF3A73"/>
    <w:rsid w:val="00DF3E1D"/>
    <w:rsid w:val="00E00870"/>
    <w:rsid w:val="00E06530"/>
    <w:rsid w:val="00E112AC"/>
    <w:rsid w:val="00E11D5B"/>
    <w:rsid w:val="00E14CF4"/>
    <w:rsid w:val="00E1579D"/>
    <w:rsid w:val="00E161AD"/>
    <w:rsid w:val="00E16C29"/>
    <w:rsid w:val="00E20297"/>
    <w:rsid w:val="00E21861"/>
    <w:rsid w:val="00E225B6"/>
    <w:rsid w:val="00E230F6"/>
    <w:rsid w:val="00E23DE3"/>
    <w:rsid w:val="00E2412A"/>
    <w:rsid w:val="00E24AD2"/>
    <w:rsid w:val="00E25414"/>
    <w:rsid w:val="00E27054"/>
    <w:rsid w:val="00E27374"/>
    <w:rsid w:val="00E308F9"/>
    <w:rsid w:val="00E32D03"/>
    <w:rsid w:val="00E37D6C"/>
    <w:rsid w:val="00E41B82"/>
    <w:rsid w:val="00E41B88"/>
    <w:rsid w:val="00E4389B"/>
    <w:rsid w:val="00E44081"/>
    <w:rsid w:val="00E45A1B"/>
    <w:rsid w:val="00E50F53"/>
    <w:rsid w:val="00E51F3D"/>
    <w:rsid w:val="00E52036"/>
    <w:rsid w:val="00E5359E"/>
    <w:rsid w:val="00E5390D"/>
    <w:rsid w:val="00E552F4"/>
    <w:rsid w:val="00E55C2B"/>
    <w:rsid w:val="00E55E80"/>
    <w:rsid w:val="00E5613F"/>
    <w:rsid w:val="00E601A8"/>
    <w:rsid w:val="00E622CB"/>
    <w:rsid w:val="00E63BF5"/>
    <w:rsid w:val="00E63F19"/>
    <w:rsid w:val="00E64505"/>
    <w:rsid w:val="00E65F23"/>
    <w:rsid w:val="00E662F6"/>
    <w:rsid w:val="00E706F0"/>
    <w:rsid w:val="00E73B9A"/>
    <w:rsid w:val="00E75047"/>
    <w:rsid w:val="00E75420"/>
    <w:rsid w:val="00E763A5"/>
    <w:rsid w:val="00E77854"/>
    <w:rsid w:val="00E8085C"/>
    <w:rsid w:val="00E80ECE"/>
    <w:rsid w:val="00E81E16"/>
    <w:rsid w:val="00E81E2A"/>
    <w:rsid w:val="00E82804"/>
    <w:rsid w:val="00E832D2"/>
    <w:rsid w:val="00E83A55"/>
    <w:rsid w:val="00E8438E"/>
    <w:rsid w:val="00E84A6F"/>
    <w:rsid w:val="00E9464E"/>
    <w:rsid w:val="00E94BA9"/>
    <w:rsid w:val="00E959D6"/>
    <w:rsid w:val="00E96318"/>
    <w:rsid w:val="00EA0696"/>
    <w:rsid w:val="00EA1D0B"/>
    <w:rsid w:val="00EA1FD7"/>
    <w:rsid w:val="00EA2A62"/>
    <w:rsid w:val="00EA536B"/>
    <w:rsid w:val="00EA5509"/>
    <w:rsid w:val="00EA5A27"/>
    <w:rsid w:val="00EA6189"/>
    <w:rsid w:val="00EA66FB"/>
    <w:rsid w:val="00EA6A8C"/>
    <w:rsid w:val="00EB0B94"/>
    <w:rsid w:val="00EB15EA"/>
    <w:rsid w:val="00EB1DFF"/>
    <w:rsid w:val="00EB4E47"/>
    <w:rsid w:val="00EB55BC"/>
    <w:rsid w:val="00EB6B80"/>
    <w:rsid w:val="00EB71B7"/>
    <w:rsid w:val="00EC0B93"/>
    <w:rsid w:val="00EC3F33"/>
    <w:rsid w:val="00EC5B87"/>
    <w:rsid w:val="00EC63F4"/>
    <w:rsid w:val="00EC68CE"/>
    <w:rsid w:val="00EC7E37"/>
    <w:rsid w:val="00ED1B58"/>
    <w:rsid w:val="00ED534B"/>
    <w:rsid w:val="00ED696C"/>
    <w:rsid w:val="00ED6CF3"/>
    <w:rsid w:val="00ED7ABC"/>
    <w:rsid w:val="00EE01C3"/>
    <w:rsid w:val="00EE24E4"/>
    <w:rsid w:val="00EE284A"/>
    <w:rsid w:val="00EE31D2"/>
    <w:rsid w:val="00EE32C4"/>
    <w:rsid w:val="00EE330D"/>
    <w:rsid w:val="00EE3DF4"/>
    <w:rsid w:val="00EE45CE"/>
    <w:rsid w:val="00EF06C9"/>
    <w:rsid w:val="00EF4ABA"/>
    <w:rsid w:val="00EF57DF"/>
    <w:rsid w:val="00EF5BF9"/>
    <w:rsid w:val="00EF63FD"/>
    <w:rsid w:val="00EF7982"/>
    <w:rsid w:val="00EF7D69"/>
    <w:rsid w:val="00F019FE"/>
    <w:rsid w:val="00F02D7D"/>
    <w:rsid w:val="00F02F83"/>
    <w:rsid w:val="00F04A1A"/>
    <w:rsid w:val="00F06BA6"/>
    <w:rsid w:val="00F10399"/>
    <w:rsid w:val="00F121CD"/>
    <w:rsid w:val="00F123BD"/>
    <w:rsid w:val="00F144A2"/>
    <w:rsid w:val="00F15645"/>
    <w:rsid w:val="00F156CE"/>
    <w:rsid w:val="00F15B91"/>
    <w:rsid w:val="00F1600D"/>
    <w:rsid w:val="00F16627"/>
    <w:rsid w:val="00F16B25"/>
    <w:rsid w:val="00F16D14"/>
    <w:rsid w:val="00F16F68"/>
    <w:rsid w:val="00F17858"/>
    <w:rsid w:val="00F212B8"/>
    <w:rsid w:val="00F24EC8"/>
    <w:rsid w:val="00F257B8"/>
    <w:rsid w:val="00F3070C"/>
    <w:rsid w:val="00F31806"/>
    <w:rsid w:val="00F31A8D"/>
    <w:rsid w:val="00F31B28"/>
    <w:rsid w:val="00F32008"/>
    <w:rsid w:val="00F32CAB"/>
    <w:rsid w:val="00F32EAF"/>
    <w:rsid w:val="00F33B17"/>
    <w:rsid w:val="00F35C29"/>
    <w:rsid w:val="00F36C67"/>
    <w:rsid w:val="00F416FB"/>
    <w:rsid w:val="00F428CA"/>
    <w:rsid w:val="00F429E3"/>
    <w:rsid w:val="00F42C2D"/>
    <w:rsid w:val="00F43041"/>
    <w:rsid w:val="00F441E4"/>
    <w:rsid w:val="00F44972"/>
    <w:rsid w:val="00F46BB6"/>
    <w:rsid w:val="00F5007B"/>
    <w:rsid w:val="00F53E24"/>
    <w:rsid w:val="00F54907"/>
    <w:rsid w:val="00F549F1"/>
    <w:rsid w:val="00F55138"/>
    <w:rsid w:val="00F56432"/>
    <w:rsid w:val="00F573E6"/>
    <w:rsid w:val="00F61ACC"/>
    <w:rsid w:val="00F64395"/>
    <w:rsid w:val="00F65BBB"/>
    <w:rsid w:val="00F662A2"/>
    <w:rsid w:val="00F71943"/>
    <w:rsid w:val="00F72114"/>
    <w:rsid w:val="00F72284"/>
    <w:rsid w:val="00F725EA"/>
    <w:rsid w:val="00F7288C"/>
    <w:rsid w:val="00F7341C"/>
    <w:rsid w:val="00F767E1"/>
    <w:rsid w:val="00F77459"/>
    <w:rsid w:val="00F77EC6"/>
    <w:rsid w:val="00F80442"/>
    <w:rsid w:val="00F811C0"/>
    <w:rsid w:val="00F83E2E"/>
    <w:rsid w:val="00F85383"/>
    <w:rsid w:val="00F858B2"/>
    <w:rsid w:val="00F90524"/>
    <w:rsid w:val="00F943E7"/>
    <w:rsid w:val="00F9445E"/>
    <w:rsid w:val="00F946D3"/>
    <w:rsid w:val="00F94E20"/>
    <w:rsid w:val="00F96A00"/>
    <w:rsid w:val="00FA100A"/>
    <w:rsid w:val="00FA1621"/>
    <w:rsid w:val="00FA5782"/>
    <w:rsid w:val="00FA6C36"/>
    <w:rsid w:val="00FB003A"/>
    <w:rsid w:val="00FB42D6"/>
    <w:rsid w:val="00FB43AB"/>
    <w:rsid w:val="00FB4D1F"/>
    <w:rsid w:val="00FB6F25"/>
    <w:rsid w:val="00FB78BD"/>
    <w:rsid w:val="00FC0434"/>
    <w:rsid w:val="00FC2B65"/>
    <w:rsid w:val="00FC2CC1"/>
    <w:rsid w:val="00FC40FD"/>
    <w:rsid w:val="00FC415D"/>
    <w:rsid w:val="00FC4BC8"/>
    <w:rsid w:val="00FC4ED2"/>
    <w:rsid w:val="00FC52EC"/>
    <w:rsid w:val="00FC643C"/>
    <w:rsid w:val="00FC6444"/>
    <w:rsid w:val="00FD2BB1"/>
    <w:rsid w:val="00FD31D3"/>
    <w:rsid w:val="00FD376F"/>
    <w:rsid w:val="00FD4CCE"/>
    <w:rsid w:val="00FD625D"/>
    <w:rsid w:val="00FE07F6"/>
    <w:rsid w:val="00FE0C27"/>
    <w:rsid w:val="00FE10ED"/>
    <w:rsid w:val="00FE22B5"/>
    <w:rsid w:val="00FE2360"/>
    <w:rsid w:val="00FE5758"/>
    <w:rsid w:val="00FE57A5"/>
    <w:rsid w:val="00FE5AD5"/>
    <w:rsid w:val="00FE62B9"/>
    <w:rsid w:val="00FE6A8B"/>
    <w:rsid w:val="00FF098B"/>
    <w:rsid w:val="00FF161A"/>
    <w:rsid w:val="00FF23F7"/>
    <w:rsid w:val="00FF71FD"/>
    <w:rsid w:val="00FF72CD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B4245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42456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50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A73C8"/>
    <w:rPr>
      <w:color w:val="0000FF"/>
      <w:u w:val="single"/>
    </w:rPr>
  </w:style>
  <w:style w:type="paragraph" w:styleId="BalloonText">
    <w:name w:val="Balloon Text"/>
    <w:basedOn w:val="Normal"/>
    <w:semiHidden/>
    <w:rsid w:val="00F662A2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D0E7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rsid w:val="006A0F72"/>
    <w:pPr>
      <w:spacing w:line="360" w:lineRule="auto"/>
      <w:jc w:val="both"/>
    </w:pPr>
    <w:rPr>
      <w:rFonts w:ascii="Arial" w:hAnsi="Arial"/>
      <w:b/>
      <w:snapToGrid w:val="0"/>
      <w:sz w:val="22"/>
      <w:szCs w:val="20"/>
      <w:lang w:eastAsia="en-US"/>
    </w:rPr>
  </w:style>
  <w:style w:type="paragraph" w:styleId="Caption">
    <w:name w:val="caption"/>
    <w:basedOn w:val="Normal"/>
    <w:next w:val="Normal"/>
    <w:qFormat/>
    <w:rsid w:val="002E5440"/>
    <w:pPr>
      <w:spacing w:after="240" w:line="360" w:lineRule="auto"/>
      <w:ind w:left="851" w:hanging="851"/>
    </w:pPr>
    <w:rPr>
      <w:rFonts w:ascii="Arial" w:hAnsi="Arial"/>
      <w:i/>
      <w:sz w:val="22"/>
      <w:szCs w:val="22"/>
      <w:lang w:eastAsia="en-US"/>
    </w:rPr>
  </w:style>
  <w:style w:type="paragraph" w:styleId="FootnoteText">
    <w:name w:val="footnote text"/>
    <w:basedOn w:val="Normal"/>
    <w:semiHidden/>
    <w:rsid w:val="00921A58"/>
    <w:rPr>
      <w:sz w:val="20"/>
      <w:szCs w:val="20"/>
    </w:rPr>
  </w:style>
  <w:style w:type="character" w:styleId="FootnoteReference">
    <w:name w:val="footnote reference"/>
    <w:semiHidden/>
    <w:rsid w:val="00921A58"/>
    <w:rPr>
      <w:vertAlign w:val="superscript"/>
    </w:rPr>
  </w:style>
  <w:style w:type="character" w:styleId="CommentReference">
    <w:name w:val="annotation reference"/>
    <w:semiHidden/>
    <w:rsid w:val="006A52E5"/>
    <w:rPr>
      <w:sz w:val="16"/>
      <w:szCs w:val="16"/>
    </w:rPr>
  </w:style>
  <w:style w:type="paragraph" w:styleId="CommentText">
    <w:name w:val="annotation text"/>
    <w:basedOn w:val="Normal"/>
    <w:semiHidden/>
    <w:rsid w:val="006A52E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B4245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42456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50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A73C8"/>
    <w:rPr>
      <w:color w:val="0000FF"/>
      <w:u w:val="single"/>
    </w:rPr>
  </w:style>
  <w:style w:type="paragraph" w:styleId="BalloonText">
    <w:name w:val="Balloon Text"/>
    <w:basedOn w:val="Normal"/>
    <w:semiHidden/>
    <w:rsid w:val="00F662A2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D0E7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rsid w:val="006A0F72"/>
    <w:pPr>
      <w:spacing w:line="360" w:lineRule="auto"/>
      <w:jc w:val="both"/>
    </w:pPr>
    <w:rPr>
      <w:rFonts w:ascii="Arial" w:hAnsi="Arial"/>
      <w:b/>
      <w:snapToGrid w:val="0"/>
      <w:sz w:val="22"/>
      <w:szCs w:val="20"/>
      <w:lang w:eastAsia="en-US"/>
    </w:rPr>
  </w:style>
  <w:style w:type="paragraph" w:styleId="Caption">
    <w:name w:val="caption"/>
    <w:basedOn w:val="Normal"/>
    <w:next w:val="Normal"/>
    <w:qFormat/>
    <w:rsid w:val="002E5440"/>
    <w:pPr>
      <w:spacing w:after="240" w:line="360" w:lineRule="auto"/>
      <w:ind w:left="851" w:hanging="851"/>
    </w:pPr>
    <w:rPr>
      <w:rFonts w:ascii="Arial" w:hAnsi="Arial"/>
      <w:i/>
      <w:sz w:val="22"/>
      <w:szCs w:val="22"/>
      <w:lang w:eastAsia="en-US"/>
    </w:rPr>
  </w:style>
  <w:style w:type="paragraph" w:styleId="FootnoteText">
    <w:name w:val="footnote text"/>
    <w:basedOn w:val="Normal"/>
    <w:semiHidden/>
    <w:rsid w:val="00921A58"/>
    <w:rPr>
      <w:sz w:val="20"/>
      <w:szCs w:val="20"/>
    </w:rPr>
  </w:style>
  <w:style w:type="character" w:styleId="FootnoteReference">
    <w:name w:val="footnote reference"/>
    <w:semiHidden/>
    <w:rsid w:val="00921A58"/>
    <w:rPr>
      <w:vertAlign w:val="superscript"/>
    </w:rPr>
  </w:style>
  <w:style w:type="character" w:styleId="CommentReference">
    <w:name w:val="annotation reference"/>
    <w:semiHidden/>
    <w:rsid w:val="006A52E5"/>
    <w:rPr>
      <w:sz w:val="16"/>
      <w:szCs w:val="16"/>
    </w:rPr>
  </w:style>
  <w:style w:type="paragraph" w:styleId="CommentText">
    <w:name w:val="annotation text"/>
    <w:basedOn w:val="Normal"/>
    <w:semiHidden/>
    <w:rsid w:val="006A52E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904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ΑΝΑΚΟΙΝΩΣΗ</vt:lpstr>
    </vt:vector>
  </TitlesOfParts>
  <Company>Ελληνικά Χρηματιστήρια Α.Ε.</Company>
  <LinksUpToDate>false</LinksUpToDate>
  <CharactersWithSpaces>5778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ΑΝΑΚΟΙΝΩΣΗ</dc:title>
  <dc:creator>Kokolaki, Maria</dc:creator>
  <cp:lastModifiedBy>Chorianopoulou, Irini</cp:lastModifiedBy>
  <cp:revision>2</cp:revision>
  <cp:lastPrinted>2016-02-05T14:18:00Z</cp:lastPrinted>
  <dcterms:created xsi:type="dcterms:W3CDTF">2016-02-08T07:47:00Z</dcterms:created>
  <dcterms:modified xsi:type="dcterms:W3CDTF">2016-02-08T07:47:00Z</dcterms:modified>
</cp:coreProperties>
</file>