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B6708" w:rsidRPr="00C440D7" w:rsidRDefault="00CB6708" w:rsidP="00820504">
      <w:pPr>
        <w:pStyle w:val="DateNew"/>
        <w:rPr>
          <w:lang w:val="en-US"/>
        </w:rPr>
      </w:pPr>
      <w:r>
        <w:rPr>
          <w:noProof/>
          <w:lang w:eastAsia="el-GR"/>
        </w:rPr>
        <mc:AlternateContent>
          <mc:Choice Requires="wps">
            <w:drawing>
              <wp:anchor distT="0" distB="0" distL="114300" distR="114300" simplePos="0" relativeHeight="251658240" behindDoc="0" locked="0" layoutInCell="1" allowOverlap="1" wp14:anchorId="1EEBDCF8" wp14:editId="5988D063">
                <wp:simplePos x="0" y="0"/>
                <wp:positionH relativeFrom="column">
                  <wp:posOffset>3365583</wp:posOffset>
                </wp:positionH>
                <wp:positionV relativeFrom="paragraph">
                  <wp:posOffset>-516807</wp:posOffset>
                </wp:positionV>
                <wp:extent cx="2125980" cy="508884"/>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125980" cy="5088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6708" w:rsidRPr="00CB6708" w:rsidRDefault="005B3DBD" w:rsidP="00035040">
                            <w:pPr>
                              <w:pStyle w:val="Subtitle"/>
                            </w:pPr>
                            <w:r>
                              <w:rPr>
                                <w:lang w:val="en-US"/>
                              </w:rPr>
                              <w:t xml:space="preserve">Press Release </w:t>
                            </w:r>
                            <w:proofErr w:type="spellStart"/>
                            <w:r>
                              <w:rPr>
                                <w:lang w:val="en-US"/>
                              </w:rPr>
                              <w:t>Releas</w:t>
                            </w:r>
                            <w:r w:rsidR="00CB6708" w:rsidRPr="00CB6708">
                              <w:t>ελτίο</w:t>
                            </w:r>
                            <w:proofErr w:type="spellEnd"/>
                            <w:r w:rsidR="00CB6708" w:rsidRPr="00CB6708">
                              <w:t xml:space="preserve"> </w:t>
                            </w:r>
                            <w:r w:rsidR="00CB6708">
                              <w:t>Τύπου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65pt;margin-top:-40.7pt;width:167.4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" filled="f" stroked="f" strokeweight=".5pt">
                <v:textbox>
                  <w:txbxContent>
                    <w:p w:rsidR="00CB6708" w:rsidRPr="00CB6708" w:rsidRDefault="005B3DBD" w:rsidP="00035040">
                      <w:pPr>
                        <w:pStyle w:val="Subtitle"/>
                      </w:pPr>
                      <w:r>
                        <w:rPr>
                          <w:lang w:val="en-US"/>
                        </w:rPr>
                        <w:t xml:space="preserve">Press Release </w:t>
                      </w:r>
                      <w:proofErr w:type="spellStart"/>
                      <w:r>
                        <w:rPr>
                          <w:lang w:val="en-US"/>
                        </w:rPr>
                        <w:t>Releas</w:t>
                      </w:r>
                      <w:r w:rsidR="00CB6708" w:rsidRPr="00CB6708">
                        <w:t>ελτίο</w:t>
                      </w:r>
                      <w:proofErr w:type="spellEnd"/>
                      <w:r w:rsidR="00CB6708" w:rsidRPr="00CB6708">
                        <w:t xml:space="preserve"> </w:t>
                      </w:r>
                      <w:r w:rsidR="00CB6708">
                        <w:t>Τύπου</w:t>
                      </w:r>
                    </w:p>
                  </w:txbxContent>
                </v:textbox>
              </v:shape>
            </w:pict>
          </mc:Fallback>
        </mc:AlternateContent>
      </w:r>
      <w:r w:rsidR="005B3DBD">
        <w:rPr>
          <w:lang w:val="en-US"/>
        </w:rPr>
        <w:t xml:space="preserve">February </w:t>
      </w:r>
      <w:r w:rsidR="0051381C">
        <w:rPr>
          <w:lang w:val="en-US"/>
        </w:rPr>
        <w:t>9</w:t>
      </w:r>
      <w:r w:rsidR="005B3DBD">
        <w:rPr>
          <w:lang w:val="en-US"/>
        </w:rPr>
        <w:t>,</w:t>
      </w:r>
      <w:r w:rsidRPr="00C440D7">
        <w:rPr>
          <w:lang w:val="en-US"/>
        </w:rPr>
        <w:t xml:space="preserve"> </w:t>
      </w:r>
      <w:r w:rsidR="001A492B" w:rsidRPr="00C440D7">
        <w:rPr>
          <w:lang w:val="en-US"/>
        </w:rPr>
        <w:t>2016</w:t>
      </w:r>
    </w:p>
    <w:p w:rsidR="0051381C" w:rsidRPr="0051381C" w:rsidRDefault="0051381C" w:rsidP="0051381C">
      <w:pPr>
        <w:pStyle w:val="Title"/>
        <w:tabs>
          <w:tab w:val="left" w:pos="6198"/>
        </w:tabs>
        <w:rPr>
          <w:iCs/>
          <w:lang w:val="en-US"/>
        </w:rPr>
      </w:pPr>
      <w:r w:rsidRPr="0051381C">
        <w:rPr>
          <w:iCs/>
          <w:lang w:val="en-US"/>
        </w:rPr>
        <w:t>Stock Markets Steering Committee</w:t>
      </w:r>
      <w:r w:rsidRPr="0051381C">
        <w:rPr>
          <w:rFonts w:ascii="Arial" w:eastAsia="Times New Roman" w:hAnsi="Arial" w:cs="Arial"/>
          <w:b w:val="0"/>
          <w:color w:val="699DD0"/>
          <w:kern w:val="36"/>
          <w:sz w:val="27"/>
          <w:szCs w:val="27"/>
          <w:lang w:val="en-US" w:eastAsia="el-GR"/>
        </w:rPr>
        <w:t xml:space="preserve"> </w:t>
      </w:r>
      <w:r w:rsidRPr="0051381C">
        <w:rPr>
          <w:iCs/>
          <w:lang w:val="en-US"/>
        </w:rPr>
        <w:t>of Hellenic Exchanges - Athens Stock Exchange</w:t>
      </w:r>
      <w:r>
        <w:rPr>
          <w:iCs/>
          <w:lang w:val="en-US"/>
        </w:rPr>
        <w:t xml:space="preserve"> </w:t>
      </w:r>
    </w:p>
    <w:p w:rsidR="00AD55D5" w:rsidRPr="000C599C" w:rsidRDefault="00AD55D5" w:rsidP="00AD55D5">
      <w:pPr>
        <w:rPr>
          <w:iCs/>
          <w:lang w:val="en-US"/>
        </w:rPr>
      </w:pPr>
      <w:r w:rsidRPr="000C599C">
        <w:rPr>
          <w:iCs/>
        </w:rPr>
        <w:t>Τ</w:t>
      </w:r>
      <w:r w:rsidRPr="000C599C">
        <w:rPr>
          <w:iCs/>
          <w:lang w:val="en-US"/>
        </w:rPr>
        <w:t xml:space="preserve">he </w:t>
      </w:r>
      <w:r w:rsidRPr="000C599C">
        <w:rPr>
          <w:iCs/>
          <w:lang w:val="en-GB"/>
        </w:rPr>
        <w:t xml:space="preserve">Athens Exchange, following </w:t>
      </w:r>
      <w:r w:rsidRPr="000C599C">
        <w:rPr>
          <w:iCs/>
          <w:lang w:val="en-US"/>
        </w:rPr>
        <w:t xml:space="preserve">today’s session of its Stock Markets Steering Committee, approved, </w:t>
      </w:r>
    </w:p>
    <w:p w:rsidR="00AD55D5" w:rsidRPr="00D715A2" w:rsidRDefault="00AD55D5" w:rsidP="00AD55D5">
      <w:pPr>
        <w:pStyle w:val="ListParagraph"/>
        <w:numPr>
          <w:ilvl w:val="0"/>
          <w:numId w:val="6"/>
        </w:numPr>
        <w:spacing w:after="120"/>
        <w:rPr>
          <w:lang w:val="en-US"/>
        </w:rPr>
      </w:pPr>
      <w:r w:rsidRPr="00D715A2">
        <w:rPr>
          <w:lang w:val="en-US"/>
        </w:rPr>
        <w:t xml:space="preserve">The </w:t>
      </w:r>
      <w:r w:rsidRPr="006519AD">
        <w:rPr>
          <w:b/>
          <w:lang w:val="en-US"/>
        </w:rPr>
        <w:t>ex-rights trading for the</w:t>
      </w:r>
      <w:r w:rsidRPr="00D715A2">
        <w:rPr>
          <w:lang w:val="en-US"/>
        </w:rPr>
        <w:t xml:space="preserve"> </w:t>
      </w:r>
      <w:r w:rsidRPr="00D715A2">
        <w:rPr>
          <w:b/>
          <w:lang w:val="en-US"/>
        </w:rPr>
        <w:t>share capital increase through a rights issue</w:t>
      </w:r>
      <w:r w:rsidRPr="00D715A2">
        <w:rPr>
          <w:lang w:val="en-US"/>
        </w:rPr>
        <w:t xml:space="preserve"> of </w:t>
      </w:r>
      <w:r w:rsidRPr="00D715A2">
        <w:rPr>
          <w:b/>
          <w:bCs/>
          <w:iCs/>
          <w:lang w:val="en-US"/>
        </w:rPr>
        <w:t>"</w:t>
      </w:r>
      <w:hyperlink r:id="rId8" w:history="1">
        <w:r w:rsidRPr="00D715A2">
          <w:rPr>
            <w:rStyle w:val="Hyperlink"/>
            <w:b/>
            <w:bCs/>
            <w:iCs/>
            <w:lang w:val="en-US"/>
          </w:rPr>
          <w:t>TELETIPOS S.A.</w:t>
        </w:r>
      </w:hyperlink>
      <w:r w:rsidRPr="00D715A2">
        <w:rPr>
          <w:b/>
          <w:bCs/>
          <w:iCs/>
          <w:lang w:val="en-US"/>
        </w:rPr>
        <w:t xml:space="preserve">" </w:t>
      </w:r>
      <w:r w:rsidRPr="006519AD">
        <w:rPr>
          <w:iCs/>
          <w:lang w:val="en-US"/>
        </w:rPr>
        <w:t>(</w:t>
      </w:r>
      <w:r w:rsidRPr="006519AD">
        <w:rPr>
          <w:iCs/>
          <w:lang w:val="en-GB"/>
        </w:rPr>
        <w:t>ISIN</w:t>
      </w:r>
      <w:r w:rsidRPr="006519AD">
        <w:rPr>
          <w:iCs/>
          <w:lang w:val="en-US"/>
        </w:rPr>
        <w:t>: GRS212293005)</w:t>
      </w:r>
      <w:r w:rsidRPr="00D715A2">
        <w:rPr>
          <w:lang w:val="en-US"/>
        </w:rPr>
        <w:t xml:space="preserve">, realized in favor of old shareholders of the company, in terms of 1 new common registered share for every 2 old common registered shares, at an issue price of </w:t>
      </w:r>
      <w:r w:rsidRPr="006519AD">
        <w:rPr>
          <w:lang w:val="en-US"/>
        </w:rPr>
        <w:t>€ 0</w:t>
      </w:r>
      <w:r w:rsidRPr="006519AD">
        <w:rPr>
          <w:lang w:val="en-GB"/>
        </w:rPr>
        <w:t>.30</w:t>
      </w:r>
      <w:r w:rsidRPr="00D715A2">
        <w:rPr>
          <w:b/>
          <w:lang w:val="en-US"/>
        </w:rPr>
        <w:t xml:space="preserve"> </w:t>
      </w:r>
      <w:r w:rsidRPr="00D715A2">
        <w:rPr>
          <w:lang w:val="en-US"/>
        </w:rPr>
        <w:t xml:space="preserve">per share, on </w:t>
      </w:r>
      <w:r w:rsidRPr="00D715A2">
        <w:rPr>
          <w:b/>
          <w:bCs/>
          <w:lang w:val="en-US"/>
        </w:rPr>
        <w:t xml:space="preserve">Thursday, </w:t>
      </w:r>
      <w:r w:rsidRPr="00D715A2">
        <w:rPr>
          <w:b/>
          <w:iCs/>
          <w:lang w:val="en-US"/>
        </w:rPr>
        <w:t>February 11</w:t>
      </w:r>
      <w:r w:rsidRPr="00D715A2">
        <w:rPr>
          <w:b/>
          <w:iCs/>
          <w:vertAlign w:val="superscript"/>
          <w:lang w:val="en-US"/>
        </w:rPr>
        <w:t>th</w:t>
      </w:r>
      <w:r w:rsidRPr="00D715A2">
        <w:rPr>
          <w:b/>
          <w:bCs/>
          <w:lang w:val="en-US"/>
        </w:rPr>
        <w:t>, 2016.</w:t>
      </w:r>
      <w:r w:rsidRPr="00D715A2">
        <w:rPr>
          <w:lang w:val="en-US"/>
        </w:rPr>
        <w:t xml:space="preserve"> The record date for the aforementioned corporate action is</w:t>
      </w:r>
      <w:r w:rsidRPr="00D715A2">
        <w:rPr>
          <w:b/>
          <w:lang w:val="en-US"/>
        </w:rPr>
        <w:t xml:space="preserve"> </w:t>
      </w:r>
      <w:r w:rsidRPr="006519AD">
        <w:rPr>
          <w:lang w:val="en-GB"/>
        </w:rPr>
        <w:t>Frid</w:t>
      </w:r>
      <w:r w:rsidRPr="006519AD">
        <w:rPr>
          <w:lang w:val="en-US"/>
        </w:rPr>
        <w:t xml:space="preserve">ay, February </w:t>
      </w:r>
      <w:r w:rsidRPr="006519AD">
        <w:rPr>
          <w:lang w:val="en-GB"/>
        </w:rPr>
        <w:t>12</w:t>
      </w:r>
      <w:r w:rsidRPr="006519AD">
        <w:rPr>
          <w:vertAlign w:val="superscript"/>
          <w:lang w:val="en-US"/>
        </w:rPr>
        <w:t>th</w:t>
      </w:r>
      <w:r w:rsidRPr="006519AD">
        <w:rPr>
          <w:lang w:val="en-US"/>
        </w:rPr>
        <w:t>, 2016.</w:t>
      </w:r>
      <w:r w:rsidRPr="00D715A2">
        <w:rPr>
          <w:b/>
          <w:lang w:val="en-US"/>
        </w:rPr>
        <w:t xml:space="preserve"> </w:t>
      </w:r>
      <w:r w:rsidRPr="00D715A2">
        <w:rPr>
          <w:lang w:val="en-US"/>
        </w:rPr>
        <w:t xml:space="preserve">The rights' subscription period will take place between </w:t>
      </w:r>
      <w:r w:rsidRPr="006519AD">
        <w:rPr>
          <w:lang w:val="en-US"/>
        </w:rPr>
        <w:t>Tuesday, February 16</w:t>
      </w:r>
      <w:r w:rsidRPr="006519AD">
        <w:rPr>
          <w:vertAlign w:val="superscript"/>
          <w:lang w:val="en-US"/>
        </w:rPr>
        <w:t>th</w:t>
      </w:r>
      <w:r w:rsidRPr="006519AD">
        <w:rPr>
          <w:lang w:val="en-US"/>
        </w:rPr>
        <w:t>, 2016 and Tuesday, March 01</w:t>
      </w:r>
      <w:r w:rsidRPr="006519AD">
        <w:rPr>
          <w:vertAlign w:val="superscript"/>
          <w:lang w:val="en-US"/>
        </w:rPr>
        <w:t>st</w:t>
      </w:r>
      <w:r w:rsidRPr="006519AD">
        <w:rPr>
          <w:lang w:val="en-US"/>
        </w:rPr>
        <w:t>, 2016</w:t>
      </w:r>
      <w:r w:rsidRPr="00D715A2">
        <w:rPr>
          <w:lang w:val="en-US"/>
        </w:rPr>
        <w:t xml:space="preserve"> (included), while trading of </w:t>
      </w:r>
      <w:r w:rsidRPr="006519AD">
        <w:rPr>
          <w:bCs/>
          <w:iCs/>
          <w:lang w:val="en-US"/>
        </w:rPr>
        <w:t>100</w:t>
      </w:r>
      <w:r w:rsidRPr="006519AD">
        <w:rPr>
          <w:bCs/>
          <w:iCs/>
          <w:lang w:val="en-GB"/>
        </w:rPr>
        <w:t>,739</w:t>
      </w:r>
      <w:r w:rsidRPr="006519AD">
        <w:rPr>
          <w:bCs/>
          <w:iCs/>
          <w:lang w:val="en-US"/>
        </w:rPr>
        <w:t xml:space="preserve">,000 </w:t>
      </w:r>
      <w:r w:rsidRPr="006519AD">
        <w:rPr>
          <w:lang w:val="en-US"/>
        </w:rPr>
        <w:t>rights on the electronic trading system (OASIS) of ATHEX will take place between Tuesday, February 16</w:t>
      </w:r>
      <w:r w:rsidRPr="006519AD">
        <w:rPr>
          <w:vertAlign w:val="superscript"/>
          <w:lang w:val="en-US"/>
        </w:rPr>
        <w:t>th</w:t>
      </w:r>
      <w:r w:rsidRPr="006519AD">
        <w:rPr>
          <w:lang w:val="en-US"/>
        </w:rPr>
        <w:t>, 2016 and Thursday, February 25</w:t>
      </w:r>
      <w:r w:rsidRPr="006519AD">
        <w:rPr>
          <w:vertAlign w:val="superscript"/>
          <w:lang w:val="en-US"/>
        </w:rPr>
        <w:t>th</w:t>
      </w:r>
      <w:r w:rsidRPr="006519AD">
        <w:rPr>
          <w:lang w:val="en-US"/>
        </w:rPr>
        <w:t xml:space="preserve">, 2016 </w:t>
      </w:r>
      <w:r w:rsidRPr="00D715A2">
        <w:rPr>
          <w:lang w:val="en-US"/>
        </w:rPr>
        <w:t>(included).</w:t>
      </w:r>
    </w:p>
    <w:p w:rsidR="00AD55D5" w:rsidRPr="000C599C" w:rsidRDefault="00AD55D5" w:rsidP="00AD55D5">
      <w:pPr>
        <w:rPr>
          <w:lang w:val="en-US"/>
        </w:rPr>
      </w:pPr>
    </w:p>
    <w:p w:rsidR="00AD55D5" w:rsidRPr="00D715A2" w:rsidRDefault="00AD55D5" w:rsidP="00AD55D5">
      <w:pPr>
        <w:pStyle w:val="ListParagraph"/>
        <w:numPr>
          <w:ilvl w:val="0"/>
          <w:numId w:val="6"/>
        </w:numPr>
        <w:rPr>
          <w:lang w:val="en-US"/>
        </w:rPr>
      </w:pPr>
      <w:r w:rsidRPr="00D715A2">
        <w:rPr>
          <w:lang w:val="en-US"/>
        </w:rPr>
        <w:t xml:space="preserve">Commencement of trading of </w:t>
      </w:r>
      <w:r w:rsidRPr="006519AD">
        <w:rPr>
          <w:bCs/>
          <w:lang w:val="en-US"/>
        </w:rPr>
        <w:t>43,750,000</w:t>
      </w:r>
      <w:r w:rsidRPr="00D715A2">
        <w:rPr>
          <w:b/>
          <w:bCs/>
          <w:lang w:val="en-US"/>
        </w:rPr>
        <w:t xml:space="preserve"> </w:t>
      </w:r>
      <w:r w:rsidRPr="00D715A2">
        <w:rPr>
          <w:lang w:val="en-US"/>
        </w:rPr>
        <w:t xml:space="preserve">new common registered shares of </w:t>
      </w:r>
      <w:r w:rsidRPr="00D715A2">
        <w:rPr>
          <w:b/>
          <w:bCs/>
          <w:lang w:val="en-US"/>
        </w:rPr>
        <w:t>"</w:t>
      </w:r>
      <w:hyperlink r:id="rId9" w:history="1">
        <w:r w:rsidRPr="00D715A2">
          <w:rPr>
            <w:rStyle w:val="Hyperlink"/>
            <w:b/>
            <w:bCs/>
            <w:lang w:val="en-US"/>
          </w:rPr>
          <w:t>ATHENA S.A.</w:t>
        </w:r>
      </w:hyperlink>
      <w:r w:rsidRPr="00D715A2">
        <w:rPr>
          <w:b/>
          <w:bCs/>
          <w:lang w:val="en-US"/>
        </w:rPr>
        <w:t>"</w:t>
      </w:r>
      <w:r w:rsidRPr="00D715A2">
        <w:rPr>
          <w:lang w:val="en-US"/>
        </w:rPr>
        <w:t xml:space="preserve"> </w:t>
      </w:r>
      <w:r w:rsidRPr="006519AD">
        <w:rPr>
          <w:lang w:val="en-US"/>
        </w:rPr>
        <w:t>(ISIN: GRS233213008)</w:t>
      </w:r>
      <w:r w:rsidRPr="00D715A2">
        <w:rPr>
          <w:b/>
          <w:lang w:val="en-US"/>
        </w:rPr>
        <w:t xml:space="preserve"> </w:t>
      </w:r>
      <w:r w:rsidRPr="00463AFB">
        <w:rPr>
          <w:lang w:val="en-US"/>
        </w:rPr>
        <w:t xml:space="preserve">on </w:t>
      </w:r>
      <w:r w:rsidRPr="00D715A2">
        <w:rPr>
          <w:b/>
          <w:iCs/>
          <w:lang w:val="en-US"/>
        </w:rPr>
        <w:t>Monday, February 15th ,2016</w:t>
      </w:r>
      <w:r w:rsidRPr="00D715A2">
        <w:rPr>
          <w:lang w:val="en-US"/>
        </w:rPr>
        <w:t xml:space="preserve">, following the </w:t>
      </w:r>
      <w:r w:rsidRPr="00D715A2">
        <w:rPr>
          <w:b/>
          <w:bCs/>
          <w:lang w:val="en-US"/>
        </w:rPr>
        <w:t>share capital increase realized as a result of the</w:t>
      </w:r>
      <w:r w:rsidRPr="00D715A2">
        <w:rPr>
          <w:lang w:val="en-US"/>
        </w:rPr>
        <w:t xml:space="preserve"> </w:t>
      </w:r>
      <w:r w:rsidRPr="00D715A2">
        <w:rPr>
          <w:b/>
          <w:bCs/>
          <w:lang w:val="en-US"/>
        </w:rPr>
        <w:t>capitalization of liabilities</w:t>
      </w:r>
      <w:r w:rsidRPr="00D715A2">
        <w:rPr>
          <w:lang w:val="en-US"/>
        </w:rPr>
        <w:t xml:space="preserve">, waiving the old shareholders' pre-emption rights in favor of the company </w:t>
      </w:r>
      <w:r w:rsidRPr="00D715A2">
        <w:rPr>
          <w:bCs/>
          <w:lang w:val="en-US"/>
        </w:rPr>
        <w:t>"</w:t>
      </w:r>
      <w:hyperlink r:id="rId10" w:history="1">
        <w:r w:rsidRPr="00D715A2">
          <w:rPr>
            <w:rStyle w:val="Hyperlink"/>
            <w:b/>
            <w:lang w:val="en-US"/>
          </w:rPr>
          <w:t>J&amp;P AVAX S.A</w:t>
        </w:r>
      </w:hyperlink>
      <w:r w:rsidRPr="00D715A2">
        <w:rPr>
          <w:b/>
          <w:lang w:val="en-US"/>
        </w:rPr>
        <w:t>.</w:t>
      </w:r>
      <w:r w:rsidRPr="00D715A2">
        <w:rPr>
          <w:bCs/>
          <w:lang w:val="en-US"/>
        </w:rPr>
        <w:t xml:space="preserve">" </w:t>
      </w:r>
    </w:p>
    <w:p w:rsidR="00AD55D5" w:rsidRDefault="00AD55D5" w:rsidP="00AD55D5">
      <w:pPr>
        <w:rPr>
          <w:lang w:val="en-US"/>
        </w:rPr>
      </w:pPr>
    </w:p>
    <w:p w:rsidR="00AD55D5" w:rsidRPr="00D715A2" w:rsidRDefault="00AD55D5" w:rsidP="00AD55D5">
      <w:pPr>
        <w:pStyle w:val="ListParagraph"/>
        <w:numPr>
          <w:ilvl w:val="0"/>
          <w:numId w:val="5"/>
        </w:numPr>
        <w:rPr>
          <w:lang w:val="en-US"/>
        </w:rPr>
      </w:pPr>
      <w:r w:rsidRPr="00D715A2">
        <w:rPr>
          <w:iCs/>
          <w:lang w:val="en-US"/>
        </w:rPr>
        <w:t xml:space="preserve">The </w:t>
      </w:r>
      <w:r w:rsidRPr="00D715A2">
        <w:rPr>
          <w:b/>
          <w:iCs/>
          <w:lang w:val="en-US"/>
        </w:rPr>
        <w:t>acquisition of the Market Making license</w:t>
      </w:r>
      <w:r w:rsidRPr="00D715A2">
        <w:rPr>
          <w:iCs/>
          <w:lang w:val="en-US"/>
        </w:rPr>
        <w:t xml:space="preserve"> for the ATHEX Member </w:t>
      </w:r>
      <w:r w:rsidRPr="00D715A2">
        <w:rPr>
          <w:b/>
          <w:iCs/>
          <w:lang w:val="en-US"/>
        </w:rPr>
        <w:t>“</w:t>
      </w:r>
      <w:hyperlink r:id="rId11" w:history="1">
        <w:r w:rsidRPr="00D715A2">
          <w:rPr>
            <w:rStyle w:val="Hyperlink"/>
            <w:b/>
            <w:iCs/>
            <w:lang w:val="en-US"/>
          </w:rPr>
          <w:t>EUROXX SECURITIES</w:t>
        </w:r>
      </w:hyperlink>
      <w:r w:rsidRPr="00D715A2">
        <w:rPr>
          <w:b/>
          <w:iCs/>
          <w:lang w:val="en-US"/>
        </w:rPr>
        <w:t>”</w:t>
      </w:r>
      <w:r w:rsidRPr="00D715A2">
        <w:rPr>
          <w:iCs/>
          <w:lang w:val="en-US"/>
        </w:rPr>
        <w:t xml:space="preserve">, for market making on the </w:t>
      </w:r>
      <w:r w:rsidRPr="00D715A2">
        <w:rPr>
          <w:b/>
          <w:iCs/>
          <w:lang w:val="en-US"/>
        </w:rPr>
        <w:t>Stock Futures</w:t>
      </w:r>
      <w:r w:rsidRPr="00D715A2">
        <w:rPr>
          <w:iCs/>
          <w:lang w:val="en-US"/>
        </w:rPr>
        <w:t xml:space="preserve"> products of the companies “ALPHA BANK”, “HELLENIC EXCHANGES - ATHENS STOCK EXCHANGE S.A.”, “EUROBANK”, “NATIONAL BANK”, “PIRAEUS BANK”, “GEK TERNA HOLDING REAL ESTATE CONSTRUCTION S.A.”, “PUBLIC POWER CORPORATION SA”, “HELLENIC PETROLEUM S.A.”,</w:t>
      </w:r>
      <w:r w:rsidRPr="00D715A2">
        <w:rPr>
          <w:b/>
          <w:bCs/>
          <w:lang w:val="en-US"/>
        </w:rPr>
        <w:t xml:space="preserve"> </w:t>
      </w:r>
      <w:r w:rsidRPr="00D715A2">
        <w:rPr>
          <w:iCs/>
          <w:lang w:val="en-US"/>
        </w:rPr>
        <w:t xml:space="preserve">“MYTILINEOS HOLDINGS S.A.”, “GREEK ORGANISATION OF FOOTBALL PROGNOSTICS S.A.”, “HELLENIC TELECOM. ORG.”, “JUMBO S.A.” and for market making on the </w:t>
      </w:r>
      <w:r w:rsidRPr="00D715A2">
        <w:rPr>
          <w:b/>
          <w:iCs/>
          <w:lang w:val="en-US"/>
        </w:rPr>
        <w:t>Index Future</w:t>
      </w:r>
      <w:r w:rsidRPr="00D715A2">
        <w:rPr>
          <w:iCs/>
          <w:lang w:val="en-US"/>
        </w:rPr>
        <w:t xml:space="preserve"> product on FTSE/ATHEX Large Cap, and set of the start date of market making on the aforementioned derivatives products for </w:t>
      </w:r>
      <w:r w:rsidRPr="006519AD">
        <w:rPr>
          <w:b/>
          <w:iCs/>
          <w:lang w:val="en-US"/>
        </w:rPr>
        <w:t>Friday,</w:t>
      </w:r>
      <w:r w:rsidRPr="00D715A2">
        <w:rPr>
          <w:iCs/>
          <w:lang w:val="en-US"/>
        </w:rPr>
        <w:t xml:space="preserve"> </w:t>
      </w:r>
      <w:r w:rsidRPr="00D715A2">
        <w:rPr>
          <w:b/>
          <w:iCs/>
          <w:lang w:val="en-US"/>
        </w:rPr>
        <w:t>February 12</w:t>
      </w:r>
      <w:r w:rsidRPr="006519AD">
        <w:rPr>
          <w:b/>
          <w:iCs/>
          <w:vertAlign w:val="superscript"/>
          <w:lang w:val="en-US"/>
        </w:rPr>
        <w:t>th</w:t>
      </w:r>
      <w:r w:rsidRPr="00D715A2">
        <w:rPr>
          <w:b/>
          <w:iCs/>
          <w:lang w:val="en-US"/>
        </w:rPr>
        <w:t xml:space="preserve"> 2016</w:t>
      </w:r>
      <w:r w:rsidRPr="00D715A2">
        <w:rPr>
          <w:iCs/>
          <w:lang w:val="en-US"/>
        </w:rPr>
        <w:t>.</w:t>
      </w:r>
    </w:p>
    <w:p w:rsidR="001E047F" w:rsidRDefault="001E047F" w:rsidP="00035040">
      <w:pPr>
        <w:rPr>
          <w:lang w:val="en-US"/>
        </w:rPr>
      </w:pPr>
    </w:p>
    <w:p w:rsidR="001E047F" w:rsidRDefault="001E047F" w:rsidP="00035040">
      <w:pPr>
        <w:rPr>
          <w:lang w:val="en-US"/>
        </w:rPr>
      </w:pPr>
    </w:p>
    <w:p w:rsidR="001E047F" w:rsidRDefault="001E047F" w:rsidP="00035040">
      <w:pPr>
        <w:rPr>
          <w:lang w:val="en-US"/>
        </w:rPr>
      </w:pPr>
    </w:p>
    <w:p w:rsidR="001E047F" w:rsidRDefault="001E047F" w:rsidP="00035040">
      <w:pPr>
        <w:rPr>
          <w:lang w:val="en-US"/>
        </w:rPr>
      </w:pPr>
    </w:p>
    <w:p w:rsidR="002F78FB" w:rsidRDefault="002F78FB" w:rsidP="00035040">
      <w:pPr>
        <w:rPr>
          <w:lang w:val="en-US"/>
        </w:rPr>
      </w:pPr>
    </w:p>
    <w:p w:rsidR="002F78FB" w:rsidRDefault="002F78FB" w:rsidP="00035040">
      <w:pPr>
        <w:rPr>
          <w:lang w:val="en-US"/>
        </w:rPr>
      </w:pPr>
    </w:p>
    <w:p w:rsidR="001E047F" w:rsidRDefault="001E047F" w:rsidP="00035040">
      <w:pPr>
        <w:rPr>
          <w:lang w:val="en-US"/>
        </w:rPr>
      </w:pPr>
    </w:p>
    <w:p w:rsidR="001E047F" w:rsidRDefault="001E047F" w:rsidP="00035040">
      <w:pPr>
        <w:rPr>
          <w:lang w:val="en-US"/>
        </w:rPr>
      </w:pPr>
    </w:p>
    <w:p w:rsidR="001E047F" w:rsidRDefault="001E047F" w:rsidP="00035040">
      <w:pPr>
        <w:rPr>
          <w:lang w:val="en-US"/>
        </w:rPr>
      </w:pPr>
    </w:p>
    <w:p w:rsidR="002F78FB" w:rsidRDefault="002F78FB" w:rsidP="00035040">
      <w:pPr>
        <w:rPr>
          <w:lang w:val="en-US"/>
        </w:rPr>
      </w:pPr>
    </w:p>
    <w:p w:rsidR="000F3D44" w:rsidRDefault="000F3D44" w:rsidP="00035040">
      <w:pPr>
        <w:rPr>
          <w:lang w:val="en-US"/>
        </w:rPr>
      </w:pPr>
    </w:p>
    <w:p w:rsidR="000F3D44" w:rsidRDefault="000F3D44" w:rsidP="00035040">
      <w:pPr>
        <w:rPr>
          <w:lang w:val="en-US"/>
        </w:rPr>
      </w:pPr>
    </w:p>
    <w:p w:rsidR="002F78FB" w:rsidRDefault="002F78FB" w:rsidP="00035040">
      <w:pPr>
        <w:rPr>
          <w:lang w:val="en-US"/>
        </w:rPr>
      </w:pPr>
    </w:p>
    <w:p w:rsidR="00D6548A" w:rsidRPr="00C13F9F" w:rsidRDefault="004D0B91" w:rsidP="00035040">
      <w:pPr>
        <w:pStyle w:val="NormalStrong"/>
        <w:rPr>
          <w:lang w:val="en-US"/>
        </w:rPr>
      </w:pPr>
      <w:r>
        <w:rPr>
          <w:lang w:val="en-US"/>
        </w:rPr>
        <w:t>About</w:t>
      </w:r>
      <w:r w:rsidRPr="00C13F9F">
        <w:rPr>
          <w:lang w:val="en-US"/>
        </w:rPr>
        <w:t xml:space="preserve"> </w:t>
      </w:r>
      <w:r>
        <w:rPr>
          <w:lang w:val="en-US"/>
        </w:rPr>
        <w:t>Athens</w:t>
      </w:r>
      <w:r w:rsidRPr="00C13F9F">
        <w:rPr>
          <w:lang w:val="en-US"/>
        </w:rPr>
        <w:t xml:space="preserve"> </w:t>
      </w:r>
      <w:r>
        <w:rPr>
          <w:lang w:val="en-US"/>
        </w:rPr>
        <w:t>Exchange</w:t>
      </w:r>
      <w:r w:rsidRPr="00C13F9F">
        <w:rPr>
          <w:lang w:val="en-US"/>
        </w:rPr>
        <w:t xml:space="preserve"> </w:t>
      </w:r>
      <w:r>
        <w:rPr>
          <w:lang w:val="en-US"/>
        </w:rPr>
        <w:t>Group</w:t>
      </w:r>
    </w:p>
    <w:p w:rsidR="00286C6D" w:rsidRPr="00286C6D" w:rsidRDefault="00286C6D" w:rsidP="00286C6D">
      <w:pPr>
        <w:rPr>
          <w:rFonts w:ascii="Verdana" w:hAnsi="Verdana"/>
          <w:color w:val="7F7F7F"/>
          <w:sz w:val="20"/>
          <w:szCs w:val="20"/>
          <w:shd w:val="clear" w:color="auto" w:fill="FFFFFF"/>
          <w:lang w:val="en-US" w:eastAsia="zh-TW"/>
        </w:rPr>
      </w:pPr>
      <w:r w:rsidRPr="00286C6D">
        <w:rPr>
          <w:color w:val="7F7F7F"/>
          <w:sz w:val="20"/>
          <w:szCs w:val="20"/>
          <w:shd w:val="clear" w:color="auto" w:fill="FFFFFF"/>
          <w:lang w:val="en-US"/>
        </w:rPr>
        <w:t>Athens Exchange Group (ATHEX Group</w:t>
      </w:r>
      <w:proofErr w:type="gramStart"/>
      <w:r w:rsidRPr="00286C6D">
        <w:rPr>
          <w:color w:val="7F7F7F"/>
          <w:sz w:val="20"/>
          <w:szCs w:val="20"/>
          <w:shd w:val="clear" w:color="auto" w:fill="FFFFFF"/>
          <w:lang w:val="en-US"/>
        </w:rPr>
        <w:t>)</w:t>
      </w:r>
      <w:r w:rsidR="002F78FB">
        <w:rPr>
          <w:color w:val="7F7F7F"/>
          <w:sz w:val="20"/>
          <w:szCs w:val="20"/>
          <w:shd w:val="clear" w:color="auto" w:fill="FFFFFF"/>
          <w:lang w:val="en-US"/>
        </w:rPr>
        <w:t>,</w:t>
      </w:r>
      <w:proofErr w:type="gramEnd"/>
      <w:r w:rsidRPr="00286C6D">
        <w:rPr>
          <w:color w:val="7F7F7F"/>
          <w:sz w:val="20"/>
          <w:szCs w:val="20"/>
          <w:shd w:val="clear" w:color="auto" w:fill="FFFFFF"/>
          <w:lang w:val="en-US"/>
        </w:rPr>
        <w:t xml:space="preserve"> is a group of companies that provide support to the Greek Capital Market. ATHEX Group and its subsidiaries operate the organized Equities and Derivatives markets, perform clearing and settlement of trades, supply integrated software solutions and services to the Greek capital market community and promote the investment culture in Greece. ATHEX Group is a listed company in local market (symbol: HELEX).</w:t>
      </w:r>
    </w:p>
    <w:p w:rsidR="00286C6D" w:rsidRPr="00286C6D" w:rsidRDefault="00286C6D" w:rsidP="00286C6D">
      <w:pPr>
        <w:rPr>
          <w:color w:val="7F7F7F"/>
          <w:sz w:val="20"/>
          <w:szCs w:val="20"/>
          <w:shd w:val="clear" w:color="auto" w:fill="FFFFFF"/>
          <w:lang w:val="en-US"/>
        </w:rPr>
      </w:pPr>
      <w:r w:rsidRPr="00286C6D">
        <w:rPr>
          <w:color w:val="7F7F7F"/>
          <w:sz w:val="20"/>
          <w:szCs w:val="20"/>
          <w:shd w:val="clear" w:color="auto" w:fill="FFFFFF"/>
          <w:lang w:val="en-US"/>
        </w:rPr>
        <w:t>The Exchange, through its markets, offer</w:t>
      </w:r>
      <w:r>
        <w:rPr>
          <w:color w:val="7F7F7F"/>
          <w:sz w:val="20"/>
          <w:szCs w:val="20"/>
          <w:shd w:val="clear" w:color="auto" w:fill="FFFFFF"/>
          <w:lang w:val="en-US"/>
        </w:rPr>
        <w:t>s</w:t>
      </w:r>
      <w:r w:rsidRPr="00286C6D">
        <w:rPr>
          <w:color w:val="7F7F7F"/>
          <w:sz w:val="20"/>
          <w:szCs w:val="20"/>
          <w:shd w:val="clear" w:color="auto" w:fill="FFFFFF"/>
          <w:lang w:val="en-US"/>
        </w:rPr>
        <w:t xml:space="preserve"> solutions and financing tools to businesses, expands investor choice by providing a safe, stable and easy environment in </w:t>
      </w:r>
      <w:r>
        <w:rPr>
          <w:color w:val="7F7F7F"/>
          <w:sz w:val="20"/>
          <w:szCs w:val="20"/>
          <w:shd w:val="clear" w:color="auto" w:fill="FFFFFF"/>
          <w:lang w:val="en-US"/>
        </w:rPr>
        <w:t xml:space="preserve">full </w:t>
      </w:r>
      <w:r w:rsidRPr="00286C6D">
        <w:rPr>
          <w:color w:val="7F7F7F"/>
          <w:sz w:val="20"/>
          <w:szCs w:val="20"/>
          <w:shd w:val="clear" w:color="auto" w:fill="FFFFFF"/>
          <w:lang w:val="en-US"/>
        </w:rPr>
        <w:t>harmony with international practices and the European regulatory framework.</w:t>
      </w:r>
    </w:p>
    <w:p w:rsidR="00286C6D" w:rsidRPr="00286C6D" w:rsidRDefault="00286C6D" w:rsidP="00286C6D">
      <w:pPr>
        <w:rPr>
          <w:color w:val="7F7F7F"/>
          <w:sz w:val="20"/>
          <w:szCs w:val="20"/>
          <w:shd w:val="clear" w:color="auto" w:fill="FFFFFF"/>
          <w:lang w:val="en-US"/>
        </w:rPr>
      </w:pPr>
      <w:r w:rsidRPr="00286C6D">
        <w:rPr>
          <w:color w:val="7F7F7F"/>
          <w:sz w:val="20"/>
          <w:szCs w:val="20"/>
          <w:shd w:val="clear" w:color="auto" w:fill="FFFFFF"/>
          <w:lang w:val="en-US"/>
        </w:rPr>
        <w:t>Its shares are traded on the Main Market of the Athens Exchange (Symbol: E</w:t>
      </w:r>
      <w:r>
        <w:rPr>
          <w:color w:val="7F7F7F"/>
          <w:sz w:val="20"/>
          <w:szCs w:val="20"/>
          <w:shd w:val="clear" w:color="auto" w:fill="FFFFFF"/>
          <w:lang w:val="en-US"/>
        </w:rPr>
        <w:t>X</w:t>
      </w:r>
      <w:r w:rsidRPr="00286C6D">
        <w:rPr>
          <w:color w:val="7F7F7F"/>
          <w:sz w:val="20"/>
          <w:szCs w:val="20"/>
          <w:shd w:val="clear" w:color="auto" w:fill="FFFFFF"/>
          <w:lang w:val="en-US"/>
        </w:rPr>
        <w:t>AE).</w:t>
      </w:r>
    </w:p>
    <w:p w:rsidR="00286C6D" w:rsidRDefault="002F78FB" w:rsidP="00286C6D">
      <w:pPr>
        <w:rPr>
          <w:color w:val="7F7F7F"/>
          <w:sz w:val="20"/>
          <w:szCs w:val="20"/>
          <w:shd w:val="clear" w:color="auto" w:fill="FFFFFF"/>
          <w:lang w:val="en-US"/>
        </w:rPr>
      </w:pPr>
      <w:r>
        <w:rPr>
          <w:color w:val="7F7F7F"/>
          <w:sz w:val="20"/>
          <w:szCs w:val="20"/>
          <w:shd w:val="clear" w:color="auto" w:fill="FFFFFF"/>
          <w:lang w:val="en-US"/>
        </w:rPr>
        <w:t>M</w:t>
      </w:r>
      <w:r w:rsidR="00286C6D" w:rsidRPr="00286C6D">
        <w:rPr>
          <w:color w:val="7F7F7F"/>
          <w:sz w:val="20"/>
          <w:szCs w:val="20"/>
          <w:shd w:val="clear" w:color="auto" w:fill="FFFFFF"/>
          <w:lang w:val="en-US"/>
        </w:rPr>
        <w:t>ore information about the A</w:t>
      </w:r>
      <w:r w:rsidR="00286C6D">
        <w:rPr>
          <w:color w:val="7F7F7F"/>
          <w:sz w:val="20"/>
          <w:szCs w:val="20"/>
          <w:shd w:val="clear" w:color="auto" w:fill="FFFFFF"/>
          <w:lang w:val="en-US"/>
        </w:rPr>
        <w:t xml:space="preserve">thens Exchange </w:t>
      </w:r>
      <w:proofErr w:type="gramStart"/>
      <w:r w:rsidR="00286C6D" w:rsidRPr="00286C6D">
        <w:rPr>
          <w:color w:val="7F7F7F"/>
          <w:sz w:val="20"/>
          <w:szCs w:val="20"/>
          <w:shd w:val="clear" w:color="auto" w:fill="FFFFFF"/>
          <w:lang w:val="en-US"/>
        </w:rPr>
        <w:t>Group,</w:t>
      </w:r>
      <w:proofErr w:type="gramEnd"/>
      <w:r w:rsidR="00286C6D" w:rsidRPr="00286C6D">
        <w:rPr>
          <w:color w:val="7F7F7F"/>
          <w:sz w:val="20"/>
          <w:szCs w:val="20"/>
          <w:shd w:val="clear" w:color="auto" w:fill="FFFFFF"/>
          <w:lang w:val="en-US"/>
        </w:rPr>
        <w:t xml:space="preserve"> can </w:t>
      </w:r>
      <w:r>
        <w:rPr>
          <w:color w:val="7F7F7F"/>
          <w:sz w:val="20"/>
          <w:szCs w:val="20"/>
          <w:shd w:val="clear" w:color="auto" w:fill="FFFFFF"/>
          <w:lang w:val="en-US"/>
        </w:rPr>
        <w:t xml:space="preserve">be found in </w:t>
      </w:r>
      <w:r w:rsidR="00286C6D" w:rsidRPr="00286C6D">
        <w:rPr>
          <w:color w:val="7F7F7F"/>
          <w:sz w:val="20"/>
          <w:szCs w:val="20"/>
          <w:shd w:val="clear" w:color="auto" w:fill="FFFFFF"/>
          <w:lang w:val="en-US"/>
        </w:rPr>
        <w:t xml:space="preserve">the links </w:t>
      </w:r>
      <w:r>
        <w:rPr>
          <w:color w:val="7F7F7F"/>
          <w:sz w:val="20"/>
          <w:szCs w:val="20"/>
          <w:shd w:val="clear" w:color="auto" w:fill="FFFFFF"/>
          <w:lang w:val="en-US"/>
        </w:rPr>
        <w:t xml:space="preserve">provided here, </w:t>
      </w:r>
      <w:hyperlink r:id="rId12" w:history="1">
        <w:r w:rsidR="00286C6D" w:rsidRPr="00286C6D">
          <w:rPr>
            <w:rStyle w:val="Hyperlink"/>
            <w:sz w:val="20"/>
            <w:szCs w:val="20"/>
            <w:shd w:val="clear" w:color="auto" w:fill="FFFFFF"/>
            <w:lang w:val="en-US"/>
          </w:rPr>
          <w:t>website</w:t>
        </w:r>
      </w:hyperlink>
      <w:r w:rsidR="00286C6D" w:rsidRPr="00286C6D">
        <w:rPr>
          <w:color w:val="7F7F7F"/>
          <w:sz w:val="20"/>
          <w:szCs w:val="20"/>
          <w:shd w:val="clear" w:color="auto" w:fill="FFFFFF"/>
          <w:lang w:val="en-US"/>
        </w:rPr>
        <w:t xml:space="preserve">, </w:t>
      </w:r>
      <w:hyperlink r:id="rId13" w:history="1">
        <w:r w:rsidR="00286C6D" w:rsidRPr="004A2A15">
          <w:rPr>
            <w:rStyle w:val="Hyperlink"/>
            <w:sz w:val="20"/>
            <w:szCs w:val="20"/>
            <w:shd w:val="clear" w:color="auto" w:fill="FFFFFF"/>
            <w:lang w:val="en-US"/>
          </w:rPr>
          <w:t>company profile</w:t>
        </w:r>
      </w:hyperlink>
      <w:r w:rsidR="00286C6D" w:rsidRPr="00286C6D">
        <w:rPr>
          <w:color w:val="7F7F7F"/>
          <w:sz w:val="20"/>
          <w:szCs w:val="20"/>
          <w:shd w:val="clear" w:color="auto" w:fill="FFFFFF"/>
          <w:lang w:val="en-US"/>
        </w:rPr>
        <w:t xml:space="preserve"> and </w:t>
      </w:r>
      <w:hyperlink r:id="rId14" w:history="1">
        <w:r w:rsidR="00286C6D" w:rsidRPr="004A2A15">
          <w:rPr>
            <w:rStyle w:val="Hyperlink"/>
            <w:sz w:val="20"/>
            <w:szCs w:val="20"/>
            <w:shd w:val="clear" w:color="auto" w:fill="FFFFFF"/>
            <w:lang w:val="en-US"/>
          </w:rPr>
          <w:t>overview of the market</w:t>
        </w:r>
      </w:hyperlink>
      <w:r w:rsidR="00286C6D" w:rsidRPr="00286C6D">
        <w:rPr>
          <w:color w:val="7F7F7F"/>
          <w:sz w:val="20"/>
          <w:szCs w:val="20"/>
          <w:shd w:val="clear" w:color="auto" w:fill="FFFFFF"/>
          <w:lang w:val="en-US"/>
        </w:rPr>
        <w:t>.</w:t>
      </w:r>
      <w:r w:rsidR="00286C6D">
        <w:rPr>
          <w:color w:val="7F7F7F"/>
          <w:sz w:val="20"/>
          <w:szCs w:val="20"/>
          <w:shd w:val="clear" w:color="auto" w:fill="FFFFFF"/>
          <w:lang w:val="en-US"/>
        </w:rPr>
        <w:t xml:space="preserve"> </w:t>
      </w:r>
    </w:p>
    <w:p w:rsidR="00CE057F" w:rsidRPr="002F78FB" w:rsidRDefault="00CE057F" w:rsidP="00035040">
      <w:pPr>
        <w:pStyle w:val="NormalLight"/>
        <w:pBdr>
          <w:bottom w:val="single" w:sz="4" w:space="1" w:color="006EAB"/>
        </w:pBdr>
        <w:rPr>
          <w:rFonts w:cs="Calibri"/>
          <w:color w:val="404040" w:themeColor="text1" w:themeTint="BF"/>
          <w:szCs w:val="20"/>
          <w:lang w:val="en-US"/>
        </w:rPr>
      </w:pPr>
    </w:p>
    <w:p w:rsidR="00CE057F" w:rsidRPr="004A2A15" w:rsidRDefault="00CE057F" w:rsidP="00035040">
      <w:pPr>
        <w:pStyle w:val="NormalLight"/>
        <w:rPr>
          <w:lang w:val="en-US"/>
        </w:rPr>
      </w:pPr>
    </w:p>
    <w:sectPr w:rsidR="00CE057F" w:rsidRPr="004A2A15" w:rsidSect="00787BB3">
      <w:headerReference w:type="default" r:id="rId15"/>
      <w:footerReference w:type="default" r:id="rId16"/>
      <w:pgSz w:w="11906" w:h="16838"/>
      <w:pgMar w:top="2970" w:right="1736" w:bottom="1530" w:left="1800" w:header="993" w:footer="5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65E" w:rsidRDefault="002E565E" w:rsidP="00035040">
      <w:r>
        <w:separator/>
      </w:r>
    </w:p>
  </w:endnote>
  <w:endnote w:type="continuationSeparator" w:id="0">
    <w:p w:rsidR="002E565E" w:rsidRDefault="002E565E" w:rsidP="0003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4BE" w:rsidRPr="00AA5329" w:rsidRDefault="00AA5329" w:rsidP="00AA5329">
    <w:pPr>
      <w:pStyle w:val="PageNumberNew"/>
      <w:tabs>
        <w:tab w:val="clear" w:pos="8280"/>
        <w:tab w:val="right" w:pos="8370"/>
      </w:tabs>
      <w:jc w:val="left"/>
      <w:rPr>
        <w:rFonts w:asciiTheme="majorHAnsi" w:hAnsiTheme="majorHAnsi"/>
        <w:sz w:val="48"/>
        <w:szCs w:val="44"/>
        <w:lang w:val="en-US"/>
      </w:rPr>
    </w:pPr>
    <w:proofErr w:type="spellStart"/>
    <w:r w:rsidRPr="00E37984">
      <w:rPr>
        <w:sz w:val="14"/>
        <w:szCs w:val="14"/>
        <w:lang w:val="en-US"/>
      </w:rPr>
      <w:t>Athinon</w:t>
    </w:r>
    <w:proofErr w:type="spellEnd"/>
    <w:r w:rsidRPr="00E37984">
      <w:rPr>
        <w:sz w:val="14"/>
        <w:szCs w:val="14"/>
        <w:lang w:val="en-US"/>
      </w:rPr>
      <w:t xml:space="preserve"> Avenue 110, 104 42, Athens</w:t>
    </w:r>
    <w:r>
      <w:rPr>
        <w:sz w:val="14"/>
        <w:szCs w:val="14"/>
        <w:lang w:val="en-US"/>
      </w:rPr>
      <w:t xml:space="preserve">, T +30 210-3366 </w:t>
    </w:r>
    <w:proofErr w:type="gramStart"/>
    <w:r>
      <w:rPr>
        <w:sz w:val="14"/>
        <w:szCs w:val="14"/>
        <w:lang w:val="en-US"/>
      </w:rPr>
      <w:t>800  F</w:t>
    </w:r>
    <w:proofErr w:type="gramEnd"/>
    <w:r>
      <w:rPr>
        <w:sz w:val="14"/>
        <w:szCs w:val="14"/>
        <w:lang w:val="en-US"/>
      </w:rPr>
      <w:t>+30 210-3366101 www.athexgroup.gr</w:t>
    </w:r>
    <w:r w:rsidRPr="00AA5329">
      <w:rPr>
        <w:noProof/>
        <w:lang w:val="en-US" w:eastAsia="el-GR"/>
      </w:rPr>
      <w:t xml:space="preserve"> </w:t>
    </w:r>
    <w:r w:rsidR="00035040" w:rsidRPr="00AA5329">
      <w:rPr>
        <w:lang w:val="en-US"/>
      </w:rPr>
      <w:tab/>
    </w:r>
    <w:sdt>
      <w:sdtPr>
        <w:id w:val="-1109964164"/>
        <w:docPartObj>
          <w:docPartGallery w:val="Page Numbers (Margins)"/>
          <w:docPartUnique/>
        </w:docPartObj>
      </w:sdtPr>
      <w:sdtEndPr/>
      <w:sdtContent>
        <w:sdt>
          <w:sdtPr>
            <w:id w:val="-816563463"/>
            <w:docPartObj>
              <w:docPartGallery w:val="Page Numbers (Margins)"/>
              <w:docPartUnique/>
            </w:docPartObj>
          </w:sdtPr>
          <w:sdtEndPr/>
          <w:sdtContent>
            <w:r w:rsidR="001757B3" w:rsidRPr="00ED2B58">
              <w:rPr>
                <w:rFonts w:eastAsiaTheme="minorEastAsia" w:cs="Times New Roman"/>
              </w:rPr>
              <w:fldChar w:fldCharType="begin"/>
            </w:r>
            <w:r w:rsidR="001757B3" w:rsidRPr="00AA5329">
              <w:rPr>
                <w:lang w:val="en-US"/>
              </w:rPr>
              <w:instrText xml:space="preserve"> PAGE   \* MERGEFORMAT </w:instrText>
            </w:r>
            <w:r w:rsidR="001757B3" w:rsidRPr="00ED2B58">
              <w:rPr>
                <w:rFonts w:eastAsiaTheme="minorEastAsia" w:cs="Times New Roman"/>
              </w:rPr>
              <w:fldChar w:fldCharType="separate"/>
            </w:r>
            <w:r w:rsidR="00463AC5">
              <w:rPr>
                <w:noProof/>
                <w:lang w:val="en-US"/>
              </w:rPr>
              <w:t>2</w:t>
            </w:r>
            <w:r w:rsidR="001757B3" w:rsidRPr="00ED2B58">
              <w:rPr>
                <w:noProof/>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65E" w:rsidRDefault="002E565E" w:rsidP="00035040">
      <w:r>
        <w:separator/>
      </w:r>
    </w:p>
  </w:footnote>
  <w:footnote w:type="continuationSeparator" w:id="0">
    <w:p w:rsidR="002E565E" w:rsidRDefault="002E565E" w:rsidP="00035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4BE" w:rsidRDefault="005B3DBD" w:rsidP="00035040">
    <w:pPr>
      <w:pStyle w:val="Header"/>
    </w:pPr>
    <w:r>
      <w:rPr>
        <w:noProof/>
        <w:lang w:eastAsia="el-GR"/>
      </w:rPr>
      <w:drawing>
        <wp:inline distT="0" distB="0" distL="0" distR="0" wp14:anchorId="4CC346E2" wp14:editId="7A833AD8">
          <wp:extent cx="1144800" cy="106200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800" cy="1062000"/>
                  </a:xfrm>
                  <a:prstGeom prst="rect">
                    <a:avLst/>
                  </a:prstGeom>
                  <a:noFill/>
                  <a:ln>
                    <a:noFill/>
                  </a:ln>
                </pic:spPr>
              </pic:pic>
            </a:graphicData>
          </a:graphic>
        </wp:inline>
      </w:drawing>
    </w:r>
    <w:r w:rsidRPr="005B3DBD">
      <w:rPr>
        <w:noProof/>
        <w:lang w:eastAsia="el-G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6708"/>
    <w:multiLevelType w:val="hybridMultilevel"/>
    <w:tmpl w:val="C160F012"/>
    <w:lvl w:ilvl="0" w:tplc="AEDA9382">
      <w:start w:val="1"/>
      <w:numFmt w:val="bullet"/>
      <w:lvlText w:val=""/>
      <w:lvlJc w:val="left"/>
      <w:pPr>
        <w:ind w:left="720" w:hanging="360"/>
      </w:pPr>
      <w:rPr>
        <w:rFonts w:ascii="Symbol" w:hAnsi="Symbol" w:hint="default"/>
        <w:color w:val="808080" w:themeColor="background1" w:themeShade="80"/>
        <w:u w:color="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83EC9"/>
    <w:multiLevelType w:val="hybridMultilevel"/>
    <w:tmpl w:val="6EEE056C"/>
    <w:lvl w:ilvl="0" w:tplc="800CE6EE">
      <w:start w:val="1"/>
      <w:numFmt w:val="bullet"/>
      <w:pStyle w:val="BriefBullet"/>
      <w:lvlText w:val="o"/>
      <w:lvlJc w:val="left"/>
      <w:pPr>
        <w:ind w:left="720" w:hanging="360"/>
      </w:pPr>
      <w:rPr>
        <w:rFonts w:ascii="Courier New" w:hAnsi="Courier New" w:hint="default"/>
        <w:color w:val="556062"/>
        <w:u w:color="006EAB"/>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64295F"/>
    <w:multiLevelType w:val="hybridMultilevel"/>
    <w:tmpl w:val="D7EAD4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C083CF6"/>
    <w:multiLevelType w:val="hybridMultilevel"/>
    <w:tmpl w:val="658AD91C"/>
    <w:lvl w:ilvl="0" w:tplc="B0A63BBA">
      <w:start w:val="1"/>
      <w:numFmt w:val="bullet"/>
      <w:pStyle w:val="ListParagraph"/>
      <w:lvlText w:val=""/>
      <w:lvlJc w:val="left"/>
      <w:pPr>
        <w:ind w:left="720" w:hanging="360"/>
      </w:pPr>
      <w:rPr>
        <w:rFonts w:ascii="Symbol" w:hAnsi="Symbol" w:hint="default"/>
        <w:color w:val="2E74B5"/>
        <w:u w:color="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777577"/>
    <w:multiLevelType w:val="hybridMultilevel"/>
    <w:tmpl w:val="B6542F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5BB66A1"/>
    <w:multiLevelType w:val="hybridMultilevel"/>
    <w:tmpl w:val="FB32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4BE"/>
    <w:rsid w:val="0001799B"/>
    <w:rsid w:val="00027C6D"/>
    <w:rsid w:val="00035040"/>
    <w:rsid w:val="00046892"/>
    <w:rsid w:val="00051501"/>
    <w:rsid w:val="000C5940"/>
    <w:rsid w:val="000D52EF"/>
    <w:rsid w:val="000F3D44"/>
    <w:rsid w:val="00116BD1"/>
    <w:rsid w:val="00127070"/>
    <w:rsid w:val="00167F55"/>
    <w:rsid w:val="001757B3"/>
    <w:rsid w:val="00176CB9"/>
    <w:rsid w:val="00176FC1"/>
    <w:rsid w:val="001803C7"/>
    <w:rsid w:val="001922E5"/>
    <w:rsid w:val="001A492B"/>
    <w:rsid w:val="001C27DD"/>
    <w:rsid w:val="001D7A5C"/>
    <w:rsid w:val="001E047F"/>
    <w:rsid w:val="00213D9F"/>
    <w:rsid w:val="00244E4F"/>
    <w:rsid w:val="0024581F"/>
    <w:rsid w:val="002741D2"/>
    <w:rsid w:val="002761DE"/>
    <w:rsid w:val="00286C6D"/>
    <w:rsid w:val="002C6E3F"/>
    <w:rsid w:val="002E565E"/>
    <w:rsid w:val="002F16FA"/>
    <w:rsid w:val="002F78FB"/>
    <w:rsid w:val="00336963"/>
    <w:rsid w:val="00371ADF"/>
    <w:rsid w:val="003D3A7C"/>
    <w:rsid w:val="003E5065"/>
    <w:rsid w:val="003F4E95"/>
    <w:rsid w:val="00405690"/>
    <w:rsid w:val="00463AC5"/>
    <w:rsid w:val="00471EEA"/>
    <w:rsid w:val="004A2A15"/>
    <w:rsid w:val="004A6465"/>
    <w:rsid w:val="004D0B91"/>
    <w:rsid w:val="004D71F4"/>
    <w:rsid w:val="00500A2E"/>
    <w:rsid w:val="0051381C"/>
    <w:rsid w:val="005421C4"/>
    <w:rsid w:val="00585102"/>
    <w:rsid w:val="005902FD"/>
    <w:rsid w:val="005A6FCE"/>
    <w:rsid w:val="005B3DBD"/>
    <w:rsid w:val="00625430"/>
    <w:rsid w:val="007018F8"/>
    <w:rsid w:val="00761C11"/>
    <w:rsid w:val="00774E7D"/>
    <w:rsid w:val="007804B0"/>
    <w:rsid w:val="00787BB3"/>
    <w:rsid w:val="007A43DA"/>
    <w:rsid w:val="008068DE"/>
    <w:rsid w:val="00816FD9"/>
    <w:rsid w:val="00820504"/>
    <w:rsid w:val="00824429"/>
    <w:rsid w:val="00870B13"/>
    <w:rsid w:val="00887493"/>
    <w:rsid w:val="00892D52"/>
    <w:rsid w:val="008A3BE7"/>
    <w:rsid w:val="00943160"/>
    <w:rsid w:val="00954780"/>
    <w:rsid w:val="00972192"/>
    <w:rsid w:val="009C01A1"/>
    <w:rsid w:val="00A212BA"/>
    <w:rsid w:val="00A24B53"/>
    <w:rsid w:val="00A837EB"/>
    <w:rsid w:val="00AA5329"/>
    <w:rsid w:val="00AD55D5"/>
    <w:rsid w:val="00AF6F21"/>
    <w:rsid w:val="00B03981"/>
    <w:rsid w:val="00B40A17"/>
    <w:rsid w:val="00B534BE"/>
    <w:rsid w:val="00B5605E"/>
    <w:rsid w:val="00B7599D"/>
    <w:rsid w:val="00C13F9F"/>
    <w:rsid w:val="00C23B24"/>
    <w:rsid w:val="00C440D7"/>
    <w:rsid w:val="00C50D2F"/>
    <w:rsid w:val="00C71E8A"/>
    <w:rsid w:val="00CB6708"/>
    <w:rsid w:val="00CD7501"/>
    <w:rsid w:val="00CE057F"/>
    <w:rsid w:val="00CE163A"/>
    <w:rsid w:val="00CE2721"/>
    <w:rsid w:val="00D467C8"/>
    <w:rsid w:val="00D6548A"/>
    <w:rsid w:val="00D8379C"/>
    <w:rsid w:val="00DF58FB"/>
    <w:rsid w:val="00E23D98"/>
    <w:rsid w:val="00E54DF1"/>
    <w:rsid w:val="00E93C97"/>
    <w:rsid w:val="00ED15A5"/>
    <w:rsid w:val="00ED2B58"/>
    <w:rsid w:val="00ED5076"/>
    <w:rsid w:val="00F236A0"/>
    <w:rsid w:val="00F63B21"/>
    <w:rsid w:val="00FB252D"/>
    <w:rsid w:val="00FB2652"/>
    <w:rsid w:val="00FC752A"/>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040"/>
    <w:pPr>
      <w:jc w:val="both"/>
    </w:pPr>
    <w:rPr>
      <w:color w:val="58585A"/>
    </w:rPr>
  </w:style>
  <w:style w:type="paragraph" w:styleId="Heading1">
    <w:name w:val="heading 1"/>
    <w:basedOn w:val="Normal"/>
    <w:next w:val="Normal"/>
    <w:link w:val="Heading1Char"/>
    <w:uiPriority w:val="9"/>
    <w:qFormat/>
    <w:rsid w:val="00CE057F"/>
    <w:pPr>
      <w:pBdr>
        <w:bottom w:val="single" w:sz="24" w:space="1" w:color="006EAB"/>
      </w:pBd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iPriority w:val="99"/>
    <w:semiHidden/>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0504"/>
    <w:pPr>
      <w:numPr>
        <w:numId w:val="3"/>
      </w:numPr>
      <w:ind w:left="317" w:hanging="317"/>
      <w:contextualSpacing/>
    </w:pPr>
    <w:rPr>
      <w:noProof/>
    </w:rPr>
  </w:style>
  <w:style w:type="character" w:styleId="Hyperlink">
    <w:name w:val="Hyperlink"/>
    <w:basedOn w:val="DefaultParagraphFont"/>
    <w:uiPriority w:val="99"/>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F63B21"/>
    <w:pPr>
      <w:numPr>
        <w:numId w:val="4"/>
      </w:numPr>
      <w:ind w:left="360"/>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GridTableLight">
    <w:name w:val="Grid Table Light"/>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CE057F"/>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820504"/>
    <w:pPr>
      <w:spacing w:before="240"/>
      <w:jc w:val="righ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040"/>
    <w:pPr>
      <w:jc w:val="both"/>
    </w:pPr>
    <w:rPr>
      <w:color w:val="58585A"/>
    </w:rPr>
  </w:style>
  <w:style w:type="paragraph" w:styleId="Heading1">
    <w:name w:val="heading 1"/>
    <w:basedOn w:val="Normal"/>
    <w:next w:val="Normal"/>
    <w:link w:val="Heading1Char"/>
    <w:uiPriority w:val="9"/>
    <w:qFormat/>
    <w:rsid w:val="00CE057F"/>
    <w:pPr>
      <w:pBdr>
        <w:bottom w:val="single" w:sz="24" w:space="1" w:color="006EAB"/>
      </w:pBd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iPriority w:val="99"/>
    <w:semiHidden/>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0504"/>
    <w:pPr>
      <w:numPr>
        <w:numId w:val="3"/>
      </w:numPr>
      <w:ind w:left="317" w:hanging="317"/>
      <w:contextualSpacing/>
    </w:pPr>
    <w:rPr>
      <w:noProof/>
    </w:rPr>
  </w:style>
  <w:style w:type="character" w:styleId="Hyperlink">
    <w:name w:val="Hyperlink"/>
    <w:basedOn w:val="DefaultParagraphFont"/>
    <w:uiPriority w:val="99"/>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F63B21"/>
    <w:pPr>
      <w:numPr>
        <w:numId w:val="4"/>
      </w:numPr>
      <w:ind w:left="360"/>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GridTableLight">
    <w:name w:val="Grid Table Light"/>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CE057F"/>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820504"/>
    <w:pPr>
      <w:spacing w:before="240"/>
      <w:jc w:val="righ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23120">
      <w:bodyDiv w:val="1"/>
      <w:marLeft w:val="0"/>
      <w:marRight w:val="0"/>
      <w:marTop w:val="0"/>
      <w:marBottom w:val="0"/>
      <w:divBdr>
        <w:top w:val="none" w:sz="0" w:space="0" w:color="auto"/>
        <w:left w:val="none" w:sz="0" w:space="0" w:color="auto"/>
        <w:bottom w:val="none" w:sz="0" w:space="0" w:color="auto"/>
        <w:right w:val="none" w:sz="0" w:space="0" w:color="auto"/>
      </w:divBdr>
    </w:div>
    <w:div w:id="430929702">
      <w:bodyDiv w:val="1"/>
      <w:marLeft w:val="0"/>
      <w:marRight w:val="0"/>
      <w:marTop w:val="0"/>
      <w:marBottom w:val="0"/>
      <w:divBdr>
        <w:top w:val="none" w:sz="0" w:space="0" w:color="auto"/>
        <w:left w:val="none" w:sz="0" w:space="0" w:color="auto"/>
        <w:bottom w:val="none" w:sz="0" w:space="0" w:color="auto"/>
        <w:right w:val="none" w:sz="0" w:space="0" w:color="auto"/>
      </w:divBdr>
    </w:div>
    <w:div w:id="979336270">
      <w:bodyDiv w:val="1"/>
      <w:marLeft w:val="0"/>
      <w:marRight w:val="0"/>
      <w:marTop w:val="0"/>
      <w:marBottom w:val="0"/>
      <w:divBdr>
        <w:top w:val="none" w:sz="0" w:space="0" w:color="auto"/>
        <w:left w:val="none" w:sz="0" w:space="0" w:color="auto"/>
        <w:bottom w:val="none" w:sz="0" w:space="0" w:color="auto"/>
        <w:right w:val="none" w:sz="0" w:space="0" w:color="auto"/>
      </w:divBdr>
    </w:div>
    <w:div w:id="144631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lex.gr/web/guest/company-profile/-/select-company/242" TargetMode="External"/><Relationship Id="rId13" Type="http://schemas.openxmlformats.org/officeDocument/2006/relationships/hyperlink" Target="http://www.helex.gr/documents/10180/4295314/2016_02_01_Company_Profile_EN.pdf/f2a55212-f8d9-40db-b831-e24d357f872d"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elex.g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elex.gr/documents/10180/1814941/EUROXX+S.A./f71da9b0-8d17-46de-8e9f-54f83d910cf7?version=1.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elex.gr/company-profile/-/select-company/142" TargetMode="External"/><Relationship Id="rId4" Type="http://schemas.openxmlformats.org/officeDocument/2006/relationships/settings" Target="settings.xml"/><Relationship Id="rId9" Type="http://schemas.openxmlformats.org/officeDocument/2006/relationships/hyperlink" Target="http://www.helex.gr/company-profile/-/select-company/144" TargetMode="External"/><Relationship Id="rId14" Type="http://schemas.openxmlformats.org/officeDocument/2006/relationships/hyperlink" Target="http://www.helex.gr/documents/10180/2333124/2015_12_31_Market_Profile_EN.pdf/3bdff0b3-5dca-444c-840f-43bbfece831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552</Words>
  <Characters>2982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lastModifiedBy>Deligianni, Ilianna</cp:lastModifiedBy>
  <cp:revision>4</cp:revision>
  <cp:lastPrinted>2016-02-09T16:11:00Z</cp:lastPrinted>
  <dcterms:created xsi:type="dcterms:W3CDTF">2016-02-09T16:06:00Z</dcterms:created>
  <dcterms:modified xsi:type="dcterms:W3CDTF">2016-02-09T16:11:00Z</dcterms:modified>
</cp:coreProperties>
</file>