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6BF" w:rsidRPr="009A3D49" w:rsidRDefault="000E36BF" w:rsidP="000E36BF">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To</w:t>
      </w:r>
    </w:p>
    <w:p w:rsidR="000E36BF" w:rsidRPr="008A416B" w:rsidRDefault="000E36BF" w:rsidP="000E36BF">
      <w:pPr>
        <w:spacing w:before="120" w:after="120" w:line="240" w:lineRule="atLeast"/>
        <w:jc w:val="both"/>
        <w:rPr>
          <w:rFonts w:ascii="Verdana" w:hAnsi="Verdana" w:cs="Arial"/>
          <w:b/>
          <w:sz w:val="16"/>
          <w:szCs w:val="16"/>
          <w:lang w:eastAsia="el-GR"/>
        </w:rPr>
      </w:pPr>
      <w:r w:rsidRPr="008A416B">
        <w:rPr>
          <w:rFonts w:ascii="Verdana" w:hAnsi="Verdana" w:cs="Arial"/>
          <w:b/>
          <w:bCs/>
          <w:sz w:val="16"/>
          <w:szCs w:val="16"/>
          <w:lang w:eastAsia="el-GR"/>
        </w:rPr>
        <w:t>The HELLENIC EXCHANGES SA HOLDING CLEARING SETTLEMENT AND REGISTRY (HELEX)</w:t>
      </w:r>
      <w:r w:rsidRPr="008A416B">
        <w:rPr>
          <w:rFonts w:ascii="Verdana" w:hAnsi="Verdana" w:cs="Arial"/>
          <w:b/>
          <w:sz w:val="16"/>
          <w:szCs w:val="16"/>
          <w:lang w:eastAsia="el-GR"/>
        </w:rPr>
        <w:t xml:space="preserve"> </w:t>
      </w:r>
    </w:p>
    <w:p w:rsidR="000E36BF" w:rsidRPr="008A416B" w:rsidRDefault="000E36BF" w:rsidP="000E36BF">
      <w:pPr>
        <w:spacing w:before="120" w:after="120" w:line="240" w:lineRule="atLeast"/>
        <w:jc w:val="both"/>
        <w:rPr>
          <w:rFonts w:ascii="Verdana" w:hAnsi="Verdana" w:cs="Arial"/>
          <w:b/>
          <w:sz w:val="16"/>
          <w:szCs w:val="16"/>
          <w:lang w:eastAsia="el-GR"/>
        </w:rPr>
      </w:pPr>
      <w:r w:rsidRPr="008A416B">
        <w:rPr>
          <w:rFonts w:ascii="Verdana" w:hAnsi="Verdana" w:cs="Arial"/>
          <w:b/>
          <w:sz w:val="16"/>
          <w:szCs w:val="16"/>
          <w:lang w:eastAsia="el-GR"/>
        </w:rPr>
        <w:t>Member Support Division</w:t>
      </w:r>
    </w:p>
    <w:p w:rsidR="000E36BF" w:rsidRPr="009A3D49" w:rsidRDefault="000E36BF" w:rsidP="000E36BF">
      <w:pPr>
        <w:spacing w:before="120" w:after="120" w:line="240" w:lineRule="atLeast"/>
        <w:jc w:val="both"/>
        <w:rPr>
          <w:rFonts w:ascii="Verdana" w:hAnsi="Verdana" w:cs="Arial"/>
          <w:sz w:val="16"/>
          <w:szCs w:val="16"/>
          <w:lang w:eastAsia="el-GR"/>
        </w:rPr>
      </w:pPr>
      <w:smartTag w:uri="urn:schemas-microsoft-com:office:smarttags" w:element="Street">
        <w:smartTag w:uri="urn:schemas-microsoft-com:office:smarttags" w:element="address">
          <w:r w:rsidRPr="009A3D49">
            <w:rPr>
              <w:rFonts w:ascii="Verdana" w:hAnsi="Verdana" w:cs="Arial"/>
              <w:sz w:val="16"/>
              <w:szCs w:val="16"/>
              <w:lang w:eastAsia="el-GR"/>
            </w:rPr>
            <w:t>110</w:t>
          </w:r>
          <w:r>
            <w:rPr>
              <w:rFonts w:ascii="Verdana" w:hAnsi="Verdana" w:cs="Arial"/>
              <w:sz w:val="16"/>
              <w:szCs w:val="16"/>
              <w:lang w:eastAsia="el-GR"/>
            </w:rPr>
            <w:t xml:space="preserve"> Athinon Ave.</w:t>
          </w:r>
        </w:smartTag>
      </w:smartTag>
      <w:r>
        <w:rPr>
          <w:rFonts w:ascii="Verdana" w:hAnsi="Verdana" w:cs="Arial"/>
          <w:sz w:val="16"/>
          <w:szCs w:val="16"/>
          <w:lang w:eastAsia="el-GR"/>
        </w:rPr>
        <w:t>,</w:t>
      </w:r>
    </w:p>
    <w:p w:rsidR="002E3941" w:rsidRPr="009A3D49" w:rsidRDefault="000E36BF" w:rsidP="002E3941">
      <w:pPr>
        <w:spacing w:before="120" w:after="120" w:line="240" w:lineRule="atLeast"/>
        <w:jc w:val="both"/>
        <w:rPr>
          <w:rFonts w:ascii="Verdana" w:hAnsi="Verdana" w:cs="Arial"/>
          <w:i/>
          <w:sz w:val="16"/>
          <w:szCs w:val="16"/>
          <w:lang w:eastAsia="el-GR"/>
        </w:rPr>
      </w:pPr>
      <w:r w:rsidRPr="009A3D49">
        <w:rPr>
          <w:rFonts w:ascii="Verdana" w:hAnsi="Verdana" w:cs="Arial"/>
          <w:sz w:val="16"/>
          <w:szCs w:val="16"/>
          <w:lang w:eastAsia="el-GR"/>
        </w:rPr>
        <w:t>104 42</w:t>
      </w:r>
      <w:r w:rsidR="008A416B">
        <w:rPr>
          <w:rFonts w:ascii="Verdana" w:hAnsi="Verdana" w:cs="Arial"/>
          <w:sz w:val="16"/>
          <w:szCs w:val="16"/>
          <w:lang w:eastAsia="el-GR"/>
        </w:rPr>
        <w:t xml:space="preserve"> </w:t>
      </w:r>
      <w:smartTag w:uri="urn:schemas-microsoft-com:office:smarttags" w:element="City">
        <w:r w:rsidR="008A416B">
          <w:rPr>
            <w:rFonts w:ascii="Verdana" w:hAnsi="Verdana" w:cs="Arial"/>
            <w:sz w:val="16"/>
            <w:szCs w:val="16"/>
            <w:lang w:eastAsia="el-GR"/>
          </w:rPr>
          <w:t>Athens</w:t>
        </w:r>
      </w:smartTag>
      <w:r w:rsidR="008A416B">
        <w:rPr>
          <w:rFonts w:ascii="Verdana" w:hAnsi="Verdana" w:cs="Arial"/>
          <w:sz w:val="16"/>
          <w:szCs w:val="16"/>
          <w:lang w:eastAsia="el-GR"/>
        </w:rPr>
        <w:t xml:space="preserve">, </w:t>
      </w:r>
      <w:smartTag w:uri="urn:schemas-microsoft-com:office:smarttags" w:element="country-region">
        <w:smartTag w:uri="urn:schemas-microsoft-com:office:smarttags" w:element="place">
          <w:r w:rsidR="008A416B">
            <w:rPr>
              <w:rFonts w:ascii="Verdana" w:hAnsi="Verdana" w:cs="Arial"/>
              <w:sz w:val="16"/>
              <w:szCs w:val="16"/>
              <w:lang w:eastAsia="el-GR"/>
            </w:rPr>
            <w:t>Greece</w:t>
          </w:r>
        </w:smartTag>
      </w:smartTag>
      <w:r w:rsidRPr="009A3D49">
        <w:rPr>
          <w:rFonts w:ascii="Verdana" w:hAnsi="Verdana" w:cs="Arial"/>
          <w:sz w:val="16"/>
          <w:szCs w:val="16"/>
          <w:lang w:eastAsia="el-GR"/>
        </w:rPr>
        <w:t xml:space="preserve">  </w:t>
      </w:r>
    </w:p>
    <w:bookmarkStart w:id="0" w:name="Text1"/>
    <w:p w:rsidR="002E3941" w:rsidRPr="009A3D49" w:rsidRDefault="001B130E" w:rsidP="001B130E">
      <w:pPr>
        <w:spacing w:before="120" w:after="120" w:line="240" w:lineRule="atLeast"/>
        <w:jc w:val="right"/>
        <w:rPr>
          <w:rFonts w:ascii="Verdana" w:hAnsi="Verdana" w:cs="Arial"/>
          <w:sz w:val="16"/>
          <w:szCs w:val="16"/>
          <w:lang w:eastAsia="el-GR"/>
        </w:rPr>
      </w:pPr>
      <w:r>
        <w:rPr>
          <w:rFonts w:ascii="Verdana" w:hAnsi="Verdana" w:cs="Arial"/>
          <w:sz w:val="16"/>
          <w:szCs w:val="16"/>
          <w:lang w:eastAsia="el-GR"/>
        </w:rPr>
        <w:fldChar w:fldCharType="begin">
          <w:ffData>
            <w:name w:val="Text1"/>
            <w:enabled/>
            <w:calcOnExit w:val="0"/>
            <w:textInput>
              <w:default w:val="Athens, ………………."/>
            </w:textInput>
          </w:ffData>
        </w:fldChar>
      </w:r>
      <w:r>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Pr>
          <w:rFonts w:ascii="Verdana" w:hAnsi="Verdana" w:cs="Arial"/>
          <w:sz w:val="16"/>
          <w:szCs w:val="16"/>
          <w:lang w:eastAsia="el-GR"/>
        </w:rPr>
        <w:fldChar w:fldCharType="separate"/>
      </w:r>
      <w:bookmarkStart w:id="1" w:name="_GoBack"/>
      <w:r>
        <w:rPr>
          <w:rFonts w:ascii="Verdana" w:hAnsi="Verdana" w:cs="Arial"/>
          <w:noProof/>
          <w:sz w:val="16"/>
          <w:szCs w:val="16"/>
          <w:lang w:eastAsia="el-GR"/>
        </w:rPr>
        <w:t>Athens, ……………….</w:t>
      </w:r>
      <w:bookmarkEnd w:id="1"/>
      <w:r>
        <w:rPr>
          <w:rFonts w:ascii="Verdana" w:hAnsi="Verdana" w:cs="Arial"/>
          <w:sz w:val="16"/>
          <w:szCs w:val="16"/>
          <w:lang w:eastAsia="el-GR"/>
        </w:rPr>
        <w:fldChar w:fldCharType="end"/>
      </w:r>
      <w:bookmarkEnd w:id="0"/>
    </w:p>
    <w:p w:rsidR="00B03A7E" w:rsidRDefault="000E36BF" w:rsidP="002E3941">
      <w:pPr>
        <w:spacing w:before="120" w:after="120" w:line="240" w:lineRule="atLeast"/>
        <w:jc w:val="center"/>
        <w:rPr>
          <w:rFonts w:ascii="Verdana" w:hAnsi="Verdana" w:cs="Arial"/>
          <w:b/>
          <w:sz w:val="16"/>
          <w:szCs w:val="16"/>
          <w:lang w:eastAsia="el-GR"/>
        </w:rPr>
      </w:pPr>
      <w:r>
        <w:rPr>
          <w:rFonts w:ascii="Verdana" w:hAnsi="Verdana" w:cs="Arial"/>
          <w:b/>
          <w:sz w:val="16"/>
          <w:szCs w:val="16"/>
          <w:lang w:eastAsia="el-GR"/>
        </w:rPr>
        <w:t xml:space="preserve">JOINT STATEMENT OF SETTLEMENT BANK &amp; OPERATOR WITH REGARD </w:t>
      </w:r>
    </w:p>
    <w:p w:rsidR="002E3941" w:rsidRPr="009A3D49" w:rsidRDefault="000E36BF" w:rsidP="002E3941">
      <w:pPr>
        <w:spacing w:before="120" w:after="120" w:line="240" w:lineRule="atLeast"/>
        <w:jc w:val="center"/>
        <w:rPr>
          <w:rFonts w:ascii="Verdana" w:hAnsi="Verdana" w:cs="Arial"/>
          <w:b/>
          <w:sz w:val="16"/>
          <w:szCs w:val="16"/>
          <w:lang w:eastAsia="el-GR"/>
        </w:rPr>
      </w:pPr>
      <w:r>
        <w:rPr>
          <w:rFonts w:ascii="Verdana" w:hAnsi="Verdana" w:cs="Arial"/>
          <w:b/>
          <w:sz w:val="16"/>
          <w:szCs w:val="16"/>
          <w:lang w:eastAsia="el-GR"/>
        </w:rPr>
        <w:t xml:space="preserve">TO HELEX’S  </w:t>
      </w:r>
      <w:r>
        <w:rPr>
          <w:rFonts w:ascii="Verdana" w:hAnsi="Verdana" w:cs="Arial"/>
          <w:b/>
          <w:sz w:val="16"/>
          <w:szCs w:val="16"/>
          <w:lang w:val="en-US" w:eastAsia="el-GR"/>
        </w:rPr>
        <w:t xml:space="preserve">ANCILLARY SYSTEM </w:t>
      </w:r>
      <w:r w:rsidR="00A31F22">
        <w:rPr>
          <w:rFonts w:ascii="Verdana" w:hAnsi="Verdana" w:cs="Arial"/>
          <w:b/>
          <w:sz w:val="16"/>
          <w:szCs w:val="16"/>
          <w:lang w:val="en-US" w:eastAsia="el-GR"/>
        </w:rPr>
        <w:t>IN</w:t>
      </w:r>
      <w:r w:rsidR="002E3941" w:rsidRPr="009A3D49">
        <w:rPr>
          <w:rFonts w:ascii="Verdana" w:hAnsi="Verdana" w:cs="Arial"/>
          <w:b/>
          <w:sz w:val="16"/>
          <w:szCs w:val="16"/>
          <w:lang w:eastAsia="el-GR"/>
        </w:rPr>
        <w:t xml:space="preserve"> TARGET2</w:t>
      </w:r>
    </w:p>
    <w:p w:rsidR="002E3941" w:rsidRPr="009A3D49" w:rsidRDefault="002E3941" w:rsidP="002E3941">
      <w:pPr>
        <w:spacing w:before="120" w:after="120" w:line="240" w:lineRule="atLeast"/>
        <w:jc w:val="both"/>
        <w:rPr>
          <w:rFonts w:ascii="Verdana" w:hAnsi="Verdana" w:cs="Arial"/>
          <w:b/>
          <w:sz w:val="16"/>
          <w:szCs w:val="16"/>
          <w:lang w:eastAsia="el-GR"/>
        </w:rPr>
      </w:pPr>
    </w:p>
    <w:p w:rsidR="002E3941" w:rsidRPr="00880426" w:rsidRDefault="00E73531" w:rsidP="00AE3A95">
      <w:pPr>
        <w:numPr>
          <w:ilvl w:val="0"/>
          <w:numId w:val="33"/>
        </w:numPr>
        <w:spacing w:before="120" w:after="120" w:line="240" w:lineRule="atLeast"/>
        <w:jc w:val="both"/>
        <w:rPr>
          <w:rFonts w:ascii="Verdana" w:hAnsi="Verdana" w:cs="Arial"/>
          <w:sz w:val="16"/>
          <w:szCs w:val="16"/>
          <w:lang w:eastAsia="el-GR"/>
        </w:rPr>
      </w:pPr>
      <w:r w:rsidRPr="00880426">
        <w:rPr>
          <w:rFonts w:ascii="Verdana" w:hAnsi="Verdana" w:cs="Arial"/>
          <w:sz w:val="16"/>
          <w:szCs w:val="16"/>
          <w:lang w:eastAsia="el-GR"/>
        </w:rPr>
        <w:t xml:space="preserve">The legal entity under the name </w:t>
      </w:r>
      <w:bookmarkStart w:id="2" w:name="Text2"/>
      <w:r w:rsidR="001B130E">
        <w:rPr>
          <w:rFonts w:ascii="Verdana" w:hAnsi="Verdana" w:cs="Arial"/>
          <w:sz w:val="16"/>
          <w:szCs w:val="16"/>
          <w:lang w:eastAsia="el-GR"/>
        </w:rPr>
        <w:fldChar w:fldCharType="begin">
          <w:ffData>
            <w:name w:val="Text2"/>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2"/>
      <w:r w:rsidRPr="00880426">
        <w:rPr>
          <w:rFonts w:ascii="Verdana" w:hAnsi="Verdana" w:cs="Arial"/>
          <w:sz w:val="16"/>
          <w:szCs w:val="16"/>
          <w:lang w:eastAsia="el-GR"/>
        </w:rPr>
        <w:t xml:space="preserve"> having its seat in </w:t>
      </w:r>
      <w:bookmarkStart w:id="3" w:name="Text3"/>
      <w:r w:rsidR="001B130E">
        <w:rPr>
          <w:rFonts w:ascii="Verdana" w:hAnsi="Verdana" w:cs="Arial"/>
          <w:sz w:val="16"/>
          <w:szCs w:val="16"/>
          <w:lang w:eastAsia="el-GR"/>
        </w:rPr>
        <w:fldChar w:fldCharType="begin">
          <w:ffData>
            <w:name w:val="Text3"/>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3"/>
      <w:r w:rsidR="001B130E">
        <w:rPr>
          <w:rFonts w:ascii="Verdana" w:hAnsi="Verdana" w:cs="Arial"/>
          <w:sz w:val="16"/>
          <w:szCs w:val="16"/>
          <w:lang w:eastAsia="el-GR"/>
        </w:rPr>
        <w:t xml:space="preserve"> </w:t>
      </w:r>
      <w:r w:rsidRPr="00880426">
        <w:rPr>
          <w:rFonts w:ascii="Verdana" w:hAnsi="Verdana" w:cs="Arial"/>
          <w:sz w:val="16"/>
          <w:szCs w:val="16"/>
          <w:lang w:eastAsia="el-GR"/>
        </w:rPr>
        <w:t xml:space="preserve">TIN </w:t>
      </w:r>
      <w:bookmarkStart w:id="4" w:name="Text4"/>
      <w:r w:rsidR="001B130E">
        <w:rPr>
          <w:rFonts w:ascii="Verdana" w:hAnsi="Verdana" w:cs="Arial"/>
          <w:sz w:val="16"/>
          <w:szCs w:val="16"/>
          <w:lang w:eastAsia="el-GR"/>
        </w:rPr>
        <w:fldChar w:fldCharType="begin">
          <w:ffData>
            <w:name w:val="Text4"/>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4"/>
      <w:r w:rsidRPr="00880426">
        <w:rPr>
          <w:rFonts w:ascii="Verdana" w:hAnsi="Verdana" w:cs="Arial"/>
          <w:sz w:val="16"/>
          <w:szCs w:val="16"/>
          <w:lang w:eastAsia="el-GR"/>
        </w:rPr>
        <w:t xml:space="preserve"> duly represented for the signature hereof by Mr/Mrs. </w:t>
      </w:r>
      <w:bookmarkStart w:id="5" w:name="Text5"/>
      <w:r w:rsidR="001B130E">
        <w:rPr>
          <w:rFonts w:ascii="Verdana" w:hAnsi="Verdana" w:cs="Arial"/>
          <w:sz w:val="16"/>
          <w:szCs w:val="16"/>
          <w:lang w:eastAsia="el-GR"/>
        </w:rPr>
        <w:fldChar w:fldCharType="begin">
          <w:ffData>
            <w:name w:val="Text5"/>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5"/>
      <w:r w:rsidRPr="00880426">
        <w:rPr>
          <w:rFonts w:ascii="Verdana" w:hAnsi="Verdana" w:cs="Arial"/>
          <w:sz w:val="16"/>
          <w:szCs w:val="16"/>
          <w:lang w:eastAsia="el-GR"/>
        </w:rPr>
        <w:t xml:space="preserve">, having the capacity of </w:t>
      </w:r>
      <w:r w:rsidR="00D80A2B">
        <w:rPr>
          <w:rFonts w:ascii="Verdana" w:hAnsi="Verdana" w:cs="Arial"/>
          <w:sz w:val="16"/>
          <w:szCs w:val="16"/>
          <w:lang w:eastAsia="el-GR"/>
        </w:rPr>
        <w:t>Direct Member</w:t>
      </w:r>
      <w:r w:rsidR="00D80A2B" w:rsidRPr="00880426">
        <w:rPr>
          <w:rFonts w:ascii="Verdana" w:hAnsi="Verdana" w:cs="Arial"/>
          <w:sz w:val="16"/>
          <w:szCs w:val="16"/>
          <w:lang w:eastAsia="el-GR"/>
        </w:rPr>
        <w:t xml:space="preserve"> </w:t>
      </w:r>
      <w:r w:rsidRPr="00880426">
        <w:rPr>
          <w:rFonts w:ascii="Verdana" w:hAnsi="Verdana" w:cs="Arial"/>
          <w:sz w:val="16"/>
          <w:szCs w:val="16"/>
          <w:lang w:eastAsia="el-GR"/>
        </w:rPr>
        <w:t>in TARGET2 and acting as Settlement Bank</w:t>
      </w:r>
      <w:r w:rsidR="00880426">
        <w:rPr>
          <w:rFonts w:ascii="Verdana" w:hAnsi="Verdana" w:cs="Arial"/>
          <w:sz w:val="16"/>
          <w:szCs w:val="16"/>
          <w:lang w:eastAsia="el-GR"/>
        </w:rPr>
        <w:t xml:space="preserve"> for HELEX’s Ancillary System</w:t>
      </w:r>
      <w:r w:rsidRPr="00880426">
        <w:rPr>
          <w:rFonts w:ascii="Verdana" w:hAnsi="Verdana" w:cs="Arial"/>
          <w:sz w:val="16"/>
          <w:szCs w:val="16"/>
          <w:lang w:eastAsia="el-GR"/>
        </w:rPr>
        <w:t xml:space="preserve"> (hereinafter referred to as the </w:t>
      </w:r>
      <w:r w:rsidR="006B5F90">
        <w:rPr>
          <w:rFonts w:ascii="Verdana" w:hAnsi="Verdana" w:cs="Arial"/>
          <w:sz w:val="16"/>
          <w:szCs w:val="16"/>
          <w:lang w:eastAsia="el-GR"/>
        </w:rPr>
        <w:t>“</w:t>
      </w:r>
      <w:r w:rsidRPr="00880426">
        <w:rPr>
          <w:rFonts w:ascii="Verdana" w:hAnsi="Verdana" w:cs="Arial"/>
          <w:sz w:val="16"/>
          <w:szCs w:val="16"/>
          <w:lang w:eastAsia="el-GR"/>
        </w:rPr>
        <w:t>Settlement Bank</w:t>
      </w:r>
      <w:r w:rsidR="006B5F90">
        <w:rPr>
          <w:rFonts w:ascii="Verdana" w:hAnsi="Verdana" w:cs="Arial"/>
          <w:sz w:val="16"/>
          <w:szCs w:val="16"/>
          <w:lang w:eastAsia="el-GR"/>
        </w:rPr>
        <w:t>”</w:t>
      </w:r>
      <w:r w:rsidRPr="00880426">
        <w:rPr>
          <w:rFonts w:ascii="Verdana" w:hAnsi="Verdana" w:cs="Arial"/>
          <w:sz w:val="16"/>
          <w:szCs w:val="16"/>
          <w:lang w:eastAsia="el-GR"/>
        </w:rPr>
        <w:t>)</w:t>
      </w:r>
      <w:r w:rsidR="002E3941" w:rsidRPr="00880426">
        <w:rPr>
          <w:rFonts w:ascii="Verdana" w:hAnsi="Verdana" w:cs="Arial"/>
          <w:sz w:val="16"/>
          <w:szCs w:val="16"/>
          <w:lang w:eastAsia="el-GR"/>
        </w:rPr>
        <w:t xml:space="preserve"> </w:t>
      </w:r>
      <w:r w:rsidR="006B5F90">
        <w:rPr>
          <w:rFonts w:ascii="Verdana" w:hAnsi="Verdana" w:cs="Arial"/>
          <w:sz w:val="16"/>
          <w:szCs w:val="16"/>
          <w:lang w:eastAsia="el-GR"/>
        </w:rPr>
        <w:t xml:space="preserve">by virtue of statement dated </w:t>
      </w:r>
      <w:bookmarkStart w:id="6" w:name="Text6"/>
      <w:r w:rsidR="001B130E">
        <w:rPr>
          <w:rFonts w:ascii="Verdana" w:hAnsi="Verdana" w:cs="Arial"/>
          <w:sz w:val="16"/>
          <w:szCs w:val="16"/>
          <w:lang w:eastAsia="el-GR"/>
        </w:rPr>
        <w:fldChar w:fldCharType="begin">
          <w:ffData>
            <w:name w:val="Text6"/>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6"/>
      <w:r w:rsidR="002E3941" w:rsidRPr="00880426">
        <w:rPr>
          <w:rFonts w:ascii="Verdana" w:hAnsi="Verdana" w:cs="Arial"/>
          <w:sz w:val="16"/>
          <w:szCs w:val="16"/>
          <w:lang w:eastAsia="el-GR"/>
        </w:rPr>
        <w:t xml:space="preserve"> </w:t>
      </w:r>
      <w:r w:rsidR="006B5F90">
        <w:rPr>
          <w:rFonts w:ascii="Verdana" w:hAnsi="Verdana" w:cs="Arial"/>
          <w:sz w:val="16"/>
          <w:szCs w:val="16"/>
          <w:lang w:eastAsia="el-GR"/>
        </w:rPr>
        <w:t>“</w:t>
      </w:r>
      <w:r w:rsidR="002E3941" w:rsidRPr="00880426">
        <w:rPr>
          <w:rFonts w:ascii="Verdana" w:hAnsi="Verdana" w:cs="Arial"/>
          <w:sz w:val="16"/>
          <w:szCs w:val="16"/>
          <w:lang w:eastAsia="el-GR"/>
        </w:rPr>
        <w:t>TARGET2 form of collection of Static Data - De</w:t>
      </w:r>
      <w:r w:rsidR="006B5F90">
        <w:rPr>
          <w:rFonts w:ascii="Verdana" w:hAnsi="Verdana" w:cs="Arial"/>
          <w:sz w:val="16"/>
          <w:szCs w:val="16"/>
          <w:lang w:eastAsia="el-GR"/>
        </w:rPr>
        <w:t>bit mandate for AS settlement –“</w:t>
      </w:r>
      <w:r w:rsidR="002E3941" w:rsidRPr="00880426">
        <w:rPr>
          <w:rFonts w:ascii="Verdana" w:hAnsi="Verdana" w:cs="Arial"/>
          <w:sz w:val="16"/>
          <w:szCs w:val="16"/>
          <w:lang w:eastAsia="el-GR"/>
        </w:rPr>
        <w:t xml:space="preserve"> (</w:t>
      </w:r>
      <w:r w:rsidR="006B5F90">
        <w:rPr>
          <w:rFonts w:ascii="Verdana" w:hAnsi="Verdana" w:cs="Arial"/>
          <w:sz w:val="16"/>
          <w:szCs w:val="16"/>
          <w:lang w:eastAsia="el-GR"/>
        </w:rPr>
        <w:t>Form</w:t>
      </w:r>
      <w:r w:rsidR="002E3941" w:rsidRPr="00880426">
        <w:rPr>
          <w:rFonts w:ascii="Verdana" w:hAnsi="Verdana" w:cs="Arial"/>
          <w:sz w:val="16"/>
          <w:szCs w:val="16"/>
          <w:lang w:eastAsia="el-GR"/>
        </w:rPr>
        <w:t xml:space="preserve"> 2002) </w:t>
      </w:r>
      <w:r w:rsidR="006B5F90">
        <w:rPr>
          <w:rFonts w:ascii="Verdana" w:hAnsi="Verdana" w:cs="Arial"/>
          <w:sz w:val="16"/>
          <w:szCs w:val="16"/>
          <w:lang w:eastAsia="el-GR"/>
        </w:rPr>
        <w:t>and statement dated</w:t>
      </w:r>
      <w:r w:rsidR="002E3941" w:rsidRPr="00880426">
        <w:rPr>
          <w:rFonts w:ascii="Verdana" w:hAnsi="Verdana" w:cs="Arial"/>
          <w:sz w:val="16"/>
          <w:szCs w:val="16"/>
          <w:lang w:eastAsia="el-GR"/>
        </w:rPr>
        <w:t xml:space="preserve">  </w:t>
      </w:r>
      <w:bookmarkStart w:id="7" w:name="Text7"/>
      <w:r w:rsidR="001B130E">
        <w:rPr>
          <w:rFonts w:ascii="Verdana" w:hAnsi="Verdana" w:cs="Arial"/>
          <w:sz w:val="16"/>
          <w:szCs w:val="16"/>
          <w:lang w:eastAsia="el-GR"/>
        </w:rPr>
        <w:fldChar w:fldCharType="begin">
          <w:ffData>
            <w:name w:val="Text7"/>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7"/>
      <w:r w:rsidR="002E3941" w:rsidRPr="00880426">
        <w:rPr>
          <w:rFonts w:ascii="Verdana" w:hAnsi="Verdana" w:cs="Arial"/>
          <w:sz w:val="16"/>
          <w:szCs w:val="16"/>
          <w:lang w:eastAsia="el-GR"/>
        </w:rPr>
        <w:t xml:space="preserve"> </w:t>
      </w:r>
      <w:r w:rsidR="006B5F90">
        <w:rPr>
          <w:rFonts w:ascii="Verdana" w:hAnsi="Verdana" w:cs="Arial"/>
          <w:sz w:val="16"/>
          <w:szCs w:val="16"/>
          <w:lang w:eastAsia="el-GR"/>
        </w:rPr>
        <w:t xml:space="preserve">“STATEMENT &amp; SPECIAL TERMS FOR THE PROVISION OF SETTLEMENT BANK SERVICES TO HELEX’S ANCILLARY SYSTEM </w:t>
      </w:r>
      <w:r w:rsidR="00687C1C">
        <w:rPr>
          <w:rFonts w:ascii="Verdana" w:hAnsi="Verdana" w:cs="Arial"/>
          <w:sz w:val="16"/>
          <w:szCs w:val="16"/>
          <w:lang w:eastAsia="el-GR"/>
        </w:rPr>
        <w:t>IN</w:t>
      </w:r>
      <w:r w:rsidR="006B5F90">
        <w:rPr>
          <w:rFonts w:ascii="Verdana" w:hAnsi="Verdana" w:cs="Arial"/>
          <w:sz w:val="16"/>
          <w:szCs w:val="16"/>
          <w:lang w:eastAsia="el-GR"/>
        </w:rPr>
        <w:t xml:space="preserve"> TARGET2”</w:t>
      </w:r>
      <w:r w:rsidR="002E3941" w:rsidRPr="00880426">
        <w:rPr>
          <w:rFonts w:ascii="Verdana" w:hAnsi="Verdana" w:cs="Arial"/>
          <w:sz w:val="16"/>
          <w:szCs w:val="16"/>
          <w:lang w:eastAsia="el-GR"/>
        </w:rPr>
        <w:t xml:space="preserve"> </w:t>
      </w:r>
      <w:r w:rsidR="006B5F90">
        <w:rPr>
          <w:rFonts w:ascii="Verdana" w:hAnsi="Verdana" w:cs="Arial"/>
          <w:sz w:val="16"/>
          <w:szCs w:val="16"/>
          <w:lang w:eastAsia="el-GR"/>
        </w:rPr>
        <w:t>to HELEX</w:t>
      </w:r>
      <w:r w:rsidR="002E3941" w:rsidRPr="00880426">
        <w:rPr>
          <w:rFonts w:ascii="Verdana" w:hAnsi="Verdana" w:cs="Arial"/>
          <w:sz w:val="16"/>
          <w:szCs w:val="16"/>
          <w:lang w:eastAsia="el-GR"/>
        </w:rPr>
        <w:t xml:space="preserve">.  </w:t>
      </w:r>
    </w:p>
    <w:p w:rsidR="002E3941" w:rsidRPr="002441AF" w:rsidRDefault="002441AF" w:rsidP="002441AF">
      <w:pPr>
        <w:numPr>
          <w:ilvl w:val="0"/>
          <w:numId w:val="33"/>
        </w:numPr>
        <w:spacing w:before="120" w:after="120" w:line="240" w:lineRule="atLeast"/>
        <w:jc w:val="both"/>
        <w:rPr>
          <w:rFonts w:ascii="Verdana" w:hAnsi="Verdana" w:cs="Arial"/>
          <w:sz w:val="16"/>
          <w:szCs w:val="16"/>
          <w:lang w:eastAsia="el-GR"/>
        </w:rPr>
      </w:pPr>
      <w:r w:rsidRPr="00880426">
        <w:rPr>
          <w:rFonts w:ascii="Verdana" w:hAnsi="Verdana" w:cs="Arial"/>
          <w:sz w:val="16"/>
          <w:szCs w:val="16"/>
          <w:lang w:eastAsia="el-GR"/>
        </w:rPr>
        <w:t xml:space="preserve">The legal entity under the name </w:t>
      </w:r>
      <w:bookmarkStart w:id="8" w:name="Text8"/>
      <w:r w:rsidR="001B130E">
        <w:rPr>
          <w:rFonts w:ascii="Verdana" w:hAnsi="Verdana" w:cs="Arial"/>
          <w:sz w:val="16"/>
          <w:szCs w:val="16"/>
          <w:lang w:eastAsia="el-GR"/>
        </w:rPr>
        <w:fldChar w:fldCharType="begin">
          <w:ffData>
            <w:name w:val="Text8"/>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8"/>
      <w:r w:rsidRPr="00880426">
        <w:rPr>
          <w:rFonts w:ascii="Verdana" w:hAnsi="Verdana" w:cs="Arial"/>
          <w:sz w:val="16"/>
          <w:szCs w:val="16"/>
          <w:lang w:eastAsia="el-GR"/>
        </w:rPr>
        <w:t xml:space="preserve"> having its seat in </w:t>
      </w:r>
      <w:bookmarkStart w:id="9" w:name="Text9"/>
      <w:r w:rsidR="001B130E">
        <w:rPr>
          <w:rFonts w:ascii="Verdana" w:hAnsi="Verdana" w:cs="Arial"/>
          <w:sz w:val="16"/>
          <w:szCs w:val="16"/>
          <w:lang w:eastAsia="el-GR"/>
        </w:rPr>
        <w:fldChar w:fldCharType="begin">
          <w:ffData>
            <w:name w:val="Text9"/>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9"/>
      <w:r w:rsidRPr="00880426">
        <w:rPr>
          <w:rFonts w:ascii="Verdana" w:hAnsi="Verdana" w:cs="Arial"/>
          <w:sz w:val="16"/>
          <w:szCs w:val="16"/>
          <w:lang w:eastAsia="el-GR"/>
        </w:rPr>
        <w:t xml:space="preserve"> TIN </w:t>
      </w:r>
      <w:bookmarkStart w:id="10" w:name="Text10"/>
      <w:r w:rsidR="001B130E">
        <w:rPr>
          <w:rFonts w:ascii="Verdana" w:hAnsi="Verdana" w:cs="Arial"/>
          <w:sz w:val="16"/>
          <w:szCs w:val="16"/>
          <w:lang w:eastAsia="el-GR"/>
        </w:rPr>
        <w:fldChar w:fldCharType="begin">
          <w:ffData>
            <w:name w:val="Text10"/>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10"/>
      <w:r w:rsidRPr="00880426">
        <w:rPr>
          <w:rFonts w:ascii="Verdana" w:hAnsi="Verdana" w:cs="Arial"/>
          <w:sz w:val="16"/>
          <w:szCs w:val="16"/>
          <w:lang w:eastAsia="el-GR"/>
        </w:rPr>
        <w:t xml:space="preserve">duly represented for the signature hereof by Mr/Mrs. </w:t>
      </w:r>
      <w:bookmarkStart w:id="11" w:name="Text11"/>
      <w:r w:rsidR="001B130E">
        <w:rPr>
          <w:rFonts w:ascii="Verdana" w:hAnsi="Verdana" w:cs="Arial"/>
          <w:sz w:val="16"/>
          <w:szCs w:val="16"/>
          <w:lang w:eastAsia="el-GR"/>
        </w:rPr>
        <w:fldChar w:fldCharType="begin">
          <w:ffData>
            <w:name w:val="Text11"/>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11"/>
      <w:r w:rsidRPr="00880426">
        <w:rPr>
          <w:rFonts w:ascii="Verdana" w:hAnsi="Verdana" w:cs="Arial"/>
          <w:sz w:val="16"/>
          <w:szCs w:val="16"/>
          <w:lang w:eastAsia="el-GR"/>
        </w:rPr>
        <w:t xml:space="preserve">, </w:t>
      </w:r>
      <w:r>
        <w:rPr>
          <w:rFonts w:ascii="Verdana" w:hAnsi="Verdana" w:cs="Arial"/>
          <w:sz w:val="16"/>
          <w:szCs w:val="16"/>
          <w:lang w:eastAsia="el-GR"/>
        </w:rPr>
        <w:t>having the capacity of DSS Operator with code</w:t>
      </w:r>
      <w:r w:rsidR="002E3941" w:rsidRPr="009A3D49">
        <w:rPr>
          <w:rFonts w:ascii="Verdana" w:hAnsi="Verdana" w:cs="Arial"/>
          <w:sz w:val="16"/>
          <w:szCs w:val="16"/>
          <w:lang w:eastAsia="el-GR"/>
        </w:rPr>
        <w:t xml:space="preserve"> </w:t>
      </w:r>
      <w:bookmarkStart w:id="12" w:name="Text12"/>
      <w:r w:rsidR="001B130E">
        <w:rPr>
          <w:rFonts w:ascii="Verdana" w:hAnsi="Verdana" w:cs="Arial"/>
          <w:sz w:val="16"/>
          <w:szCs w:val="16"/>
          <w:lang w:eastAsia="el-GR"/>
        </w:rPr>
        <w:fldChar w:fldCharType="begin">
          <w:ffData>
            <w:name w:val="Text12"/>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12"/>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according to the terms of decision </w:t>
      </w:r>
      <w:r w:rsidR="002E3941" w:rsidRPr="009A3D49">
        <w:rPr>
          <w:rFonts w:ascii="Verdana" w:hAnsi="Verdana" w:cs="Arial"/>
          <w:sz w:val="16"/>
          <w:szCs w:val="16"/>
          <w:lang w:eastAsia="el-GR"/>
        </w:rPr>
        <w:t xml:space="preserve">3/304/10.6.2004 </w:t>
      </w:r>
      <w:r>
        <w:rPr>
          <w:rFonts w:ascii="Verdana" w:hAnsi="Verdana" w:cs="Arial"/>
          <w:sz w:val="16"/>
          <w:szCs w:val="16"/>
          <w:lang w:eastAsia="el-GR"/>
        </w:rPr>
        <w:t>of the Board of Directors of the Capital Market Commission “Dematerialised Securities System Operation</w:t>
      </w:r>
      <w:r w:rsidRPr="002441AF">
        <w:rPr>
          <w:rFonts w:ascii="Verdana" w:hAnsi="Verdana" w:cs="Arial"/>
          <w:sz w:val="16"/>
          <w:szCs w:val="16"/>
          <w:lang w:eastAsia="el-GR"/>
        </w:rPr>
        <w:t xml:space="preserve"> Regulation” </w:t>
      </w:r>
      <w:r w:rsidR="002E3941" w:rsidRPr="002441AF">
        <w:rPr>
          <w:rFonts w:ascii="Verdana" w:hAnsi="Verdana" w:cs="Arial"/>
          <w:sz w:val="16"/>
          <w:szCs w:val="16"/>
          <w:lang w:eastAsia="el-GR"/>
        </w:rPr>
        <w:t>(</w:t>
      </w:r>
      <w:r>
        <w:rPr>
          <w:rFonts w:ascii="Verdana" w:hAnsi="Verdana" w:cs="Arial"/>
          <w:sz w:val="16"/>
          <w:szCs w:val="16"/>
          <w:lang w:eastAsia="el-GR"/>
        </w:rPr>
        <w:t>Government Gazette</w:t>
      </w:r>
      <w:r w:rsidR="002E3941" w:rsidRPr="002441AF">
        <w:rPr>
          <w:rFonts w:ascii="Verdana" w:hAnsi="Verdana" w:cs="Arial"/>
          <w:sz w:val="16"/>
          <w:szCs w:val="16"/>
          <w:lang w:eastAsia="el-GR"/>
        </w:rPr>
        <w:t xml:space="preserve"> Β/901/16.6.2004), </w:t>
      </w:r>
      <w:r>
        <w:rPr>
          <w:rFonts w:ascii="Verdana" w:hAnsi="Verdana" w:cs="Arial"/>
          <w:sz w:val="16"/>
          <w:szCs w:val="16"/>
          <w:lang w:eastAsia="el-GR"/>
        </w:rPr>
        <w:t xml:space="preserve">as such was amended by virtue of decision </w:t>
      </w:r>
      <w:r w:rsidR="001B130E" w:rsidRPr="001B130E">
        <w:rPr>
          <w:rFonts w:ascii="Verdana" w:hAnsi="Verdana" w:cs="Arial"/>
          <w:sz w:val="16"/>
          <w:szCs w:val="16"/>
          <w:lang w:eastAsia="el-GR"/>
        </w:rPr>
        <w:t xml:space="preserve">20/611/28.2.2012 </w:t>
      </w:r>
      <w:r>
        <w:rPr>
          <w:rFonts w:ascii="Verdana" w:hAnsi="Verdana" w:cs="Arial"/>
          <w:sz w:val="16"/>
          <w:szCs w:val="16"/>
          <w:lang w:eastAsia="el-GR"/>
        </w:rPr>
        <w:t xml:space="preserve">of the Board of Directors of the Capital Market Commission “Amendment </w:t>
      </w:r>
      <w:r w:rsidR="001B130E">
        <w:rPr>
          <w:rFonts w:ascii="Verdana" w:hAnsi="Verdana" w:cs="Arial"/>
          <w:sz w:val="16"/>
          <w:szCs w:val="16"/>
          <w:lang w:eastAsia="el-GR"/>
        </w:rPr>
        <w:t xml:space="preserve">of decision </w:t>
      </w:r>
      <w:r w:rsidR="001B130E" w:rsidRPr="009A3D49">
        <w:rPr>
          <w:rFonts w:ascii="Verdana" w:hAnsi="Verdana" w:cs="Arial"/>
          <w:sz w:val="16"/>
          <w:szCs w:val="16"/>
          <w:lang w:eastAsia="el-GR"/>
        </w:rPr>
        <w:t xml:space="preserve">3/304/10.6.2004 </w:t>
      </w:r>
      <w:r w:rsidR="001B130E">
        <w:rPr>
          <w:rFonts w:ascii="Verdana" w:hAnsi="Verdana" w:cs="Arial"/>
          <w:sz w:val="16"/>
          <w:szCs w:val="16"/>
          <w:lang w:eastAsia="el-GR"/>
        </w:rPr>
        <w:t>of the Board of Directors of the Capital Market Commission “Dematerialised Securities System Operation</w:t>
      </w:r>
      <w:r w:rsidR="001B130E" w:rsidRPr="002441AF">
        <w:rPr>
          <w:rFonts w:ascii="Verdana" w:hAnsi="Verdana" w:cs="Arial"/>
          <w:sz w:val="16"/>
          <w:szCs w:val="16"/>
          <w:lang w:eastAsia="el-GR"/>
        </w:rPr>
        <w:t xml:space="preserve"> Regulation” (</w:t>
      </w:r>
      <w:r w:rsidR="001B130E">
        <w:rPr>
          <w:rFonts w:ascii="Verdana" w:hAnsi="Verdana" w:cs="Arial"/>
          <w:sz w:val="16"/>
          <w:szCs w:val="16"/>
          <w:lang w:eastAsia="el-GR"/>
        </w:rPr>
        <w:t>Government Gazette</w:t>
      </w:r>
      <w:r w:rsidR="001B130E" w:rsidRPr="002441AF">
        <w:rPr>
          <w:rFonts w:ascii="Verdana" w:hAnsi="Verdana" w:cs="Arial"/>
          <w:sz w:val="16"/>
          <w:szCs w:val="16"/>
          <w:lang w:eastAsia="el-GR"/>
        </w:rPr>
        <w:t xml:space="preserve"> Β/901/16.6.2004)</w:t>
      </w:r>
      <w:r>
        <w:rPr>
          <w:rFonts w:ascii="Verdana" w:hAnsi="Verdana" w:cs="Arial"/>
          <w:sz w:val="16"/>
          <w:szCs w:val="16"/>
          <w:lang w:eastAsia="el-GR"/>
        </w:rPr>
        <w:t>”</w:t>
      </w:r>
      <w:r w:rsidR="002E3941" w:rsidRPr="002441AF">
        <w:rPr>
          <w:rFonts w:ascii="Verdana" w:hAnsi="Verdana" w:cs="Arial"/>
          <w:sz w:val="16"/>
          <w:szCs w:val="16"/>
          <w:lang w:eastAsia="el-GR"/>
        </w:rPr>
        <w:t xml:space="preserve"> (</w:t>
      </w:r>
      <w:r>
        <w:rPr>
          <w:rFonts w:ascii="Verdana" w:hAnsi="Verdana" w:cs="Arial"/>
          <w:sz w:val="16"/>
          <w:szCs w:val="16"/>
          <w:lang w:eastAsia="el-GR"/>
        </w:rPr>
        <w:t>hereinafter referred to as the “DSS Regulation”</w:t>
      </w:r>
      <w:r w:rsidR="002E3941" w:rsidRPr="002441AF">
        <w:rPr>
          <w:rFonts w:ascii="Verdana" w:hAnsi="Verdana" w:cs="Arial"/>
          <w:sz w:val="16"/>
          <w:szCs w:val="16"/>
          <w:lang w:eastAsia="el-GR"/>
        </w:rPr>
        <w:t xml:space="preserve">) </w:t>
      </w:r>
    </w:p>
    <w:p w:rsidR="002E3941" w:rsidRPr="009A3D49" w:rsidRDefault="002441AF" w:rsidP="002E3941">
      <w:pPr>
        <w:spacing w:before="120" w:after="120" w:line="240" w:lineRule="atLeast"/>
        <w:rPr>
          <w:rFonts w:ascii="Verdana" w:hAnsi="Verdana" w:cs="Arial"/>
          <w:b/>
          <w:sz w:val="16"/>
          <w:szCs w:val="16"/>
          <w:lang w:eastAsia="el-GR"/>
        </w:rPr>
      </w:pPr>
      <w:r>
        <w:rPr>
          <w:rFonts w:ascii="Verdana" w:hAnsi="Verdana" w:cs="Arial"/>
          <w:b/>
          <w:sz w:val="16"/>
          <w:szCs w:val="16"/>
          <w:lang w:eastAsia="el-GR"/>
        </w:rPr>
        <w:t>Taking into account</w:t>
      </w:r>
      <w:r w:rsidR="002E3941" w:rsidRPr="009A3D49">
        <w:rPr>
          <w:rFonts w:ascii="Verdana" w:hAnsi="Verdana" w:cs="Arial"/>
          <w:b/>
          <w:sz w:val="16"/>
          <w:szCs w:val="16"/>
          <w:lang w:eastAsia="el-GR"/>
        </w:rPr>
        <w:t>:</w:t>
      </w:r>
    </w:p>
    <w:p w:rsidR="004952B8" w:rsidRPr="009A3D49" w:rsidRDefault="004952B8" w:rsidP="004952B8">
      <w:pPr>
        <w:numPr>
          <w:ilvl w:val="0"/>
          <w:numId w:val="34"/>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Guideline EC/2007/2 </w:t>
      </w:r>
      <w:r w:rsidRPr="00BE3EB8">
        <w:rPr>
          <w:rFonts w:ascii="Verdana" w:hAnsi="Verdana" w:cs="Arial"/>
          <w:sz w:val="16"/>
          <w:szCs w:val="16"/>
          <w:lang w:eastAsia="el-GR"/>
        </w:rPr>
        <w:t>“</w:t>
      </w:r>
      <w:r w:rsidRPr="00BE3EB8">
        <w:rPr>
          <w:rFonts w:ascii="Verdana" w:hAnsi="Verdana"/>
          <w:sz w:val="16"/>
          <w:szCs w:val="16"/>
        </w:rPr>
        <w:t>Trans-European Automated Real-time Gross settlement Express Transfer system</w:t>
      </w:r>
      <w:r w:rsidRPr="00BE3EB8">
        <w:rPr>
          <w:rFonts w:ascii="Verdana" w:hAnsi="Verdana" w:cs="Arial"/>
          <w:sz w:val="16"/>
          <w:szCs w:val="16"/>
          <w:lang w:eastAsia="el-GR"/>
        </w:rPr>
        <w:t xml:space="preserve"> (TARGET2)”</w:t>
      </w:r>
      <w:r w:rsidR="00687C1C">
        <w:rPr>
          <w:rFonts w:ascii="Verdana" w:hAnsi="Verdana" w:cs="Arial"/>
          <w:sz w:val="16"/>
          <w:szCs w:val="16"/>
          <w:lang w:eastAsia="el-GR"/>
        </w:rPr>
        <w:t xml:space="preserve"> (Target2 Guidelines)</w:t>
      </w:r>
    </w:p>
    <w:p w:rsidR="004952B8" w:rsidRPr="009A3D49" w:rsidRDefault="004952B8" w:rsidP="004952B8">
      <w:pPr>
        <w:numPr>
          <w:ilvl w:val="0"/>
          <w:numId w:val="34"/>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Regulations regarding the Operation of the</w:t>
      </w:r>
      <w:r w:rsidRPr="00BE3EB8">
        <w:rPr>
          <w:rFonts w:ascii="Verdana" w:hAnsi="Verdana"/>
          <w:sz w:val="16"/>
          <w:szCs w:val="16"/>
        </w:rPr>
        <w:t xml:space="preserve"> </w:t>
      </w:r>
      <w:r w:rsidR="007D155D">
        <w:rPr>
          <w:rFonts w:ascii="Verdana" w:hAnsi="Verdana"/>
          <w:sz w:val="16"/>
          <w:szCs w:val="16"/>
        </w:rPr>
        <w:t>Real</w:t>
      </w:r>
      <w:r w:rsidRPr="00BE3EB8">
        <w:rPr>
          <w:rFonts w:ascii="Verdana" w:hAnsi="Verdana"/>
          <w:sz w:val="16"/>
          <w:szCs w:val="16"/>
        </w:rPr>
        <w:t>-time Gross settlement Express Transfer system</w:t>
      </w:r>
      <w:r>
        <w:rPr>
          <w:rFonts w:ascii="Verdana" w:hAnsi="Verdana" w:cs="Arial"/>
          <w:sz w:val="16"/>
          <w:szCs w:val="16"/>
          <w:lang w:eastAsia="el-GR"/>
        </w:rPr>
        <w:t xml:space="preserve"> </w:t>
      </w:r>
      <w:r w:rsidRPr="009A3D49">
        <w:rPr>
          <w:rFonts w:ascii="Verdana" w:hAnsi="Verdana" w:cs="Arial"/>
          <w:sz w:val="16"/>
          <w:szCs w:val="16"/>
          <w:u w:val="single"/>
          <w:lang w:eastAsia="el-GR"/>
        </w:rPr>
        <w:t xml:space="preserve">TARGET2-GR </w:t>
      </w:r>
      <w:r>
        <w:rPr>
          <w:rFonts w:ascii="Verdana" w:hAnsi="Verdana" w:cs="Arial"/>
          <w:sz w:val="16"/>
          <w:szCs w:val="16"/>
          <w:lang w:eastAsia="el-GR"/>
        </w:rPr>
        <w:t>dated</w:t>
      </w:r>
      <w:r w:rsidRPr="009A3D49">
        <w:rPr>
          <w:rFonts w:ascii="Verdana" w:hAnsi="Verdana" w:cs="Arial"/>
          <w:sz w:val="16"/>
          <w:szCs w:val="16"/>
          <w:lang w:eastAsia="el-GR"/>
        </w:rPr>
        <w:t xml:space="preserve"> 8/3/2008 </w:t>
      </w:r>
      <w:r>
        <w:rPr>
          <w:rFonts w:ascii="Verdana" w:hAnsi="Verdana" w:cs="Arial"/>
          <w:sz w:val="16"/>
          <w:szCs w:val="16"/>
          <w:lang w:eastAsia="el-GR"/>
        </w:rPr>
        <w:t>(hereinafter referred to as the “</w:t>
      </w:r>
      <w:r w:rsidRPr="009A3D49">
        <w:rPr>
          <w:rFonts w:ascii="Verdana" w:hAnsi="Verdana" w:cs="Arial"/>
          <w:sz w:val="16"/>
          <w:szCs w:val="16"/>
          <w:lang w:eastAsia="el-GR"/>
        </w:rPr>
        <w:t>TARGET2-GR</w:t>
      </w:r>
      <w:r>
        <w:rPr>
          <w:rFonts w:ascii="Verdana" w:hAnsi="Verdana" w:cs="Arial"/>
          <w:sz w:val="16"/>
          <w:szCs w:val="16"/>
          <w:lang w:eastAsia="el-GR"/>
        </w:rPr>
        <w:t xml:space="preserve"> Operating Regulations”</w:t>
      </w:r>
      <w:r w:rsidRPr="009A3D49">
        <w:rPr>
          <w:rFonts w:ascii="Verdana" w:hAnsi="Verdana" w:cs="Arial"/>
          <w:sz w:val="16"/>
          <w:szCs w:val="16"/>
          <w:lang w:eastAsia="el-GR"/>
        </w:rPr>
        <w:t>)</w:t>
      </w:r>
      <w:r w:rsidR="00687C1C" w:rsidRPr="00687C1C">
        <w:rPr>
          <w:rFonts w:ascii="Verdana" w:hAnsi="Verdana" w:cs="Arial"/>
          <w:sz w:val="16"/>
          <w:szCs w:val="16"/>
          <w:lang w:eastAsia="el-GR"/>
        </w:rPr>
        <w:t xml:space="preserve"> </w:t>
      </w:r>
      <w:r w:rsidR="00687C1C">
        <w:rPr>
          <w:rFonts w:ascii="Verdana" w:hAnsi="Verdana" w:cs="Arial"/>
          <w:sz w:val="16"/>
          <w:szCs w:val="16"/>
          <w:lang w:eastAsia="el-GR"/>
        </w:rPr>
        <w:t>which guides the operation of HELEX’s ancillary system</w:t>
      </w:r>
    </w:p>
    <w:p w:rsidR="002E3941" w:rsidRPr="009A3D49" w:rsidRDefault="009B649A" w:rsidP="00AE3A95">
      <w:pPr>
        <w:numPr>
          <w:ilvl w:val="0"/>
          <w:numId w:val="34"/>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The fact that HELEX, acting as Central Securities Depository and DSS Administrator, according to article 39 </w:t>
      </w:r>
      <w:r w:rsidR="0061588D">
        <w:rPr>
          <w:rFonts w:ascii="Verdana" w:hAnsi="Verdana" w:cs="Arial"/>
          <w:sz w:val="16"/>
          <w:szCs w:val="16"/>
          <w:lang w:val="en-US" w:eastAsia="el-GR"/>
        </w:rPr>
        <w:t>et seq</w:t>
      </w:r>
      <w:r>
        <w:rPr>
          <w:rFonts w:ascii="Verdana" w:hAnsi="Verdana" w:cs="Arial"/>
          <w:sz w:val="16"/>
          <w:szCs w:val="16"/>
          <w:lang w:eastAsia="el-GR"/>
        </w:rPr>
        <w:t xml:space="preserve">. of law </w:t>
      </w:r>
      <w:r w:rsidRPr="009A3D49">
        <w:rPr>
          <w:rFonts w:ascii="Verdana" w:hAnsi="Verdana" w:cs="Arial"/>
          <w:sz w:val="16"/>
          <w:szCs w:val="16"/>
          <w:lang w:eastAsia="el-GR"/>
        </w:rPr>
        <w:t>2396/1996,</w:t>
      </w:r>
      <w:r>
        <w:rPr>
          <w:rFonts w:ascii="Verdana" w:hAnsi="Verdana" w:cs="Arial"/>
          <w:sz w:val="16"/>
          <w:szCs w:val="16"/>
          <w:lang w:eastAsia="el-GR"/>
        </w:rPr>
        <w:t xml:space="preserve"> article</w:t>
      </w:r>
      <w:r w:rsidRPr="009A3D49">
        <w:rPr>
          <w:rFonts w:ascii="Verdana" w:hAnsi="Verdana" w:cs="Arial"/>
          <w:sz w:val="16"/>
          <w:szCs w:val="16"/>
          <w:lang w:eastAsia="el-GR"/>
        </w:rPr>
        <w:t xml:space="preserve"> 83 </w:t>
      </w:r>
      <w:r>
        <w:rPr>
          <w:rFonts w:ascii="Verdana" w:hAnsi="Verdana" w:cs="Arial"/>
          <w:sz w:val="16"/>
          <w:szCs w:val="16"/>
          <w:lang w:eastAsia="el-GR"/>
        </w:rPr>
        <w:t>§</w:t>
      </w:r>
      <w:r w:rsidRPr="009A3D49">
        <w:rPr>
          <w:rFonts w:ascii="Verdana" w:hAnsi="Verdana" w:cs="Arial"/>
          <w:sz w:val="16"/>
          <w:szCs w:val="16"/>
          <w:lang w:eastAsia="el-GR"/>
        </w:rPr>
        <w:t xml:space="preserve"> 4 </w:t>
      </w:r>
      <w:r>
        <w:rPr>
          <w:rFonts w:ascii="Verdana" w:hAnsi="Verdana" w:cs="Arial"/>
          <w:sz w:val="16"/>
          <w:szCs w:val="16"/>
          <w:lang w:eastAsia="el-GR"/>
        </w:rPr>
        <w:t>and</w:t>
      </w:r>
      <w:r w:rsidRPr="009A3D49">
        <w:rPr>
          <w:rFonts w:ascii="Verdana" w:hAnsi="Verdana" w:cs="Arial"/>
          <w:sz w:val="16"/>
          <w:szCs w:val="16"/>
          <w:lang w:eastAsia="el-GR"/>
        </w:rPr>
        <w:t xml:space="preserve"> 5 </w:t>
      </w:r>
      <w:r>
        <w:rPr>
          <w:rFonts w:ascii="Verdana" w:hAnsi="Verdana" w:cs="Arial"/>
          <w:sz w:val="16"/>
          <w:szCs w:val="16"/>
          <w:lang w:eastAsia="el-GR"/>
        </w:rPr>
        <w:t>of law</w:t>
      </w:r>
      <w:r w:rsidRPr="009A3D49">
        <w:rPr>
          <w:rFonts w:ascii="Verdana" w:hAnsi="Verdana" w:cs="Arial"/>
          <w:sz w:val="16"/>
          <w:szCs w:val="16"/>
          <w:lang w:eastAsia="el-GR"/>
        </w:rPr>
        <w:t xml:space="preserve"> 3606/2007 </w:t>
      </w:r>
      <w:r>
        <w:rPr>
          <w:rFonts w:ascii="Verdana" w:hAnsi="Verdana" w:cs="Arial"/>
          <w:sz w:val="16"/>
          <w:szCs w:val="16"/>
          <w:lang w:eastAsia="el-GR"/>
        </w:rPr>
        <w:t>and</w:t>
      </w:r>
      <w:r w:rsidRPr="009A3D49">
        <w:rPr>
          <w:rFonts w:ascii="Verdana" w:hAnsi="Verdana" w:cs="Arial"/>
          <w:sz w:val="16"/>
          <w:szCs w:val="16"/>
          <w:lang w:eastAsia="el-GR"/>
        </w:rPr>
        <w:t xml:space="preserve"> 1 </w:t>
      </w:r>
      <w:r>
        <w:rPr>
          <w:rFonts w:ascii="Verdana" w:hAnsi="Verdana" w:cs="Arial"/>
          <w:sz w:val="16"/>
          <w:szCs w:val="16"/>
          <w:lang w:eastAsia="el-GR"/>
        </w:rPr>
        <w:t>through</w:t>
      </w:r>
      <w:r w:rsidRPr="009A3D49">
        <w:rPr>
          <w:rFonts w:ascii="Verdana" w:hAnsi="Verdana" w:cs="Arial"/>
          <w:sz w:val="16"/>
          <w:szCs w:val="16"/>
          <w:lang w:eastAsia="el-GR"/>
        </w:rPr>
        <w:t xml:space="preserve"> 7</w:t>
      </w:r>
      <w:r>
        <w:rPr>
          <w:rFonts w:ascii="Verdana" w:hAnsi="Verdana" w:cs="Arial"/>
          <w:sz w:val="16"/>
          <w:szCs w:val="16"/>
          <w:lang w:eastAsia="el-GR"/>
        </w:rPr>
        <w:t xml:space="preserve"> of law</w:t>
      </w:r>
      <w:r w:rsidRPr="009A3D49">
        <w:rPr>
          <w:rFonts w:ascii="Verdana" w:hAnsi="Verdana" w:cs="Arial"/>
          <w:sz w:val="16"/>
          <w:szCs w:val="16"/>
          <w:lang w:eastAsia="el-GR"/>
        </w:rPr>
        <w:t xml:space="preserve"> 3756/2009, </w:t>
      </w:r>
      <w:r>
        <w:rPr>
          <w:rFonts w:ascii="Verdana" w:hAnsi="Verdana" w:cs="Arial"/>
          <w:sz w:val="16"/>
          <w:szCs w:val="16"/>
          <w:lang w:eastAsia="el-GR"/>
        </w:rPr>
        <w:t xml:space="preserve">carries out the settlement of trades in ATHEX and OTC on transferable securities and/or derivatives within the framework of the provision of relevant services to the participants as Operators of the Dematerialised Securities System (DSS) of law </w:t>
      </w:r>
      <w:r w:rsidRPr="009A3D49">
        <w:rPr>
          <w:rFonts w:ascii="Verdana" w:hAnsi="Verdana" w:cs="Arial"/>
          <w:sz w:val="16"/>
          <w:szCs w:val="16"/>
          <w:lang w:eastAsia="el-GR"/>
        </w:rPr>
        <w:t xml:space="preserve">3756/2009, </w:t>
      </w:r>
      <w:r>
        <w:rPr>
          <w:rFonts w:ascii="Verdana" w:hAnsi="Verdana" w:cs="Arial"/>
          <w:sz w:val="16"/>
          <w:szCs w:val="16"/>
          <w:lang w:eastAsia="el-GR"/>
        </w:rPr>
        <w:t>including, as such, the market administrators, and the administrators of central counterparty systems</w:t>
      </w:r>
      <w:r w:rsidRPr="009A3D49">
        <w:rPr>
          <w:rFonts w:ascii="Verdana" w:hAnsi="Verdana" w:cs="Arial"/>
          <w:sz w:val="16"/>
          <w:szCs w:val="16"/>
          <w:lang w:eastAsia="el-GR"/>
        </w:rPr>
        <w:t xml:space="preserve">, </w:t>
      </w:r>
      <w:r>
        <w:rPr>
          <w:rFonts w:ascii="Verdana" w:hAnsi="Verdana" w:cs="Arial"/>
          <w:sz w:val="16"/>
          <w:szCs w:val="16"/>
          <w:lang w:eastAsia="el-GR"/>
        </w:rPr>
        <w:t>clearing and settlement as well as the foreign central depositories connected with the DSS</w:t>
      </w:r>
    </w:p>
    <w:p w:rsidR="0077705F" w:rsidRPr="009A3D49" w:rsidRDefault="0077705F" w:rsidP="0077705F">
      <w:pPr>
        <w:numPr>
          <w:ilvl w:val="0"/>
          <w:numId w:val="34"/>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The fact that the cash settlement of trades settled, according to the above (under 3) by HELEX shall be carried out through </w:t>
      </w:r>
      <w:r w:rsidRPr="009A3D49">
        <w:rPr>
          <w:rFonts w:ascii="Verdana" w:hAnsi="Verdana" w:cs="Arial"/>
          <w:sz w:val="16"/>
          <w:szCs w:val="16"/>
          <w:lang w:eastAsia="el-GR"/>
        </w:rPr>
        <w:t>TARGET2-GR (</w:t>
      </w:r>
      <w:r>
        <w:rPr>
          <w:rFonts w:ascii="Verdana" w:hAnsi="Verdana" w:cs="Arial"/>
          <w:sz w:val="16"/>
          <w:szCs w:val="16"/>
          <w:lang w:eastAsia="el-GR"/>
        </w:rPr>
        <w:t xml:space="preserve">as </w:t>
      </w:r>
      <w:r>
        <w:rPr>
          <w:rFonts w:ascii="Verdana" w:hAnsi="Verdana" w:cs="Arial"/>
          <w:sz w:val="16"/>
          <w:szCs w:val="16"/>
          <w:lang w:val="en-US" w:eastAsia="el-GR"/>
        </w:rPr>
        <w:t>component of</w:t>
      </w:r>
      <w:r w:rsidRPr="009A3D49">
        <w:rPr>
          <w:rFonts w:ascii="Verdana" w:hAnsi="Verdana" w:cs="Arial"/>
          <w:sz w:val="16"/>
          <w:szCs w:val="16"/>
          <w:lang w:eastAsia="el-GR"/>
        </w:rPr>
        <w:t xml:space="preserve"> TARGET2), </w:t>
      </w:r>
      <w:r>
        <w:rPr>
          <w:rFonts w:ascii="Verdana" w:hAnsi="Verdana" w:cs="Arial"/>
          <w:sz w:val="16"/>
          <w:szCs w:val="16"/>
          <w:lang w:eastAsia="el-GR"/>
        </w:rPr>
        <w:t>which is operated by the Bank of Greece</w:t>
      </w:r>
      <w:r w:rsidRPr="009A3D49">
        <w:rPr>
          <w:rFonts w:ascii="Verdana" w:hAnsi="Verdana" w:cs="Arial"/>
          <w:sz w:val="16"/>
          <w:szCs w:val="16"/>
          <w:lang w:eastAsia="el-GR"/>
        </w:rPr>
        <w:t xml:space="preserve">, </w:t>
      </w:r>
      <w:r>
        <w:rPr>
          <w:rFonts w:ascii="Verdana" w:hAnsi="Verdana" w:cs="Arial"/>
          <w:sz w:val="16"/>
          <w:szCs w:val="16"/>
          <w:lang w:eastAsia="el-GR"/>
        </w:rPr>
        <w:t xml:space="preserve">according to the </w:t>
      </w:r>
      <w:r w:rsidR="00236DB0">
        <w:rPr>
          <w:rFonts w:ascii="Verdana" w:hAnsi="Verdana" w:cs="Arial"/>
          <w:sz w:val="16"/>
          <w:szCs w:val="16"/>
          <w:lang w:eastAsia="el-GR"/>
        </w:rPr>
        <w:t>provision</w:t>
      </w:r>
      <w:r>
        <w:rPr>
          <w:rFonts w:ascii="Verdana" w:hAnsi="Verdana" w:cs="Arial"/>
          <w:sz w:val="16"/>
          <w:szCs w:val="16"/>
          <w:lang w:eastAsia="el-GR"/>
        </w:rPr>
        <w:t xml:space="preserve">s of the </w:t>
      </w:r>
      <w:r w:rsidRPr="009A3D49">
        <w:rPr>
          <w:rFonts w:ascii="Verdana" w:hAnsi="Verdana" w:cs="Arial"/>
          <w:sz w:val="16"/>
          <w:szCs w:val="16"/>
          <w:lang w:eastAsia="el-GR"/>
        </w:rPr>
        <w:t>TARGET2-GR</w:t>
      </w:r>
      <w:r w:rsidRPr="00781B69">
        <w:rPr>
          <w:rFonts w:ascii="Verdana" w:hAnsi="Verdana" w:cs="Arial"/>
          <w:sz w:val="16"/>
          <w:szCs w:val="16"/>
          <w:lang w:eastAsia="el-GR"/>
        </w:rPr>
        <w:t xml:space="preserve"> </w:t>
      </w:r>
      <w:r>
        <w:rPr>
          <w:rFonts w:ascii="Verdana" w:hAnsi="Verdana" w:cs="Arial"/>
          <w:sz w:val="16"/>
          <w:szCs w:val="16"/>
          <w:lang w:eastAsia="el-GR"/>
        </w:rPr>
        <w:t>Operating Regulations</w:t>
      </w:r>
      <w:r w:rsidRPr="009A3D49">
        <w:rPr>
          <w:rFonts w:ascii="Verdana" w:hAnsi="Verdana" w:cs="Arial"/>
          <w:sz w:val="16"/>
          <w:szCs w:val="16"/>
          <w:lang w:eastAsia="el-GR"/>
        </w:rPr>
        <w:t xml:space="preserve">, </w:t>
      </w:r>
      <w:r>
        <w:rPr>
          <w:rFonts w:ascii="Verdana" w:hAnsi="Verdana" w:cs="Arial"/>
          <w:sz w:val="16"/>
          <w:szCs w:val="16"/>
          <w:lang w:eastAsia="el-GR"/>
        </w:rPr>
        <w:t xml:space="preserve">as well as that HELEX’s relevant settlement system, which is the “ancillary system” in the sense of the </w:t>
      </w:r>
      <w:r w:rsidRPr="009A3D49">
        <w:rPr>
          <w:rFonts w:ascii="Verdana" w:hAnsi="Verdana" w:cs="Arial"/>
          <w:sz w:val="16"/>
          <w:szCs w:val="16"/>
          <w:lang w:eastAsia="el-GR"/>
        </w:rPr>
        <w:t xml:space="preserve">TARGET2-GR </w:t>
      </w:r>
      <w:r>
        <w:rPr>
          <w:rFonts w:ascii="Verdana" w:hAnsi="Verdana" w:cs="Arial"/>
          <w:sz w:val="16"/>
          <w:szCs w:val="16"/>
          <w:lang w:eastAsia="el-GR"/>
        </w:rPr>
        <w:t>Operating Regulations</w:t>
      </w:r>
      <w:r w:rsidRPr="009A3D49">
        <w:rPr>
          <w:rFonts w:ascii="Verdana" w:hAnsi="Verdana" w:cs="Arial"/>
          <w:sz w:val="16"/>
          <w:szCs w:val="16"/>
          <w:lang w:eastAsia="el-GR"/>
        </w:rPr>
        <w:t xml:space="preserve"> (</w:t>
      </w:r>
      <w:r>
        <w:rPr>
          <w:rFonts w:ascii="Verdana" w:hAnsi="Verdana" w:cs="Arial"/>
          <w:sz w:val="16"/>
          <w:szCs w:val="16"/>
          <w:lang w:eastAsia="el-GR"/>
        </w:rPr>
        <w:t>hereinafter referred to as</w:t>
      </w:r>
      <w:r w:rsidRPr="009A3D49">
        <w:rPr>
          <w:rFonts w:ascii="Verdana" w:hAnsi="Verdana" w:cs="Arial"/>
          <w:sz w:val="16"/>
          <w:szCs w:val="16"/>
          <w:lang w:eastAsia="el-GR"/>
        </w:rPr>
        <w:t xml:space="preserve"> </w:t>
      </w:r>
      <w:r>
        <w:rPr>
          <w:rFonts w:ascii="Verdana" w:hAnsi="Verdana" w:cs="Arial"/>
          <w:sz w:val="16"/>
          <w:szCs w:val="16"/>
          <w:lang w:eastAsia="el-GR"/>
        </w:rPr>
        <w:t>“HELEX’s Ancillary System”</w:t>
      </w:r>
      <w:r w:rsidRPr="009A3D49">
        <w:rPr>
          <w:rFonts w:ascii="Verdana" w:hAnsi="Verdana" w:cs="Arial"/>
          <w:sz w:val="16"/>
          <w:szCs w:val="16"/>
          <w:lang w:eastAsia="el-GR"/>
        </w:rPr>
        <w:t xml:space="preserve">), </w:t>
      </w:r>
      <w:r>
        <w:rPr>
          <w:rFonts w:ascii="Verdana" w:hAnsi="Verdana" w:cs="Arial"/>
          <w:sz w:val="16"/>
          <w:szCs w:val="16"/>
          <w:lang w:eastAsia="el-GR"/>
        </w:rPr>
        <w:t>has been connected with</w:t>
      </w:r>
      <w:r w:rsidRPr="009A3D49">
        <w:rPr>
          <w:rFonts w:ascii="Verdana" w:hAnsi="Verdana" w:cs="Arial"/>
          <w:sz w:val="16"/>
          <w:szCs w:val="16"/>
          <w:lang w:eastAsia="el-GR"/>
        </w:rPr>
        <w:t xml:space="preserve"> TARGET-2-GR  </w:t>
      </w:r>
    </w:p>
    <w:p w:rsidR="002E3941" w:rsidRPr="009A3D49" w:rsidRDefault="00AD011E" w:rsidP="00AE3A95">
      <w:pPr>
        <w:numPr>
          <w:ilvl w:val="0"/>
          <w:numId w:val="34"/>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The terms of operation of settlement banks, according to the </w:t>
      </w:r>
      <w:r w:rsidRPr="009A3D49">
        <w:rPr>
          <w:rFonts w:ascii="Verdana" w:hAnsi="Verdana" w:cs="Arial"/>
          <w:sz w:val="16"/>
          <w:szCs w:val="16"/>
          <w:lang w:eastAsia="el-GR"/>
        </w:rPr>
        <w:t>TARGET2</w:t>
      </w:r>
      <w:r w:rsidR="00A31F22">
        <w:rPr>
          <w:rFonts w:ascii="Verdana" w:hAnsi="Verdana" w:cs="Arial"/>
          <w:sz w:val="16"/>
          <w:szCs w:val="16"/>
          <w:lang w:eastAsia="el-GR"/>
        </w:rPr>
        <w:t>Guidelines</w:t>
      </w:r>
      <w:r>
        <w:rPr>
          <w:rFonts w:ascii="Verdana" w:hAnsi="Verdana" w:cs="Arial"/>
          <w:sz w:val="16"/>
          <w:szCs w:val="16"/>
          <w:lang w:eastAsia="el-GR"/>
        </w:rPr>
        <w:t xml:space="preserve"> that may render cash settlement services, through </w:t>
      </w:r>
      <w:r w:rsidRPr="009A3D49">
        <w:rPr>
          <w:rFonts w:ascii="Verdana" w:hAnsi="Verdana" w:cs="Arial"/>
          <w:sz w:val="16"/>
          <w:szCs w:val="16"/>
          <w:lang w:eastAsia="el-GR"/>
        </w:rPr>
        <w:t xml:space="preserve">TARGET2, </w:t>
      </w:r>
      <w:r w:rsidR="00A31F22">
        <w:rPr>
          <w:rFonts w:ascii="Verdana" w:hAnsi="Verdana" w:cs="Arial"/>
          <w:sz w:val="16"/>
          <w:szCs w:val="16"/>
          <w:lang w:eastAsia="el-GR"/>
        </w:rPr>
        <w:t xml:space="preserve">to </w:t>
      </w:r>
      <w:r>
        <w:rPr>
          <w:rFonts w:ascii="Verdana" w:hAnsi="Verdana" w:cs="Arial"/>
          <w:sz w:val="16"/>
          <w:szCs w:val="16"/>
          <w:lang w:eastAsia="el-GR"/>
        </w:rPr>
        <w:t xml:space="preserve">ancillary systems and their participants </w:t>
      </w:r>
      <w:r w:rsidRPr="009A3D49">
        <w:rPr>
          <w:rFonts w:ascii="Verdana" w:hAnsi="Verdana" w:cs="Arial"/>
          <w:sz w:val="16"/>
          <w:szCs w:val="16"/>
          <w:lang w:eastAsia="el-GR"/>
        </w:rPr>
        <w:t>(</w:t>
      </w:r>
      <w:r>
        <w:rPr>
          <w:rFonts w:ascii="Verdana" w:hAnsi="Verdana" w:cs="Arial"/>
          <w:sz w:val="16"/>
          <w:szCs w:val="16"/>
          <w:lang w:eastAsia="el-GR"/>
        </w:rPr>
        <w:t>Settlement Banks</w:t>
      </w:r>
      <w:r w:rsidR="002E3941" w:rsidRPr="009A3D49">
        <w:rPr>
          <w:rFonts w:ascii="Verdana" w:hAnsi="Verdana" w:cs="Arial"/>
          <w:sz w:val="16"/>
          <w:szCs w:val="16"/>
          <w:lang w:eastAsia="el-GR"/>
        </w:rPr>
        <w:t xml:space="preserve">).  </w:t>
      </w:r>
    </w:p>
    <w:p w:rsidR="002E3941" w:rsidRPr="00894CD9" w:rsidRDefault="00894CD9" w:rsidP="00894CD9">
      <w:pPr>
        <w:numPr>
          <w:ilvl w:val="0"/>
          <w:numId w:val="34"/>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lastRenderedPageBreak/>
        <w:t xml:space="preserve">That the Settlement Bank has proceeded to all the necessary as above statements (statements dated </w:t>
      </w:r>
      <w:bookmarkStart w:id="13" w:name="Text13"/>
      <w:r w:rsidR="001B130E">
        <w:rPr>
          <w:rFonts w:ascii="Verdana" w:hAnsi="Verdana" w:cs="Arial"/>
          <w:sz w:val="16"/>
          <w:szCs w:val="16"/>
          <w:lang w:eastAsia="el-GR"/>
        </w:rPr>
        <w:fldChar w:fldCharType="begin">
          <w:ffData>
            <w:name w:val="Text13"/>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13"/>
      <w:r>
        <w:rPr>
          <w:rFonts w:ascii="Verdana" w:hAnsi="Verdana" w:cs="Arial"/>
          <w:sz w:val="16"/>
          <w:szCs w:val="16"/>
          <w:lang w:eastAsia="el-GR"/>
        </w:rPr>
        <w:t xml:space="preserve"> “</w:t>
      </w:r>
      <w:r w:rsidR="002E3941" w:rsidRPr="00894CD9">
        <w:rPr>
          <w:rFonts w:ascii="Verdana" w:hAnsi="Verdana" w:cs="Arial"/>
          <w:sz w:val="16"/>
          <w:szCs w:val="16"/>
          <w:lang w:eastAsia="el-GR"/>
        </w:rPr>
        <w:t>TARGET2 form of collection of Static Data - Deb</w:t>
      </w:r>
      <w:r>
        <w:rPr>
          <w:rFonts w:ascii="Verdana" w:hAnsi="Verdana" w:cs="Arial"/>
          <w:sz w:val="16"/>
          <w:szCs w:val="16"/>
          <w:lang w:eastAsia="el-GR"/>
        </w:rPr>
        <w:t xml:space="preserve">it mandate for AS settlement –“ </w:t>
      </w:r>
      <w:r w:rsidR="002E3941" w:rsidRPr="00894CD9">
        <w:rPr>
          <w:rFonts w:ascii="Verdana" w:hAnsi="Verdana" w:cs="Arial"/>
          <w:sz w:val="16"/>
          <w:szCs w:val="16"/>
          <w:lang w:eastAsia="el-GR"/>
        </w:rPr>
        <w:t>(</w:t>
      </w:r>
      <w:r>
        <w:rPr>
          <w:rFonts w:ascii="Verdana" w:hAnsi="Verdana" w:cs="Arial"/>
          <w:sz w:val="16"/>
          <w:szCs w:val="16"/>
          <w:lang w:eastAsia="el-GR"/>
        </w:rPr>
        <w:t>Form</w:t>
      </w:r>
      <w:r w:rsidR="002E3941" w:rsidRPr="00894CD9">
        <w:rPr>
          <w:rFonts w:ascii="Verdana" w:hAnsi="Verdana" w:cs="Arial"/>
          <w:sz w:val="16"/>
          <w:szCs w:val="16"/>
          <w:lang w:eastAsia="el-GR"/>
        </w:rPr>
        <w:t xml:space="preserve"> 2002) </w:t>
      </w:r>
      <w:r>
        <w:rPr>
          <w:rFonts w:ascii="Verdana" w:hAnsi="Verdana" w:cs="Arial"/>
          <w:sz w:val="16"/>
          <w:szCs w:val="16"/>
          <w:lang w:eastAsia="el-GR"/>
        </w:rPr>
        <w:t>and statement dated</w:t>
      </w:r>
      <w:r w:rsidRPr="00880426">
        <w:rPr>
          <w:rFonts w:ascii="Verdana" w:hAnsi="Verdana" w:cs="Arial"/>
          <w:sz w:val="16"/>
          <w:szCs w:val="16"/>
          <w:lang w:eastAsia="el-GR"/>
        </w:rPr>
        <w:t xml:space="preserve">  </w:t>
      </w:r>
      <w:bookmarkStart w:id="14" w:name="Text14"/>
      <w:r w:rsidR="001B130E">
        <w:rPr>
          <w:rFonts w:ascii="Verdana" w:hAnsi="Verdana" w:cs="Arial"/>
          <w:sz w:val="16"/>
          <w:szCs w:val="16"/>
          <w:lang w:eastAsia="el-GR"/>
        </w:rPr>
        <w:fldChar w:fldCharType="begin">
          <w:ffData>
            <w:name w:val="Text14"/>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14"/>
      <w:r w:rsidR="001B130E">
        <w:rPr>
          <w:rFonts w:ascii="Verdana" w:hAnsi="Verdana" w:cs="Arial"/>
          <w:sz w:val="16"/>
          <w:szCs w:val="16"/>
          <w:lang w:eastAsia="el-GR"/>
        </w:rPr>
        <w:t xml:space="preserve"> </w:t>
      </w:r>
      <w:r>
        <w:rPr>
          <w:rFonts w:ascii="Verdana" w:hAnsi="Verdana" w:cs="Arial"/>
          <w:sz w:val="16"/>
          <w:szCs w:val="16"/>
          <w:lang w:eastAsia="el-GR"/>
        </w:rPr>
        <w:t xml:space="preserve">“STATEMENT &amp; SPECIAL TERMS FOR THE PROVISION OF SETTLEMENT BANK SERVICES TO HELEX’S ANCILLARY SYSTEM </w:t>
      </w:r>
      <w:r w:rsidR="00A31F22">
        <w:rPr>
          <w:rFonts w:ascii="Verdana" w:hAnsi="Verdana" w:cs="Arial"/>
          <w:sz w:val="16"/>
          <w:szCs w:val="16"/>
          <w:lang w:eastAsia="el-GR"/>
        </w:rPr>
        <w:t>IN</w:t>
      </w:r>
      <w:r>
        <w:rPr>
          <w:rFonts w:ascii="Verdana" w:hAnsi="Verdana" w:cs="Arial"/>
          <w:sz w:val="16"/>
          <w:szCs w:val="16"/>
          <w:lang w:eastAsia="el-GR"/>
        </w:rPr>
        <w:t xml:space="preserve"> TARGET2-GR”</w:t>
      </w:r>
      <w:r w:rsidRPr="00880426">
        <w:rPr>
          <w:rFonts w:ascii="Verdana" w:hAnsi="Verdana" w:cs="Arial"/>
          <w:sz w:val="16"/>
          <w:szCs w:val="16"/>
          <w:lang w:eastAsia="el-GR"/>
        </w:rPr>
        <w:t xml:space="preserve"> </w:t>
      </w:r>
      <w:r>
        <w:rPr>
          <w:rFonts w:ascii="Verdana" w:hAnsi="Verdana" w:cs="Arial"/>
          <w:sz w:val="16"/>
          <w:szCs w:val="16"/>
          <w:lang w:eastAsia="el-GR"/>
        </w:rPr>
        <w:t>to HELEX</w:t>
      </w:r>
      <w:r w:rsidRPr="00894CD9">
        <w:rPr>
          <w:rFonts w:ascii="Verdana" w:hAnsi="Verdana" w:cs="Arial"/>
          <w:sz w:val="16"/>
          <w:szCs w:val="16"/>
          <w:lang w:eastAsia="el-GR"/>
        </w:rPr>
        <w:t xml:space="preserve"> </w:t>
      </w:r>
      <w:r w:rsidR="0094212F">
        <w:rPr>
          <w:rFonts w:ascii="Verdana" w:hAnsi="Verdana" w:cs="Arial"/>
          <w:sz w:val="16"/>
          <w:szCs w:val="16"/>
          <w:lang w:eastAsia="el-GR"/>
        </w:rPr>
        <w:t xml:space="preserve">acting, as Settlement Bank with regard to HELEX’s Ancillary System, according to </w:t>
      </w:r>
      <w:r w:rsidR="002E3941" w:rsidRPr="00894CD9">
        <w:rPr>
          <w:rFonts w:ascii="Verdana" w:hAnsi="Verdana" w:cs="Arial"/>
          <w:sz w:val="16"/>
          <w:szCs w:val="16"/>
          <w:lang w:eastAsia="el-GR"/>
        </w:rPr>
        <w:t xml:space="preserve">TARGET2-GR </w:t>
      </w:r>
      <w:r w:rsidR="0094212F">
        <w:rPr>
          <w:rFonts w:ascii="Verdana" w:hAnsi="Verdana" w:cs="Arial"/>
          <w:sz w:val="16"/>
          <w:szCs w:val="16"/>
          <w:lang w:eastAsia="el-GR"/>
        </w:rPr>
        <w:t>Operating regulation and HELEX’s procedures</w:t>
      </w:r>
      <w:r w:rsidR="002E3941" w:rsidRPr="00894CD9">
        <w:rPr>
          <w:rFonts w:ascii="Verdana" w:hAnsi="Verdana" w:cs="Arial"/>
          <w:sz w:val="16"/>
          <w:szCs w:val="16"/>
          <w:lang w:eastAsia="el-GR"/>
        </w:rPr>
        <w:t xml:space="preserve">. </w:t>
      </w:r>
    </w:p>
    <w:p w:rsidR="002E3941" w:rsidRPr="009A3D49" w:rsidRDefault="00894CD9" w:rsidP="00AE3A95">
      <w:pPr>
        <w:numPr>
          <w:ilvl w:val="0"/>
          <w:numId w:val="34"/>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statement dated</w:t>
      </w:r>
      <w:r w:rsidRPr="009A3D49">
        <w:rPr>
          <w:rFonts w:ascii="Verdana" w:hAnsi="Verdana" w:cs="Arial"/>
          <w:sz w:val="16"/>
          <w:szCs w:val="16"/>
          <w:lang w:eastAsia="el-GR"/>
        </w:rPr>
        <w:t xml:space="preserve"> </w:t>
      </w:r>
      <w:bookmarkStart w:id="15" w:name="Text15"/>
      <w:r w:rsidR="001B130E">
        <w:rPr>
          <w:rFonts w:ascii="Verdana" w:hAnsi="Verdana" w:cs="Arial"/>
          <w:sz w:val="16"/>
          <w:szCs w:val="16"/>
          <w:lang w:eastAsia="el-GR"/>
        </w:rPr>
        <w:fldChar w:fldCharType="begin">
          <w:ffData>
            <w:name w:val="Text15"/>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15"/>
      <w:r w:rsidRPr="009A3D49">
        <w:rPr>
          <w:rFonts w:ascii="Verdana" w:hAnsi="Verdana" w:cs="Arial"/>
          <w:sz w:val="16"/>
          <w:szCs w:val="16"/>
          <w:lang w:eastAsia="el-GR"/>
        </w:rPr>
        <w:t xml:space="preserve"> </w:t>
      </w:r>
      <w:r w:rsidR="0055352E" w:rsidRPr="009A3D49">
        <w:rPr>
          <w:rFonts w:ascii="Verdana" w:hAnsi="Verdana" w:cs="Arial"/>
          <w:sz w:val="16"/>
          <w:szCs w:val="16"/>
          <w:lang w:eastAsia="el-GR"/>
        </w:rPr>
        <w:t>TARGET2 form collection of Static Data - Sub Account for dedicated liquidity -» (</w:t>
      </w:r>
      <w:r w:rsidR="0055352E">
        <w:rPr>
          <w:rFonts w:ascii="Verdana" w:hAnsi="Verdana" w:cs="Arial"/>
          <w:sz w:val="16"/>
          <w:szCs w:val="16"/>
          <w:lang w:eastAsia="el-GR"/>
        </w:rPr>
        <w:t>Form</w:t>
      </w:r>
      <w:r w:rsidR="0055352E" w:rsidRPr="009A3D49">
        <w:rPr>
          <w:rFonts w:ascii="Verdana" w:hAnsi="Verdana" w:cs="Arial"/>
          <w:sz w:val="16"/>
          <w:szCs w:val="16"/>
          <w:lang w:eastAsia="el-GR"/>
        </w:rPr>
        <w:t xml:space="preserve"> 1014</w:t>
      </w:r>
      <w:r w:rsidR="0055352E">
        <w:rPr>
          <w:rFonts w:ascii="Verdana" w:hAnsi="Verdana" w:cs="Arial"/>
          <w:sz w:val="16"/>
          <w:szCs w:val="16"/>
          <w:lang w:eastAsia="el-GR"/>
        </w:rPr>
        <w:t>)</w:t>
      </w:r>
      <w:r w:rsidRPr="009A3D49">
        <w:rPr>
          <w:rFonts w:ascii="Verdana" w:hAnsi="Verdana" w:cs="Arial"/>
          <w:sz w:val="16"/>
          <w:szCs w:val="16"/>
          <w:lang w:eastAsia="el-GR"/>
        </w:rPr>
        <w:t xml:space="preserve">, </w:t>
      </w:r>
      <w:r>
        <w:rPr>
          <w:rFonts w:ascii="Verdana" w:hAnsi="Verdana" w:cs="Arial"/>
          <w:sz w:val="16"/>
          <w:szCs w:val="16"/>
          <w:lang w:eastAsia="el-GR"/>
        </w:rPr>
        <w:t xml:space="preserve">as such was signed by the Settlement Bank </w:t>
      </w:r>
      <w:r w:rsidR="0055352E">
        <w:rPr>
          <w:rFonts w:ascii="Verdana" w:hAnsi="Verdana" w:cs="Arial"/>
          <w:sz w:val="16"/>
          <w:szCs w:val="16"/>
          <w:lang w:eastAsia="el-GR"/>
        </w:rPr>
        <w:t xml:space="preserve">and is attached hereto (in original or copy according to HELEX’s instructions), according to which the Settlement Bank shall open a subaccount for the Operator in </w:t>
      </w:r>
      <w:r w:rsidR="002E3941" w:rsidRPr="009A3D49">
        <w:rPr>
          <w:rFonts w:ascii="Verdana" w:hAnsi="Verdana" w:cs="Arial"/>
          <w:sz w:val="16"/>
          <w:szCs w:val="16"/>
          <w:lang w:eastAsia="el-GR"/>
        </w:rPr>
        <w:t xml:space="preserve">TARGET2-GR </w:t>
      </w:r>
      <w:r w:rsidR="0055352E">
        <w:rPr>
          <w:rFonts w:ascii="Verdana" w:hAnsi="Verdana" w:cs="Arial"/>
          <w:sz w:val="16"/>
          <w:szCs w:val="16"/>
          <w:lang w:eastAsia="el-GR"/>
        </w:rPr>
        <w:t>in the Bank of Greece upon submission of the statement to the Bank of Greece by the Settlement Bank or HELEX, depending on the procedures followed by HELEX.</w:t>
      </w:r>
      <w:r w:rsidR="002E3941" w:rsidRPr="009A3D49">
        <w:rPr>
          <w:rFonts w:ascii="Verdana" w:hAnsi="Verdana" w:cs="Arial"/>
          <w:sz w:val="16"/>
          <w:szCs w:val="16"/>
          <w:lang w:eastAsia="el-GR"/>
        </w:rPr>
        <w:t xml:space="preserve"> </w:t>
      </w:r>
    </w:p>
    <w:p w:rsidR="002E3941" w:rsidRPr="009A3D49" w:rsidRDefault="00116665" w:rsidP="002E3941">
      <w:pPr>
        <w:spacing w:before="120" w:after="120" w:line="240" w:lineRule="atLeast"/>
        <w:jc w:val="center"/>
        <w:rPr>
          <w:rFonts w:ascii="Verdana" w:hAnsi="Verdana" w:cs="Arial"/>
          <w:b/>
          <w:sz w:val="16"/>
          <w:szCs w:val="16"/>
          <w:lang w:eastAsia="el-GR"/>
        </w:rPr>
      </w:pPr>
      <w:r>
        <w:rPr>
          <w:rFonts w:ascii="Verdana" w:hAnsi="Verdana" w:cs="Arial"/>
          <w:b/>
          <w:sz w:val="16"/>
          <w:szCs w:val="16"/>
          <w:lang w:eastAsia="el-GR"/>
        </w:rPr>
        <w:t>We</w:t>
      </w:r>
      <w:r w:rsidR="000E36BF">
        <w:rPr>
          <w:rFonts w:ascii="Verdana" w:hAnsi="Verdana" w:cs="Arial"/>
          <w:b/>
          <w:sz w:val="16"/>
          <w:szCs w:val="16"/>
          <w:lang w:eastAsia="el-GR"/>
        </w:rPr>
        <w:t xml:space="preserve"> hereby state as follows</w:t>
      </w:r>
      <w:r w:rsidR="002E3941" w:rsidRPr="009A3D49">
        <w:rPr>
          <w:rFonts w:ascii="Verdana" w:hAnsi="Verdana" w:cs="Arial"/>
          <w:b/>
          <w:sz w:val="16"/>
          <w:szCs w:val="16"/>
          <w:lang w:eastAsia="el-GR"/>
        </w:rPr>
        <w:t>:</w:t>
      </w:r>
    </w:p>
    <w:p w:rsidR="00F12650" w:rsidRDefault="00116665"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The Settlement Bank has agreed with the Operator to provide to him the relevant services relating to HELEX’s Ancillary System for serving </w:t>
      </w:r>
      <w:r w:rsidR="00F12650">
        <w:rPr>
          <w:rFonts w:ascii="Verdana" w:hAnsi="Verdana" w:cs="Arial"/>
          <w:sz w:val="16"/>
          <w:szCs w:val="16"/>
          <w:lang w:eastAsia="el-GR"/>
        </w:rPr>
        <w:t>his needs for cash settlement of</w:t>
      </w:r>
      <w:r>
        <w:rPr>
          <w:rFonts w:ascii="Verdana" w:hAnsi="Verdana" w:cs="Arial"/>
          <w:sz w:val="16"/>
          <w:szCs w:val="16"/>
          <w:lang w:eastAsia="el-GR"/>
        </w:rPr>
        <w:t xml:space="preserve"> trades, according to TARGET2-GR Operating Regulation and the “Special Terms </w:t>
      </w:r>
      <w:r w:rsidR="009730D7">
        <w:rPr>
          <w:rFonts w:ascii="Verdana" w:hAnsi="Verdana" w:cs="Arial"/>
          <w:sz w:val="16"/>
          <w:szCs w:val="16"/>
          <w:lang w:eastAsia="el-GR"/>
        </w:rPr>
        <w:t xml:space="preserve">for the Provision of Settlement Bank Services to HELEX’s Ancillary System” to whom the Settlement Bank has acceded by virtue of its statement dated ……… </w:t>
      </w:r>
      <w:r w:rsidR="002E3941" w:rsidRPr="009A3D49">
        <w:rPr>
          <w:rFonts w:ascii="Verdana" w:hAnsi="Verdana" w:cs="Arial"/>
          <w:sz w:val="16"/>
          <w:szCs w:val="16"/>
          <w:lang w:eastAsia="el-GR"/>
        </w:rPr>
        <w:t xml:space="preserve"> </w:t>
      </w:r>
      <w:r w:rsidR="009730D7">
        <w:rPr>
          <w:rFonts w:ascii="Verdana" w:hAnsi="Verdana" w:cs="Arial"/>
          <w:sz w:val="16"/>
          <w:szCs w:val="16"/>
          <w:lang w:eastAsia="el-GR"/>
        </w:rPr>
        <w:t xml:space="preserve">“STATEMENT &amp; SPECIAL TERMS FOR THE PROVISION OF SETTLEMENT BANK SERVICES TO HELEX’S ANCILLARY SYSTEM </w:t>
      </w:r>
      <w:r w:rsidR="00A31F22">
        <w:rPr>
          <w:rFonts w:ascii="Verdana" w:hAnsi="Verdana" w:cs="Arial"/>
          <w:sz w:val="16"/>
          <w:szCs w:val="16"/>
          <w:lang w:eastAsia="el-GR"/>
        </w:rPr>
        <w:t>IN</w:t>
      </w:r>
      <w:r w:rsidR="009730D7">
        <w:rPr>
          <w:rFonts w:ascii="Verdana" w:hAnsi="Verdana" w:cs="Arial"/>
          <w:sz w:val="16"/>
          <w:szCs w:val="16"/>
          <w:lang w:eastAsia="el-GR"/>
        </w:rPr>
        <w:t xml:space="preserve"> TARGET2”</w:t>
      </w:r>
      <w:r w:rsidR="009730D7" w:rsidRPr="00880426">
        <w:rPr>
          <w:rFonts w:ascii="Verdana" w:hAnsi="Verdana" w:cs="Arial"/>
          <w:sz w:val="16"/>
          <w:szCs w:val="16"/>
          <w:lang w:eastAsia="el-GR"/>
        </w:rPr>
        <w:t xml:space="preserve"> </w:t>
      </w:r>
      <w:r w:rsidR="009730D7">
        <w:rPr>
          <w:rFonts w:ascii="Verdana" w:hAnsi="Verdana" w:cs="Arial"/>
          <w:sz w:val="16"/>
          <w:szCs w:val="16"/>
          <w:lang w:eastAsia="el-GR"/>
        </w:rPr>
        <w:t>to HELEX</w:t>
      </w:r>
      <w:r w:rsidR="00F12650">
        <w:rPr>
          <w:rFonts w:ascii="Verdana" w:hAnsi="Verdana" w:cs="Arial"/>
          <w:sz w:val="16"/>
          <w:szCs w:val="16"/>
          <w:lang w:eastAsia="el-GR"/>
        </w:rPr>
        <w:t>.</w:t>
      </w:r>
    </w:p>
    <w:p w:rsidR="002E3941" w:rsidRPr="009A3D49" w:rsidRDefault="00C03976"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Within this framework, the Settlement Bank</w:t>
      </w:r>
      <w:r w:rsidR="002E3941" w:rsidRPr="009A3D49">
        <w:rPr>
          <w:rFonts w:ascii="Verdana" w:hAnsi="Verdana" w:cs="Arial"/>
          <w:sz w:val="16"/>
          <w:szCs w:val="16"/>
          <w:lang w:eastAsia="el-GR"/>
        </w:rPr>
        <w:t xml:space="preserve"> </w:t>
      </w:r>
      <w:r>
        <w:rPr>
          <w:rFonts w:ascii="Verdana" w:hAnsi="Verdana" w:cs="Arial"/>
          <w:sz w:val="16"/>
          <w:szCs w:val="16"/>
          <w:lang w:eastAsia="el-GR"/>
        </w:rPr>
        <w:t>shall open and keep for the Operator all indicated necessary subaccounts in</w:t>
      </w:r>
      <w:r w:rsidRPr="009A3D49">
        <w:rPr>
          <w:rFonts w:ascii="Verdana" w:hAnsi="Verdana" w:cs="Arial"/>
          <w:sz w:val="16"/>
          <w:szCs w:val="16"/>
          <w:lang w:eastAsia="el-GR"/>
        </w:rPr>
        <w:t xml:space="preserve"> TARGET2 </w:t>
      </w:r>
      <w:r>
        <w:rPr>
          <w:rFonts w:ascii="Verdana" w:hAnsi="Verdana" w:cs="Arial"/>
          <w:sz w:val="16"/>
          <w:szCs w:val="16"/>
          <w:lang w:eastAsia="el-GR"/>
        </w:rPr>
        <w:t xml:space="preserve">under </w:t>
      </w:r>
      <w:r w:rsidR="00A31F22">
        <w:rPr>
          <w:rFonts w:ascii="Verdana" w:hAnsi="Verdana" w:cs="Arial"/>
          <w:sz w:val="16"/>
          <w:szCs w:val="16"/>
          <w:lang w:eastAsia="el-GR"/>
        </w:rPr>
        <w:t xml:space="preserve">its </w:t>
      </w:r>
      <w:r>
        <w:rPr>
          <w:rFonts w:ascii="Verdana" w:hAnsi="Verdana" w:cs="Arial"/>
          <w:sz w:val="16"/>
          <w:szCs w:val="16"/>
          <w:lang w:eastAsia="el-GR"/>
        </w:rPr>
        <w:t xml:space="preserve"> cash settlement account (“PM Account”)</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in </w:t>
      </w:r>
      <w:r w:rsidR="002E3941" w:rsidRPr="009A3D49">
        <w:rPr>
          <w:rFonts w:ascii="Verdana" w:hAnsi="Verdana" w:cs="Arial"/>
          <w:sz w:val="16"/>
          <w:szCs w:val="16"/>
          <w:lang w:eastAsia="el-GR"/>
        </w:rPr>
        <w:t xml:space="preserve">TARGET2 </w:t>
      </w:r>
      <w:r>
        <w:rPr>
          <w:rFonts w:ascii="Verdana" w:hAnsi="Verdana" w:cs="Arial"/>
          <w:sz w:val="16"/>
          <w:szCs w:val="16"/>
          <w:lang w:eastAsia="el-GR"/>
        </w:rPr>
        <w:t xml:space="preserve">according to its statement dated </w:t>
      </w:r>
      <w:bookmarkStart w:id="16" w:name="Text16"/>
      <w:r w:rsidR="001B130E">
        <w:rPr>
          <w:rFonts w:ascii="Verdana" w:hAnsi="Verdana" w:cs="Arial"/>
          <w:sz w:val="16"/>
          <w:szCs w:val="16"/>
          <w:lang w:eastAsia="el-GR"/>
        </w:rPr>
        <w:fldChar w:fldCharType="begin">
          <w:ffData>
            <w:name w:val="Text16"/>
            <w:enabled/>
            <w:calcOnExit w:val="0"/>
            <w:textInput>
              <w:default w:val="……………"/>
            </w:textInput>
          </w:ffData>
        </w:fldChar>
      </w:r>
      <w:r w:rsidR="001B130E">
        <w:rPr>
          <w:rFonts w:ascii="Verdana" w:hAnsi="Verdana" w:cs="Arial"/>
          <w:sz w:val="16"/>
          <w:szCs w:val="16"/>
          <w:lang w:eastAsia="el-GR"/>
        </w:rPr>
        <w:instrText xml:space="preserve"> FORMTEXT </w:instrText>
      </w:r>
      <w:r w:rsidR="000D5F3A" w:rsidRPr="001B130E">
        <w:rPr>
          <w:rFonts w:ascii="Verdana" w:hAnsi="Verdana" w:cs="Arial"/>
          <w:sz w:val="16"/>
          <w:szCs w:val="16"/>
          <w:lang w:eastAsia="el-GR"/>
        </w:rPr>
      </w:r>
      <w:r w:rsidR="001B130E">
        <w:rPr>
          <w:rFonts w:ascii="Verdana" w:hAnsi="Verdana" w:cs="Arial"/>
          <w:sz w:val="16"/>
          <w:szCs w:val="16"/>
          <w:lang w:eastAsia="el-GR"/>
        </w:rPr>
        <w:fldChar w:fldCharType="separate"/>
      </w:r>
      <w:r w:rsidR="001B130E">
        <w:rPr>
          <w:rFonts w:ascii="Verdana" w:hAnsi="Verdana" w:cs="Arial"/>
          <w:noProof/>
          <w:sz w:val="16"/>
          <w:szCs w:val="16"/>
          <w:lang w:eastAsia="el-GR"/>
        </w:rPr>
        <w:t>……………</w:t>
      </w:r>
      <w:r w:rsidR="001B130E">
        <w:rPr>
          <w:rFonts w:ascii="Verdana" w:hAnsi="Verdana" w:cs="Arial"/>
          <w:sz w:val="16"/>
          <w:szCs w:val="16"/>
          <w:lang w:eastAsia="el-GR"/>
        </w:rPr>
        <w:fldChar w:fldCharType="end"/>
      </w:r>
      <w:bookmarkEnd w:id="16"/>
      <w:r w:rsidR="002E3941" w:rsidRPr="009A3D49">
        <w:rPr>
          <w:rFonts w:ascii="Verdana" w:hAnsi="Verdana" w:cs="Arial"/>
          <w:sz w:val="16"/>
          <w:szCs w:val="16"/>
          <w:lang w:eastAsia="el-GR"/>
        </w:rPr>
        <w:t xml:space="preserve"> </w:t>
      </w:r>
      <w:r>
        <w:rPr>
          <w:rFonts w:ascii="Verdana" w:hAnsi="Verdana" w:cs="Arial"/>
          <w:sz w:val="16"/>
          <w:szCs w:val="16"/>
          <w:lang w:eastAsia="el-GR"/>
        </w:rPr>
        <w:t>“</w:t>
      </w:r>
      <w:r w:rsidR="002E3941" w:rsidRPr="009A3D49">
        <w:rPr>
          <w:rFonts w:ascii="Verdana" w:hAnsi="Verdana" w:cs="Arial"/>
          <w:sz w:val="16"/>
          <w:szCs w:val="16"/>
          <w:lang w:eastAsia="el-GR"/>
        </w:rPr>
        <w:t xml:space="preserve">TARGET2 form collection of Static Data - Sub Account for dedicated liquidity </w:t>
      </w:r>
      <w:r>
        <w:rPr>
          <w:rFonts w:ascii="Verdana" w:hAnsi="Verdana" w:cs="Arial"/>
          <w:sz w:val="16"/>
          <w:szCs w:val="16"/>
          <w:lang w:eastAsia="el-GR"/>
        </w:rPr>
        <w:t>–“</w:t>
      </w:r>
      <w:r w:rsidR="002E3941" w:rsidRPr="009A3D49">
        <w:rPr>
          <w:rFonts w:ascii="Verdana" w:hAnsi="Verdana" w:cs="Arial"/>
          <w:sz w:val="16"/>
          <w:szCs w:val="16"/>
          <w:lang w:eastAsia="el-GR"/>
        </w:rPr>
        <w:t xml:space="preserve"> (</w:t>
      </w:r>
      <w:r>
        <w:rPr>
          <w:rFonts w:ascii="Verdana" w:hAnsi="Verdana" w:cs="Arial"/>
          <w:sz w:val="16"/>
          <w:szCs w:val="16"/>
          <w:lang w:eastAsia="el-GR"/>
        </w:rPr>
        <w:t>Form</w:t>
      </w:r>
      <w:r w:rsidR="002E3941" w:rsidRPr="009A3D49">
        <w:rPr>
          <w:rFonts w:ascii="Verdana" w:hAnsi="Verdana" w:cs="Arial"/>
          <w:sz w:val="16"/>
          <w:szCs w:val="16"/>
          <w:lang w:eastAsia="el-GR"/>
        </w:rPr>
        <w:t xml:space="preserve"> 1014) </w:t>
      </w:r>
      <w:r>
        <w:rPr>
          <w:rFonts w:ascii="Verdana" w:hAnsi="Verdana" w:cs="Arial"/>
          <w:sz w:val="16"/>
          <w:szCs w:val="16"/>
          <w:lang w:eastAsia="el-GR"/>
        </w:rPr>
        <w:t xml:space="preserve">as such is attached </w:t>
      </w:r>
      <w:r w:rsidR="002E3941" w:rsidRPr="009A3D49">
        <w:rPr>
          <w:rFonts w:ascii="Verdana" w:hAnsi="Verdana" w:cs="Arial"/>
          <w:sz w:val="16"/>
          <w:szCs w:val="16"/>
          <w:lang w:eastAsia="el-GR"/>
        </w:rPr>
        <w:t xml:space="preserve"> (</w:t>
      </w:r>
      <w:r>
        <w:rPr>
          <w:rFonts w:ascii="Verdana" w:hAnsi="Verdana" w:cs="Arial"/>
          <w:sz w:val="16"/>
          <w:szCs w:val="16"/>
          <w:lang w:eastAsia="el-GR"/>
        </w:rPr>
        <w:t>under 8</w:t>
      </w:r>
      <w:r w:rsidR="002E3941" w:rsidRPr="009A3D49">
        <w:rPr>
          <w:rFonts w:ascii="Verdana" w:hAnsi="Verdana" w:cs="Arial"/>
          <w:sz w:val="16"/>
          <w:szCs w:val="16"/>
          <w:lang w:eastAsia="el-GR"/>
        </w:rPr>
        <w:t>)</w:t>
      </w:r>
      <w:r w:rsidR="00D84C3D" w:rsidRPr="009A3D49">
        <w:rPr>
          <w:rFonts w:ascii="Verdana" w:hAnsi="Verdana" w:cs="Arial"/>
          <w:sz w:val="16"/>
          <w:szCs w:val="16"/>
          <w:lang w:eastAsia="el-GR"/>
        </w:rPr>
        <w:t xml:space="preserve"> </w:t>
      </w:r>
      <w:r>
        <w:rPr>
          <w:rFonts w:ascii="Verdana" w:hAnsi="Verdana" w:cs="Arial"/>
          <w:sz w:val="16"/>
          <w:szCs w:val="16"/>
          <w:lang w:eastAsia="el-GR"/>
        </w:rPr>
        <w:t>and the terms hereof</w:t>
      </w:r>
      <w:r w:rsidR="002E3941" w:rsidRPr="009A3D49">
        <w:rPr>
          <w:rFonts w:ascii="Verdana" w:hAnsi="Verdana" w:cs="Arial"/>
          <w:sz w:val="16"/>
          <w:szCs w:val="16"/>
          <w:lang w:eastAsia="el-GR"/>
        </w:rPr>
        <w:t xml:space="preserve">. </w:t>
      </w:r>
      <w:r w:rsidR="00D81A0D">
        <w:rPr>
          <w:rFonts w:ascii="Verdana" w:hAnsi="Verdana" w:cs="Arial"/>
          <w:sz w:val="16"/>
          <w:szCs w:val="16"/>
          <w:lang w:eastAsia="el-GR"/>
        </w:rPr>
        <w:t>The Settlement Bank, being aware of its respective obligations, shall proceed to all necessary actions for providing to the Operator the settlement</w:t>
      </w:r>
      <w:r w:rsidR="005A55A4">
        <w:rPr>
          <w:rFonts w:ascii="Verdana" w:hAnsi="Verdana" w:cs="Arial"/>
          <w:sz w:val="16"/>
          <w:szCs w:val="16"/>
          <w:lang w:eastAsia="el-GR"/>
        </w:rPr>
        <w:t xml:space="preserve"> bank services and shall inform HELEX accordingly, pursuant to </w:t>
      </w:r>
      <w:r w:rsidR="002E3941" w:rsidRPr="009A3D49">
        <w:rPr>
          <w:rFonts w:ascii="Verdana" w:hAnsi="Verdana" w:cs="Arial"/>
          <w:sz w:val="16"/>
          <w:szCs w:val="16"/>
          <w:lang w:eastAsia="el-GR"/>
        </w:rPr>
        <w:t xml:space="preserve">TARGET2-GR </w:t>
      </w:r>
      <w:r w:rsidR="005A55A4">
        <w:rPr>
          <w:rFonts w:ascii="Verdana" w:hAnsi="Verdana" w:cs="Arial"/>
          <w:sz w:val="16"/>
          <w:szCs w:val="16"/>
          <w:lang w:eastAsia="el-GR"/>
        </w:rPr>
        <w:t>Operating Regulation and HELEX’s procedures.</w:t>
      </w:r>
    </w:p>
    <w:p w:rsidR="002E3941" w:rsidRPr="009A3D49" w:rsidRDefault="005A55A4"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Operator has accepted the provision of the settlement bank services by the Settlement Bank, according to the above terms and shall fulfil its obligations relating to the cash settlement through the above subaccounts</w:t>
      </w:r>
      <w:r w:rsidR="002E3941" w:rsidRPr="009A3D49">
        <w:rPr>
          <w:rFonts w:ascii="Verdana" w:hAnsi="Verdana" w:cs="Arial"/>
          <w:sz w:val="16"/>
          <w:szCs w:val="16"/>
          <w:lang w:eastAsia="el-GR"/>
        </w:rPr>
        <w:t xml:space="preserve">. </w:t>
      </w:r>
    </w:p>
    <w:p w:rsidR="00B76F28" w:rsidRPr="009A3D49" w:rsidRDefault="00DC1CF1" w:rsidP="005A2914">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More specifically, the Settlement Bank shall open with a simple application of the Operator a subaccount that shall be set out as Securities Subaccount</w:t>
      </w:r>
      <w:r w:rsidR="002E3941" w:rsidRPr="009A3D49">
        <w:rPr>
          <w:rFonts w:ascii="Verdana" w:hAnsi="Verdana" w:cs="Arial"/>
          <w:sz w:val="16"/>
          <w:szCs w:val="16"/>
          <w:lang w:eastAsia="el-GR"/>
        </w:rPr>
        <w:t xml:space="preserve"> </w:t>
      </w:r>
      <w:r>
        <w:rPr>
          <w:rFonts w:ascii="Verdana" w:hAnsi="Verdana" w:cs="Arial"/>
          <w:sz w:val="16"/>
          <w:szCs w:val="16"/>
          <w:lang w:eastAsia="el-GR"/>
        </w:rPr>
        <w:t xml:space="preserve">If the Operator is a Member </w:t>
      </w:r>
      <w:r w:rsidR="0079060B">
        <w:rPr>
          <w:rFonts w:ascii="Verdana" w:hAnsi="Verdana" w:cs="Arial"/>
          <w:sz w:val="16"/>
          <w:szCs w:val="16"/>
          <w:lang w:eastAsia="el-GR"/>
        </w:rPr>
        <w:t>of</w:t>
      </w:r>
      <w:r>
        <w:rPr>
          <w:rFonts w:ascii="Verdana" w:hAnsi="Verdana" w:cs="Arial"/>
          <w:sz w:val="16"/>
          <w:szCs w:val="16"/>
          <w:lang w:eastAsia="el-GR"/>
        </w:rPr>
        <w:t xml:space="preserve"> ATHEXClear’s Derivatives Clearing System, the Settlement Banks shall op</w:t>
      </w:r>
      <w:r w:rsidR="0079060B">
        <w:rPr>
          <w:rFonts w:ascii="Verdana" w:hAnsi="Verdana" w:cs="Arial"/>
          <w:sz w:val="16"/>
          <w:szCs w:val="16"/>
          <w:lang w:eastAsia="el-GR"/>
        </w:rPr>
        <w:t>e</w:t>
      </w:r>
      <w:r>
        <w:rPr>
          <w:rFonts w:ascii="Verdana" w:hAnsi="Verdana" w:cs="Arial"/>
          <w:sz w:val="16"/>
          <w:szCs w:val="16"/>
          <w:lang w:eastAsia="el-GR"/>
        </w:rPr>
        <w:t xml:space="preserve">n, following relevant application filed by the Operator, an additional subaccount that shall be set out a Derivatives Subaccount. </w:t>
      </w:r>
    </w:p>
    <w:p w:rsidR="00B76F28" w:rsidRPr="009A3D49" w:rsidRDefault="00CC007E" w:rsidP="00B76F28">
      <w:pPr>
        <w:jc w:val="both"/>
        <w:rPr>
          <w:rFonts w:ascii="Verdana" w:eastAsia="Calibri" w:hAnsi="Verdana" w:cs="Arial"/>
          <w:color w:val="000000"/>
          <w:sz w:val="16"/>
          <w:szCs w:val="16"/>
          <w:lang w:eastAsia="el-GR"/>
        </w:rPr>
      </w:pPr>
      <w:r>
        <w:rPr>
          <w:rFonts w:ascii="Verdana" w:eastAsia="Calibri" w:hAnsi="Verdana" w:cs="Arial"/>
          <w:color w:val="000000"/>
          <w:sz w:val="16"/>
          <w:szCs w:val="16"/>
          <w:lang w:eastAsia="el-GR"/>
        </w:rPr>
        <w:t xml:space="preserve">The Subaccount shall bear the specific name of Subaccount and shall have the form of </w:t>
      </w:r>
      <w:r>
        <w:rPr>
          <w:rFonts w:ascii="Verdana" w:eastAsia="Calibri" w:hAnsi="Verdana" w:cs="Arial"/>
          <w:b/>
          <w:bCs/>
          <w:color w:val="000000"/>
          <w:sz w:val="16"/>
          <w:szCs w:val="16"/>
          <w:lang w:eastAsia="el-GR"/>
        </w:rPr>
        <w:t>SB</w:t>
      </w:r>
      <w:r w:rsidR="00B76F28" w:rsidRPr="009A3D49">
        <w:rPr>
          <w:rFonts w:ascii="Verdana" w:eastAsia="Calibri" w:hAnsi="Verdana" w:cs="Arial"/>
          <w:b/>
          <w:bCs/>
          <w:color w:val="0000FF"/>
          <w:sz w:val="16"/>
          <w:szCs w:val="16"/>
          <w:lang w:eastAsia="el-GR"/>
        </w:rPr>
        <w:t>-</w:t>
      </w:r>
      <w:r>
        <w:rPr>
          <w:rFonts w:ascii="Verdana" w:eastAsia="Calibri" w:hAnsi="Verdana" w:cs="Arial"/>
          <w:b/>
          <w:bCs/>
          <w:color w:val="000000"/>
          <w:sz w:val="16"/>
          <w:szCs w:val="16"/>
          <w:lang w:eastAsia="el-GR"/>
        </w:rPr>
        <w:t>OPER</w:t>
      </w:r>
      <w:r w:rsidR="00B76F28" w:rsidRPr="009A3D49">
        <w:rPr>
          <w:rFonts w:ascii="Verdana" w:eastAsia="Calibri" w:hAnsi="Verdana" w:cs="Arial"/>
          <w:b/>
          <w:bCs/>
          <w:color w:val="0000FF"/>
          <w:sz w:val="16"/>
          <w:szCs w:val="16"/>
          <w:lang w:eastAsia="el-GR"/>
        </w:rPr>
        <w:t>-</w:t>
      </w:r>
      <w:r w:rsidR="00CB6327">
        <w:rPr>
          <w:rFonts w:ascii="Verdana" w:eastAsia="Calibri" w:hAnsi="Verdana" w:cs="Arial"/>
          <w:b/>
          <w:bCs/>
          <w:sz w:val="16"/>
          <w:szCs w:val="16"/>
          <w:lang w:eastAsia="el-GR"/>
        </w:rPr>
        <w:t>F</w:t>
      </w:r>
      <w:r w:rsidR="00B76F28" w:rsidRPr="009A3D49">
        <w:rPr>
          <w:rFonts w:ascii="Verdana" w:eastAsia="Calibri" w:hAnsi="Verdana" w:cs="Arial"/>
          <w:color w:val="000000"/>
          <w:sz w:val="16"/>
          <w:szCs w:val="16"/>
          <w:lang w:eastAsia="el-GR"/>
        </w:rPr>
        <w:t xml:space="preserve"> </w:t>
      </w:r>
      <w:r w:rsidR="00CB6327">
        <w:rPr>
          <w:rFonts w:ascii="Verdana" w:eastAsia="Calibri" w:hAnsi="Verdana" w:cs="Arial"/>
          <w:color w:val="000000"/>
          <w:sz w:val="16"/>
          <w:szCs w:val="16"/>
          <w:lang w:eastAsia="el-GR"/>
        </w:rPr>
        <w:t>where</w:t>
      </w:r>
      <w:r w:rsidR="00B76F28" w:rsidRPr="009A3D49">
        <w:rPr>
          <w:rFonts w:ascii="Verdana" w:eastAsia="Calibri" w:hAnsi="Verdana" w:cs="Arial"/>
          <w:color w:val="000000"/>
          <w:sz w:val="16"/>
          <w:szCs w:val="16"/>
          <w:lang w:eastAsia="el-GR"/>
        </w:rPr>
        <w:t xml:space="preserve">:  </w:t>
      </w:r>
    </w:p>
    <w:p w:rsidR="00B76F28" w:rsidRPr="009A3D49" w:rsidRDefault="00CC007E" w:rsidP="00B76F28">
      <w:pPr>
        <w:ind w:left="1418" w:hanging="698"/>
        <w:jc w:val="both"/>
        <w:rPr>
          <w:rFonts w:ascii="Verdana" w:eastAsia="Calibri" w:hAnsi="Verdana" w:cs="Arial"/>
          <w:color w:val="000000"/>
          <w:sz w:val="16"/>
          <w:szCs w:val="16"/>
          <w:lang w:eastAsia="el-GR"/>
        </w:rPr>
      </w:pPr>
      <w:r>
        <w:rPr>
          <w:rFonts w:ascii="Verdana" w:eastAsia="Calibri" w:hAnsi="Verdana" w:cs="Arial"/>
          <w:color w:val="000000"/>
          <w:sz w:val="16"/>
          <w:szCs w:val="16"/>
          <w:lang w:eastAsia="el-GR"/>
        </w:rPr>
        <w:t>SB</w:t>
      </w:r>
      <w:r w:rsidR="00B76F28" w:rsidRPr="009A3D49">
        <w:rPr>
          <w:rFonts w:ascii="Verdana" w:eastAsia="Calibri" w:hAnsi="Verdana" w:cs="Arial"/>
          <w:color w:val="000000"/>
          <w:sz w:val="16"/>
          <w:szCs w:val="16"/>
          <w:lang w:eastAsia="el-GR"/>
        </w:rPr>
        <w:t xml:space="preserve"> =  </w:t>
      </w:r>
      <w:r w:rsidR="00B76F28" w:rsidRPr="009A3D49">
        <w:rPr>
          <w:rFonts w:ascii="Verdana" w:eastAsia="Calibri" w:hAnsi="Verdana" w:cs="Arial"/>
          <w:color w:val="000000"/>
          <w:sz w:val="16"/>
          <w:szCs w:val="16"/>
          <w:lang w:eastAsia="el-GR"/>
        </w:rPr>
        <w:tab/>
      </w:r>
      <w:r w:rsidR="00CB6327">
        <w:rPr>
          <w:rFonts w:ascii="Verdana" w:eastAsia="Calibri" w:hAnsi="Verdana" w:cs="Arial"/>
          <w:color w:val="000000"/>
          <w:sz w:val="16"/>
          <w:szCs w:val="16"/>
          <w:lang w:eastAsia="el-GR"/>
        </w:rPr>
        <w:t xml:space="preserve">the relevant field shall be determined </w:t>
      </w:r>
      <w:r w:rsidR="009D5B3E">
        <w:rPr>
          <w:rFonts w:ascii="Verdana" w:eastAsia="Calibri" w:hAnsi="Verdana" w:cs="Arial"/>
          <w:color w:val="000000"/>
          <w:sz w:val="16"/>
          <w:szCs w:val="16"/>
          <w:lang w:eastAsia="el-GR"/>
        </w:rPr>
        <w:t>by</w:t>
      </w:r>
      <w:r w:rsidR="00CB6327">
        <w:rPr>
          <w:rFonts w:ascii="Verdana" w:eastAsia="Calibri" w:hAnsi="Verdana" w:cs="Arial"/>
          <w:color w:val="000000"/>
          <w:sz w:val="16"/>
          <w:szCs w:val="16"/>
          <w:lang w:eastAsia="el-GR"/>
        </w:rPr>
        <w:t xml:space="preserve"> the first 6 characters of the Settlement Bank’s BIC</w:t>
      </w:r>
      <w:r w:rsidR="00B76F28" w:rsidRPr="009A3D49">
        <w:rPr>
          <w:rFonts w:ascii="Verdana" w:eastAsia="Calibri" w:hAnsi="Verdana" w:cs="Arial"/>
          <w:color w:val="000000"/>
          <w:sz w:val="16"/>
          <w:szCs w:val="16"/>
          <w:lang w:eastAsia="el-GR"/>
        </w:rPr>
        <w:t xml:space="preserve"> (</w:t>
      </w:r>
      <w:r w:rsidR="00CB6327">
        <w:rPr>
          <w:rFonts w:ascii="Verdana" w:eastAsia="Calibri" w:hAnsi="Verdana" w:cs="Arial"/>
          <w:color w:val="000000"/>
          <w:sz w:val="16"/>
          <w:szCs w:val="16"/>
          <w:lang w:eastAsia="el-GR"/>
        </w:rPr>
        <w:t>6 characters maximum</w:t>
      </w:r>
      <w:r w:rsidR="00B76F28" w:rsidRPr="009A3D49">
        <w:rPr>
          <w:rFonts w:ascii="Verdana" w:eastAsia="Calibri" w:hAnsi="Verdana" w:cs="Arial"/>
          <w:color w:val="000000"/>
          <w:sz w:val="16"/>
          <w:szCs w:val="16"/>
          <w:lang w:eastAsia="el-GR"/>
        </w:rPr>
        <w:t xml:space="preserve">), </w:t>
      </w:r>
    </w:p>
    <w:p w:rsidR="00B76F28" w:rsidRPr="009A3D49" w:rsidRDefault="00CB6327" w:rsidP="00B76F28">
      <w:pPr>
        <w:ind w:left="1560" w:hanging="840"/>
        <w:jc w:val="both"/>
        <w:rPr>
          <w:rFonts w:ascii="Verdana" w:eastAsia="Calibri" w:hAnsi="Verdana" w:cs="Arial"/>
          <w:color w:val="000000"/>
          <w:sz w:val="16"/>
          <w:szCs w:val="16"/>
          <w:lang w:eastAsia="el-GR"/>
        </w:rPr>
      </w:pPr>
      <w:r>
        <w:rPr>
          <w:rFonts w:ascii="Verdana" w:eastAsia="Calibri" w:hAnsi="Verdana" w:cs="Arial"/>
          <w:color w:val="000000"/>
          <w:sz w:val="16"/>
          <w:szCs w:val="16"/>
          <w:lang w:eastAsia="el-GR"/>
        </w:rPr>
        <w:t>OPER</w:t>
      </w:r>
      <w:r w:rsidR="00B76F28" w:rsidRPr="009A3D49">
        <w:rPr>
          <w:rFonts w:ascii="Verdana" w:eastAsia="Calibri" w:hAnsi="Verdana" w:cs="Arial"/>
          <w:color w:val="000000"/>
          <w:sz w:val="16"/>
          <w:szCs w:val="16"/>
          <w:lang w:eastAsia="el-GR"/>
        </w:rPr>
        <w:t xml:space="preserve"> = </w:t>
      </w:r>
      <w:r>
        <w:rPr>
          <w:rFonts w:ascii="Verdana" w:eastAsia="Calibri" w:hAnsi="Verdana" w:cs="Arial"/>
          <w:color w:val="000000"/>
          <w:sz w:val="16"/>
          <w:szCs w:val="16"/>
          <w:lang w:eastAsia="el-GR"/>
        </w:rPr>
        <w:t xml:space="preserve">the relevant field shall be determined </w:t>
      </w:r>
      <w:r w:rsidR="009D5B3E">
        <w:rPr>
          <w:rFonts w:ascii="Verdana" w:eastAsia="Calibri" w:hAnsi="Verdana" w:cs="Arial"/>
          <w:color w:val="000000"/>
          <w:sz w:val="16"/>
          <w:szCs w:val="16"/>
          <w:lang w:eastAsia="el-GR"/>
        </w:rPr>
        <w:t>by</w:t>
      </w:r>
      <w:r>
        <w:rPr>
          <w:rFonts w:ascii="Verdana" w:eastAsia="Calibri" w:hAnsi="Verdana" w:cs="Arial"/>
          <w:color w:val="000000"/>
          <w:sz w:val="16"/>
          <w:szCs w:val="16"/>
          <w:lang w:eastAsia="el-GR"/>
        </w:rPr>
        <w:t xml:space="preserve"> the Operator’s code</w:t>
      </w:r>
      <w:r w:rsidR="00E74F48">
        <w:rPr>
          <w:rFonts w:ascii="Verdana" w:eastAsia="Calibri" w:hAnsi="Verdana" w:cs="Arial"/>
          <w:color w:val="000000"/>
          <w:sz w:val="16"/>
          <w:szCs w:val="16"/>
          <w:lang w:eastAsia="el-GR"/>
        </w:rPr>
        <w:t xml:space="preserve"> for whom the subaccount is opened</w:t>
      </w:r>
      <w:r w:rsidR="00B76F28" w:rsidRPr="009A3D49">
        <w:rPr>
          <w:rFonts w:ascii="Verdana" w:eastAsia="Calibri" w:hAnsi="Verdana" w:cs="Arial"/>
          <w:color w:val="000000"/>
          <w:sz w:val="16"/>
          <w:szCs w:val="16"/>
          <w:lang w:eastAsia="el-GR"/>
        </w:rPr>
        <w:t xml:space="preserve"> (3 </w:t>
      </w:r>
      <w:r w:rsidR="00E74F48">
        <w:rPr>
          <w:rFonts w:ascii="Verdana" w:eastAsia="Calibri" w:hAnsi="Verdana" w:cs="Arial"/>
          <w:color w:val="000000"/>
          <w:sz w:val="16"/>
          <w:szCs w:val="16"/>
          <w:lang w:eastAsia="el-GR"/>
        </w:rPr>
        <w:t>characters</w:t>
      </w:r>
      <w:r w:rsidR="00B76F28" w:rsidRPr="009A3D49">
        <w:rPr>
          <w:rFonts w:ascii="Verdana" w:eastAsia="Calibri" w:hAnsi="Verdana" w:cs="Arial"/>
          <w:color w:val="000000"/>
          <w:sz w:val="16"/>
          <w:szCs w:val="16"/>
          <w:lang w:eastAsia="el-GR"/>
        </w:rPr>
        <w:t xml:space="preserve">), </w:t>
      </w:r>
    </w:p>
    <w:p w:rsidR="00B76F28" w:rsidRPr="009A3D49" w:rsidRDefault="001B130E" w:rsidP="00B76F28">
      <w:pPr>
        <w:ind w:left="1418" w:hanging="698"/>
        <w:jc w:val="both"/>
        <w:rPr>
          <w:rFonts w:ascii="Verdana" w:eastAsia="Calibri" w:hAnsi="Verdana" w:cs="Arial"/>
          <w:color w:val="000000"/>
          <w:sz w:val="16"/>
          <w:szCs w:val="16"/>
          <w:lang w:eastAsia="el-GR"/>
        </w:rPr>
      </w:pPr>
      <w:r>
        <w:rPr>
          <w:rFonts w:ascii="Verdana" w:eastAsia="Calibri" w:hAnsi="Verdana" w:cs="Arial"/>
          <w:color w:val="000000"/>
          <w:sz w:val="16"/>
          <w:szCs w:val="16"/>
          <w:lang w:eastAsia="el-GR"/>
        </w:rPr>
        <w:t>F</w:t>
      </w:r>
      <w:r w:rsidR="00B76F28" w:rsidRPr="009A3D49">
        <w:rPr>
          <w:rFonts w:ascii="Verdana" w:eastAsia="Calibri" w:hAnsi="Verdana" w:cs="Arial"/>
          <w:color w:val="000000"/>
          <w:sz w:val="16"/>
          <w:szCs w:val="16"/>
          <w:lang w:eastAsia="el-GR"/>
        </w:rPr>
        <w:t xml:space="preserve">  = </w:t>
      </w:r>
      <w:r w:rsidR="00B76F28" w:rsidRPr="009A3D49">
        <w:rPr>
          <w:rFonts w:ascii="Verdana" w:eastAsia="Calibri" w:hAnsi="Verdana" w:cs="Arial"/>
          <w:color w:val="000000"/>
          <w:sz w:val="16"/>
          <w:szCs w:val="16"/>
          <w:lang w:eastAsia="el-GR"/>
        </w:rPr>
        <w:tab/>
      </w:r>
      <w:r w:rsidR="00E74F48">
        <w:rPr>
          <w:rFonts w:ascii="Verdana" w:eastAsia="Calibri" w:hAnsi="Verdana" w:cs="Arial"/>
          <w:color w:val="000000"/>
          <w:sz w:val="16"/>
          <w:szCs w:val="16"/>
          <w:lang w:eastAsia="el-GR"/>
        </w:rPr>
        <w:t>the relevant field shall be determined by the letter S in the case of Securities Subaccount or the letter D in the case od Derivatives Subaccount</w:t>
      </w:r>
      <w:r w:rsidR="00B76F28" w:rsidRPr="009A3D49">
        <w:rPr>
          <w:rFonts w:ascii="Verdana" w:eastAsia="Calibri" w:hAnsi="Verdana" w:cs="Arial"/>
          <w:color w:val="000000"/>
          <w:sz w:val="16"/>
          <w:szCs w:val="16"/>
          <w:lang w:eastAsia="el-GR"/>
        </w:rPr>
        <w:t xml:space="preserve">.   </w:t>
      </w:r>
    </w:p>
    <w:p w:rsidR="00C30109" w:rsidRDefault="00C30109" w:rsidP="005A2914">
      <w:pPr>
        <w:spacing w:before="120" w:after="120" w:line="240" w:lineRule="atLeast"/>
        <w:jc w:val="both"/>
        <w:rPr>
          <w:rFonts w:ascii="Verdana" w:hAnsi="Verdana" w:cs="Arial"/>
          <w:sz w:val="16"/>
          <w:szCs w:val="16"/>
          <w:lang w:eastAsia="el-GR"/>
        </w:rPr>
      </w:pPr>
    </w:p>
    <w:p w:rsidR="00C30109" w:rsidRPr="009A3D49" w:rsidRDefault="008B6C37" w:rsidP="005A2914">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data of the subaccounts already opened for the Operator are as follows</w:t>
      </w:r>
      <w:r w:rsidR="005A2914" w:rsidRPr="009A3D49">
        <w:rPr>
          <w:rFonts w:ascii="Verdana" w:hAnsi="Verdana" w:cs="Arial"/>
          <w:sz w:val="16"/>
          <w:szCs w:val="16"/>
          <w:lang w:eastAsia="el-GR"/>
        </w:rPr>
        <w:t>:</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537"/>
        <w:gridCol w:w="6749"/>
        <w:tblGridChange w:id="17">
          <w:tblGrid>
            <w:gridCol w:w="2537"/>
            <w:gridCol w:w="6749"/>
          </w:tblGrid>
        </w:tblGridChange>
      </w:tblGrid>
      <w:tr w:rsidR="005A2914" w:rsidRPr="009A3D49" w:rsidTr="00C30109">
        <w:trPr>
          <w:trHeight w:val="397"/>
        </w:trPr>
        <w:tc>
          <w:tcPr>
            <w:tcW w:w="3085" w:type="dxa"/>
            <w:tcBorders>
              <w:top w:val="nil"/>
              <w:bottom w:val="nil"/>
            </w:tcBorders>
            <w:shd w:val="clear" w:color="auto" w:fill="auto"/>
            <w:vAlign w:val="center"/>
          </w:tcPr>
          <w:p w:rsidR="005A2914" w:rsidRPr="009A3D49" w:rsidRDefault="00CC007E" w:rsidP="006776CC">
            <w:pPr>
              <w:spacing w:line="360" w:lineRule="auto"/>
              <w:jc w:val="both"/>
              <w:rPr>
                <w:rFonts w:ascii="Verdana" w:hAnsi="Verdana" w:cs="Arial"/>
                <w:sz w:val="16"/>
                <w:szCs w:val="16"/>
                <w:lang w:eastAsia="el-GR"/>
              </w:rPr>
            </w:pPr>
            <w:r>
              <w:rPr>
                <w:rFonts w:ascii="Verdana" w:hAnsi="Verdana" w:cs="Arial"/>
                <w:sz w:val="16"/>
                <w:szCs w:val="16"/>
                <w:lang w:eastAsia="el-GR"/>
              </w:rPr>
              <w:t>Name of Settlement Bank</w:t>
            </w:r>
          </w:p>
        </w:tc>
        <w:bookmarkStart w:id="18" w:name="Text17"/>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17"/>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18"/>
          </w:p>
        </w:tc>
      </w:tr>
      <w:tr w:rsidR="005A2914" w:rsidRPr="009A3D49" w:rsidTr="00C30109">
        <w:trPr>
          <w:trHeight w:val="397"/>
        </w:trPr>
        <w:tc>
          <w:tcPr>
            <w:tcW w:w="3085" w:type="dxa"/>
            <w:tcBorders>
              <w:top w:val="nil"/>
              <w:bottom w:val="nil"/>
            </w:tcBorders>
            <w:shd w:val="clear" w:color="auto" w:fill="auto"/>
            <w:vAlign w:val="center"/>
          </w:tcPr>
          <w:p w:rsidR="005A2914" w:rsidRPr="009A3D49" w:rsidRDefault="005A2914" w:rsidP="00CC007E">
            <w:pPr>
              <w:spacing w:line="360" w:lineRule="auto"/>
              <w:jc w:val="both"/>
              <w:rPr>
                <w:rFonts w:ascii="Verdana" w:hAnsi="Verdana" w:cs="Arial"/>
                <w:sz w:val="16"/>
                <w:szCs w:val="16"/>
                <w:lang w:eastAsia="el-GR"/>
              </w:rPr>
            </w:pPr>
            <w:r w:rsidRPr="009A3D49">
              <w:rPr>
                <w:rFonts w:ascii="Verdana" w:hAnsi="Verdana" w:cs="Arial"/>
                <w:sz w:val="16"/>
                <w:szCs w:val="16"/>
                <w:lang w:eastAsia="el-GR"/>
              </w:rPr>
              <w:t xml:space="preserve">BIC </w:t>
            </w:r>
            <w:r w:rsidR="00CC007E">
              <w:rPr>
                <w:rFonts w:ascii="Verdana" w:hAnsi="Verdana" w:cs="Arial"/>
                <w:sz w:val="16"/>
                <w:szCs w:val="16"/>
                <w:lang w:eastAsia="el-GR"/>
              </w:rPr>
              <w:t>of Settlement Bank</w:t>
            </w:r>
          </w:p>
        </w:tc>
        <w:bookmarkStart w:id="19" w:name="Text18"/>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18"/>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19"/>
          </w:p>
        </w:tc>
      </w:tr>
      <w:tr w:rsidR="005A2914" w:rsidRPr="009A3D49" w:rsidTr="00C30109">
        <w:trPr>
          <w:trHeight w:val="397"/>
        </w:trPr>
        <w:tc>
          <w:tcPr>
            <w:tcW w:w="3085" w:type="dxa"/>
            <w:tcBorders>
              <w:top w:val="nil"/>
              <w:bottom w:val="nil"/>
            </w:tcBorders>
            <w:shd w:val="clear" w:color="auto" w:fill="auto"/>
            <w:vAlign w:val="center"/>
          </w:tcPr>
          <w:p w:rsidR="005A2914" w:rsidRPr="009A3D49" w:rsidRDefault="00CC007E" w:rsidP="00CC007E">
            <w:pPr>
              <w:spacing w:line="360" w:lineRule="auto"/>
              <w:jc w:val="both"/>
              <w:rPr>
                <w:rFonts w:ascii="Verdana" w:hAnsi="Verdana" w:cs="Arial"/>
                <w:sz w:val="16"/>
                <w:szCs w:val="16"/>
                <w:lang w:eastAsia="el-GR"/>
              </w:rPr>
            </w:pPr>
            <w:r>
              <w:rPr>
                <w:rFonts w:ascii="Verdana" w:hAnsi="Verdana" w:cs="Arial"/>
                <w:sz w:val="16"/>
                <w:szCs w:val="16"/>
                <w:lang w:eastAsia="el-GR"/>
              </w:rPr>
              <w:t>Name of Operator</w:t>
            </w:r>
          </w:p>
        </w:tc>
        <w:bookmarkStart w:id="20" w:name="Text19"/>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19"/>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0"/>
          </w:p>
        </w:tc>
      </w:tr>
      <w:tr w:rsidR="005A2914" w:rsidRPr="009A3D49" w:rsidTr="00C30109">
        <w:trPr>
          <w:trHeight w:val="397"/>
        </w:trPr>
        <w:tc>
          <w:tcPr>
            <w:tcW w:w="3085" w:type="dxa"/>
            <w:tcBorders>
              <w:top w:val="nil"/>
              <w:bottom w:val="nil"/>
            </w:tcBorders>
            <w:shd w:val="clear" w:color="auto" w:fill="auto"/>
            <w:vAlign w:val="center"/>
          </w:tcPr>
          <w:p w:rsidR="005A2914" w:rsidRPr="009A3D49" w:rsidRDefault="008B6C37" w:rsidP="008B6C37">
            <w:pPr>
              <w:spacing w:line="360" w:lineRule="auto"/>
              <w:jc w:val="both"/>
              <w:rPr>
                <w:rFonts w:ascii="Verdana" w:hAnsi="Verdana" w:cs="Arial"/>
                <w:sz w:val="16"/>
                <w:szCs w:val="16"/>
                <w:lang w:eastAsia="el-GR"/>
              </w:rPr>
            </w:pPr>
            <w:r>
              <w:rPr>
                <w:rFonts w:ascii="Verdana" w:hAnsi="Verdana" w:cs="Arial"/>
                <w:sz w:val="16"/>
                <w:szCs w:val="16"/>
                <w:lang w:eastAsia="el-GR"/>
              </w:rPr>
              <w:t xml:space="preserve">DSS Operator Code </w:t>
            </w:r>
          </w:p>
        </w:tc>
        <w:bookmarkStart w:id="21" w:name="Text20"/>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20"/>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1"/>
          </w:p>
        </w:tc>
      </w:tr>
      <w:tr w:rsidR="005A2914" w:rsidRPr="009A3D49" w:rsidTr="00C30109">
        <w:trPr>
          <w:trHeight w:val="397"/>
        </w:trPr>
        <w:tc>
          <w:tcPr>
            <w:tcW w:w="3085" w:type="dxa"/>
            <w:tcBorders>
              <w:top w:val="nil"/>
              <w:bottom w:val="nil"/>
            </w:tcBorders>
            <w:shd w:val="clear" w:color="auto" w:fill="auto"/>
            <w:vAlign w:val="center"/>
          </w:tcPr>
          <w:p w:rsidR="005A2914" w:rsidRPr="009A3D49" w:rsidRDefault="008B6C37" w:rsidP="008B6C37">
            <w:pPr>
              <w:spacing w:line="360" w:lineRule="auto"/>
              <w:jc w:val="both"/>
              <w:rPr>
                <w:rFonts w:ascii="Verdana" w:hAnsi="Verdana" w:cs="Arial"/>
                <w:sz w:val="16"/>
                <w:szCs w:val="16"/>
                <w:lang w:eastAsia="el-GR"/>
              </w:rPr>
            </w:pPr>
            <w:r>
              <w:rPr>
                <w:rFonts w:ascii="Verdana" w:hAnsi="Verdana" w:cs="Arial"/>
                <w:sz w:val="16"/>
                <w:szCs w:val="16"/>
                <w:lang w:eastAsia="el-GR"/>
              </w:rPr>
              <w:t xml:space="preserve">Operator’s </w:t>
            </w:r>
            <w:r w:rsidR="005A2914" w:rsidRPr="009A3D49">
              <w:rPr>
                <w:rFonts w:ascii="Verdana" w:hAnsi="Verdana" w:cs="Arial"/>
                <w:sz w:val="16"/>
                <w:szCs w:val="16"/>
                <w:lang w:eastAsia="el-GR"/>
              </w:rPr>
              <w:t xml:space="preserve">BIC </w:t>
            </w:r>
          </w:p>
        </w:tc>
        <w:bookmarkStart w:id="22" w:name="Text21"/>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21"/>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2"/>
          </w:p>
        </w:tc>
      </w:tr>
      <w:tr w:rsidR="005A2914" w:rsidRPr="009A3D49" w:rsidTr="00C30109">
        <w:trPr>
          <w:trHeight w:val="397"/>
        </w:trPr>
        <w:tc>
          <w:tcPr>
            <w:tcW w:w="3085" w:type="dxa"/>
            <w:tcBorders>
              <w:top w:val="nil"/>
              <w:bottom w:val="nil"/>
            </w:tcBorders>
            <w:shd w:val="clear" w:color="auto" w:fill="auto"/>
            <w:vAlign w:val="center"/>
          </w:tcPr>
          <w:p w:rsidR="005A2914" w:rsidRPr="009A3D49" w:rsidRDefault="008B6C37" w:rsidP="008B6C37">
            <w:pPr>
              <w:spacing w:line="360" w:lineRule="auto"/>
              <w:jc w:val="both"/>
              <w:rPr>
                <w:rFonts w:ascii="Verdana" w:hAnsi="Verdana" w:cs="Arial"/>
                <w:b/>
                <w:sz w:val="16"/>
                <w:szCs w:val="16"/>
                <w:lang w:eastAsia="el-GR"/>
              </w:rPr>
            </w:pPr>
            <w:r>
              <w:rPr>
                <w:rFonts w:ascii="Verdana" w:hAnsi="Verdana" w:cs="Arial"/>
                <w:b/>
                <w:sz w:val="16"/>
                <w:szCs w:val="16"/>
                <w:lang w:eastAsia="el-GR"/>
              </w:rPr>
              <w:t xml:space="preserve">Securities </w:t>
            </w:r>
            <w:r w:rsidR="005A2914" w:rsidRPr="009A3D49">
              <w:rPr>
                <w:rFonts w:ascii="Verdana" w:hAnsi="Verdana" w:cs="Arial"/>
                <w:b/>
                <w:sz w:val="16"/>
                <w:szCs w:val="16"/>
                <w:lang w:eastAsia="el-GR"/>
              </w:rPr>
              <w:t xml:space="preserve"> </w:t>
            </w:r>
            <w:r>
              <w:rPr>
                <w:rFonts w:ascii="Verdana" w:hAnsi="Verdana" w:cs="Arial"/>
                <w:b/>
                <w:sz w:val="16"/>
                <w:szCs w:val="16"/>
                <w:lang w:eastAsia="el-GR"/>
              </w:rPr>
              <w:t>Subaccount</w:t>
            </w:r>
          </w:p>
        </w:tc>
        <w:tc>
          <w:tcPr>
            <w:tcW w:w="5635" w:type="dxa"/>
            <w:tcBorders>
              <w:top w:val="nil"/>
              <w:bottom w:val="nil"/>
            </w:tcBorders>
            <w:shd w:val="clear" w:color="auto" w:fill="auto"/>
            <w:vAlign w:val="center"/>
          </w:tcPr>
          <w:p w:rsidR="005A2914" w:rsidRPr="009A3D49" w:rsidRDefault="005A2914" w:rsidP="006776CC">
            <w:pPr>
              <w:spacing w:line="360" w:lineRule="auto"/>
              <w:jc w:val="both"/>
              <w:rPr>
                <w:rFonts w:ascii="Verdana" w:hAnsi="Verdana" w:cs="Arial"/>
                <w:sz w:val="16"/>
                <w:szCs w:val="16"/>
                <w:lang w:eastAsia="el-GR"/>
              </w:rPr>
            </w:pPr>
          </w:p>
        </w:tc>
      </w:tr>
      <w:tr w:rsidR="005A2914" w:rsidRPr="009A3D49" w:rsidTr="00C30109">
        <w:trPr>
          <w:trHeight w:val="397"/>
        </w:trPr>
        <w:tc>
          <w:tcPr>
            <w:tcW w:w="3085" w:type="dxa"/>
            <w:tcBorders>
              <w:top w:val="nil"/>
              <w:bottom w:val="nil"/>
            </w:tcBorders>
            <w:shd w:val="clear" w:color="auto" w:fill="auto"/>
            <w:vAlign w:val="center"/>
          </w:tcPr>
          <w:p w:rsidR="005A2914" w:rsidRPr="009A3D49" w:rsidRDefault="008B6C37" w:rsidP="008B6C37">
            <w:pPr>
              <w:spacing w:line="360" w:lineRule="auto"/>
              <w:jc w:val="both"/>
              <w:rPr>
                <w:rFonts w:ascii="Verdana" w:hAnsi="Verdana" w:cs="Arial"/>
                <w:sz w:val="16"/>
                <w:szCs w:val="16"/>
                <w:lang w:eastAsia="el-GR"/>
              </w:rPr>
            </w:pPr>
            <w:r>
              <w:rPr>
                <w:rFonts w:ascii="Verdana" w:hAnsi="Verdana" w:cs="Arial"/>
                <w:sz w:val="16"/>
                <w:szCs w:val="16"/>
                <w:lang w:eastAsia="el-GR"/>
              </w:rPr>
              <w:t xml:space="preserve">Subaccount </w:t>
            </w:r>
            <w:r w:rsidR="005A2914" w:rsidRPr="009A3D49">
              <w:rPr>
                <w:rFonts w:ascii="Verdana" w:hAnsi="Verdana" w:cs="Arial"/>
                <w:sz w:val="16"/>
                <w:szCs w:val="16"/>
                <w:lang w:eastAsia="el-GR"/>
              </w:rPr>
              <w:t>ΙΒΑΝ</w:t>
            </w:r>
          </w:p>
        </w:tc>
        <w:bookmarkStart w:id="23" w:name="Text22"/>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22"/>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3"/>
          </w:p>
        </w:tc>
      </w:tr>
      <w:tr w:rsidR="005A2914" w:rsidRPr="009A3D49" w:rsidTr="00C30109">
        <w:trPr>
          <w:trHeight w:val="397"/>
        </w:trPr>
        <w:tc>
          <w:tcPr>
            <w:tcW w:w="3085" w:type="dxa"/>
            <w:tcBorders>
              <w:top w:val="nil"/>
              <w:bottom w:val="nil"/>
            </w:tcBorders>
            <w:shd w:val="clear" w:color="auto" w:fill="auto"/>
            <w:vAlign w:val="center"/>
          </w:tcPr>
          <w:p w:rsidR="005A2914" w:rsidRPr="009A3D49" w:rsidRDefault="008B6C37" w:rsidP="008B6C37">
            <w:pPr>
              <w:spacing w:line="360" w:lineRule="auto"/>
              <w:jc w:val="both"/>
              <w:rPr>
                <w:rFonts w:ascii="Verdana" w:hAnsi="Verdana" w:cs="Arial"/>
                <w:sz w:val="16"/>
                <w:szCs w:val="16"/>
                <w:lang w:eastAsia="el-GR"/>
              </w:rPr>
            </w:pPr>
            <w:r>
              <w:rPr>
                <w:rFonts w:ascii="Verdana" w:hAnsi="Verdana" w:cs="Arial"/>
                <w:sz w:val="16"/>
                <w:szCs w:val="16"/>
                <w:lang w:eastAsia="el-GR"/>
              </w:rPr>
              <w:t>Name of Subaccount</w:t>
            </w:r>
          </w:p>
        </w:tc>
        <w:bookmarkStart w:id="24" w:name="Text23"/>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23"/>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4"/>
          </w:p>
        </w:tc>
      </w:tr>
      <w:tr w:rsidR="00B76F28" w:rsidRPr="009A3D49" w:rsidTr="00C30109">
        <w:trPr>
          <w:trHeight w:val="397"/>
        </w:trPr>
        <w:tc>
          <w:tcPr>
            <w:tcW w:w="3085" w:type="dxa"/>
            <w:tcBorders>
              <w:top w:val="nil"/>
              <w:bottom w:val="nil"/>
            </w:tcBorders>
            <w:shd w:val="clear" w:color="auto" w:fill="auto"/>
            <w:vAlign w:val="center"/>
          </w:tcPr>
          <w:p w:rsidR="005A2914" w:rsidRPr="009A3D49" w:rsidRDefault="008B6C37" w:rsidP="008B6C37">
            <w:pPr>
              <w:spacing w:line="360" w:lineRule="auto"/>
              <w:jc w:val="both"/>
              <w:rPr>
                <w:rFonts w:ascii="Verdana" w:hAnsi="Verdana" w:cs="Arial"/>
                <w:b/>
                <w:sz w:val="16"/>
                <w:szCs w:val="16"/>
                <w:lang w:eastAsia="el-GR"/>
              </w:rPr>
            </w:pPr>
            <w:r>
              <w:rPr>
                <w:rFonts w:ascii="Verdana" w:hAnsi="Verdana" w:cs="Arial"/>
                <w:b/>
                <w:sz w:val="16"/>
                <w:szCs w:val="16"/>
                <w:lang w:eastAsia="el-GR"/>
              </w:rPr>
              <w:lastRenderedPageBreak/>
              <w:t xml:space="preserve">Derivatives Subaccount </w:t>
            </w:r>
          </w:p>
        </w:tc>
        <w:tc>
          <w:tcPr>
            <w:tcW w:w="5635" w:type="dxa"/>
            <w:tcBorders>
              <w:top w:val="nil"/>
              <w:bottom w:val="nil"/>
            </w:tcBorders>
            <w:shd w:val="clear" w:color="auto" w:fill="auto"/>
            <w:vAlign w:val="center"/>
          </w:tcPr>
          <w:p w:rsidR="005A2914" w:rsidRPr="009A3D49" w:rsidRDefault="005A2914" w:rsidP="006776CC">
            <w:pPr>
              <w:spacing w:line="360" w:lineRule="auto"/>
              <w:jc w:val="both"/>
              <w:rPr>
                <w:rFonts w:ascii="Verdana" w:hAnsi="Verdana" w:cs="Arial"/>
                <w:sz w:val="16"/>
                <w:szCs w:val="16"/>
                <w:lang w:eastAsia="el-GR"/>
              </w:rPr>
            </w:pPr>
          </w:p>
        </w:tc>
      </w:tr>
      <w:tr w:rsidR="00B76F28" w:rsidRPr="009A3D49" w:rsidTr="00C30109">
        <w:trPr>
          <w:trHeight w:val="397"/>
        </w:trPr>
        <w:tc>
          <w:tcPr>
            <w:tcW w:w="3085" w:type="dxa"/>
            <w:tcBorders>
              <w:top w:val="nil"/>
              <w:bottom w:val="nil"/>
            </w:tcBorders>
            <w:shd w:val="clear" w:color="auto" w:fill="auto"/>
            <w:vAlign w:val="center"/>
          </w:tcPr>
          <w:p w:rsidR="005A2914" w:rsidRPr="009A3D49" w:rsidRDefault="008B6C37" w:rsidP="006776CC">
            <w:pPr>
              <w:spacing w:line="360" w:lineRule="auto"/>
              <w:jc w:val="both"/>
              <w:rPr>
                <w:rFonts w:ascii="Verdana" w:hAnsi="Verdana" w:cs="Arial"/>
                <w:sz w:val="16"/>
                <w:szCs w:val="16"/>
                <w:lang w:eastAsia="el-GR"/>
              </w:rPr>
            </w:pPr>
            <w:r>
              <w:rPr>
                <w:rFonts w:ascii="Verdana" w:hAnsi="Verdana" w:cs="Arial"/>
                <w:sz w:val="16"/>
                <w:szCs w:val="16"/>
                <w:lang w:eastAsia="el-GR"/>
              </w:rPr>
              <w:t xml:space="preserve">Subaccount </w:t>
            </w:r>
            <w:r w:rsidRPr="009A3D49">
              <w:rPr>
                <w:rFonts w:ascii="Verdana" w:hAnsi="Verdana" w:cs="Arial"/>
                <w:sz w:val="16"/>
                <w:szCs w:val="16"/>
                <w:lang w:eastAsia="el-GR"/>
              </w:rPr>
              <w:t>ΙΒΑΝ</w:t>
            </w:r>
          </w:p>
        </w:tc>
        <w:bookmarkStart w:id="25" w:name="Text24"/>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24"/>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5"/>
          </w:p>
        </w:tc>
      </w:tr>
      <w:tr w:rsidR="00B76F28" w:rsidRPr="009A3D49" w:rsidTr="00C30109">
        <w:trPr>
          <w:trHeight w:val="397"/>
        </w:trPr>
        <w:tc>
          <w:tcPr>
            <w:tcW w:w="3085" w:type="dxa"/>
            <w:tcBorders>
              <w:top w:val="nil"/>
              <w:bottom w:val="nil"/>
            </w:tcBorders>
            <w:shd w:val="clear" w:color="auto" w:fill="auto"/>
            <w:vAlign w:val="center"/>
          </w:tcPr>
          <w:p w:rsidR="005A2914" w:rsidRPr="009A3D49" w:rsidRDefault="008B6C37" w:rsidP="006776CC">
            <w:pPr>
              <w:spacing w:line="360" w:lineRule="auto"/>
              <w:jc w:val="both"/>
              <w:rPr>
                <w:rFonts w:ascii="Verdana" w:hAnsi="Verdana" w:cs="Arial"/>
                <w:sz w:val="16"/>
                <w:szCs w:val="16"/>
                <w:lang w:eastAsia="el-GR"/>
              </w:rPr>
            </w:pPr>
            <w:r>
              <w:rPr>
                <w:rFonts w:ascii="Verdana" w:hAnsi="Verdana" w:cs="Arial"/>
                <w:sz w:val="16"/>
                <w:szCs w:val="16"/>
                <w:lang w:eastAsia="el-GR"/>
              </w:rPr>
              <w:t>Name of Subaccount</w:t>
            </w:r>
          </w:p>
        </w:tc>
        <w:bookmarkStart w:id="26" w:name="Text25"/>
        <w:tc>
          <w:tcPr>
            <w:tcW w:w="5635" w:type="dxa"/>
            <w:tcBorders>
              <w:top w:val="nil"/>
              <w:bottom w:val="nil"/>
            </w:tcBorders>
            <w:shd w:val="clear" w:color="auto" w:fill="auto"/>
            <w:vAlign w:val="center"/>
          </w:tcPr>
          <w:p w:rsidR="005A2914" w:rsidRPr="009A3D49" w:rsidRDefault="00C30109" w:rsidP="006776CC">
            <w:pPr>
              <w:spacing w:line="360" w:lineRule="auto"/>
              <w:jc w:val="both"/>
              <w:rPr>
                <w:rFonts w:ascii="Verdana" w:hAnsi="Verdana" w:cs="Arial"/>
                <w:sz w:val="16"/>
                <w:szCs w:val="16"/>
                <w:lang w:eastAsia="el-GR"/>
              </w:rPr>
            </w:pPr>
            <w:r>
              <w:rPr>
                <w:rFonts w:ascii="Verdana" w:hAnsi="Verdana" w:cs="Arial"/>
                <w:sz w:val="16"/>
                <w:szCs w:val="16"/>
                <w:lang w:eastAsia="el-GR"/>
              </w:rPr>
              <w:fldChar w:fldCharType="begin">
                <w:ffData>
                  <w:name w:val="Text25"/>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6"/>
          </w:p>
        </w:tc>
      </w:tr>
    </w:tbl>
    <w:p w:rsidR="00B76F28" w:rsidRPr="009A3D49" w:rsidRDefault="00B76F28" w:rsidP="00351D53">
      <w:pPr>
        <w:jc w:val="both"/>
        <w:rPr>
          <w:rFonts w:ascii="Verdana" w:hAnsi="Verdana" w:cs="Arial"/>
          <w:i/>
          <w:sz w:val="16"/>
          <w:szCs w:val="16"/>
          <w:lang w:eastAsia="el-GR"/>
        </w:rPr>
      </w:pPr>
    </w:p>
    <w:p w:rsidR="002E3941" w:rsidRPr="009A3D49" w:rsidRDefault="008B6C37"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More specifically, it is agreed and stated that the Settlement Bank and the Operator shall</w:t>
      </w:r>
      <w:r w:rsidR="002E3941" w:rsidRPr="009A3D49">
        <w:rPr>
          <w:rFonts w:ascii="Verdana" w:hAnsi="Verdana" w:cs="Arial"/>
          <w:sz w:val="16"/>
          <w:szCs w:val="16"/>
          <w:lang w:eastAsia="el-GR"/>
        </w:rPr>
        <w:t xml:space="preserve">: </w:t>
      </w:r>
    </w:p>
    <w:p w:rsidR="008B6C37" w:rsidRDefault="008B6C37" w:rsidP="00AE3A95">
      <w:pPr>
        <w:numPr>
          <w:ilvl w:val="0"/>
          <w:numId w:val="35"/>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Be bound to inform HELEX in any case of change of the data of the Subaccount kept by the Settlement Bank for the Operator according to the above, as the case may be.</w:t>
      </w:r>
    </w:p>
    <w:p w:rsidR="002E3941" w:rsidRPr="009A3D49" w:rsidRDefault="008B6C37" w:rsidP="00AE3A95">
      <w:pPr>
        <w:numPr>
          <w:ilvl w:val="0"/>
          <w:numId w:val="35"/>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Act in compliance with the settlement Procedure indicated by HELEX according to </w:t>
      </w:r>
      <w:r w:rsidR="002E3941" w:rsidRPr="009A3D49">
        <w:rPr>
          <w:rFonts w:ascii="Verdana" w:hAnsi="Verdana" w:cs="Arial"/>
          <w:sz w:val="16"/>
          <w:szCs w:val="16"/>
          <w:lang w:eastAsia="el-GR"/>
        </w:rPr>
        <w:t>TARGET2</w:t>
      </w:r>
      <w:r w:rsidR="009F0F2E">
        <w:rPr>
          <w:rFonts w:ascii="Verdana" w:hAnsi="Verdana" w:cs="Arial"/>
          <w:sz w:val="16"/>
          <w:szCs w:val="16"/>
          <w:lang w:eastAsia="el-GR"/>
        </w:rPr>
        <w:t xml:space="preserve"> Guidelines</w:t>
      </w:r>
      <w:r w:rsidR="002E3941" w:rsidRPr="009A3D49">
        <w:rPr>
          <w:rFonts w:ascii="Verdana" w:hAnsi="Verdana" w:cs="Arial"/>
          <w:sz w:val="16"/>
          <w:szCs w:val="16"/>
          <w:lang w:eastAsia="el-GR"/>
        </w:rPr>
        <w:t>.</w:t>
      </w:r>
    </w:p>
    <w:p w:rsidR="002E3941" w:rsidRPr="009A3D49" w:rsidRDefault="008B6C37" w:rsidP="00AE3A95">
      <w:pPr>
        <w:numPr>
          <w:ilvl w:val="0"/>
          <w:numId w:val="35"/>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Adopt adequate procedures for connecting the Operator’s commercial accounts with the Subaccounts kept for him by the Settlement Banks  and shall proceed to debits and credits through the above accounts and Subaccounts, in order to safeguard the duly and timely fulfilment of their respective obligations to HELEX for the smooth operation of the cash settlement</w:t>
      </w:r>
      <w:r w:rsidR="002E3941" w:rsidRPr="009A3D49">
        <w:rPr>
          <w:rFonts w:ascii="Verdana" w:hAnsi="Verdana" w:cs="Arial"/>
          <w:sz w:val="16"/>
          <w:szCs w:val="16"/>
          <w:lang w:eastAsia="el-GR"/>
        </w:rPr>
        <w:t xml:space="preserve">.    </w:t>
      </w:r>
    </w:p>
    <w:p w:rsidR="002E3941" w:rsidRPr="009A3D49" w:rsidRDefault="008B6C37" w:rsidP="00AE3A95">
      <w:pPr>
        <w:numPr>
          <w:ilvl w:val="0"/>
          <w:numId w:val="35"/>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Cooperate, in case of failure or malfunction or technical problems, in general, or other emergencies that obstruct the </w:t>
      </w:r>
      <w:r w:rsidR="00F61841">
        <w:rPr>
          <w:rFonts w:ascii="Verdana" w:hAnsi="Verdana" w:cs="Arial"/>
          <w:sz w:val="16"/>
          <w:szCs w:val="16"/>
          <w:lang w:eastAsia="el-GR"/>
        </w:rPr>
        <w:t>operation of the accounts and subaccounts under 4) above and shall promptly inform HELEX accordingly in order to be in the position to fulfil their obligations to it, according to HELEX’s procedures relating to the cash settlement</w:t>
      </w:r>
      <w:r w:rsidR="002E3941" w:rsidRPr="009A3D49">
        <w:rPr>
          <w:rFonts w:ascii="Verdana" w:hAnsi="Verdana" w:cs="Arial"/>
          <w:sz w:val="16"/>
          <w:szCs w:val="16"/>
          <w:lang w:eastAsia="el-GR"/>
        </w:rPr>
        <w:t xml:space="preserve">.  </w:t>
      </w:r>
    </w:p>
    <w:p w:rsidR="002E3941" w:rsidRPr="009A3D49" w:rsidRDefault="008B6C37" w:rsidP="00AE3A95">
      <w:pPr>
        <w:numPr>
          <w:ilvl w:val="0"/>
          <w:numId w:val="35"/>
        </w:num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Cooperate</w:t>
      </w:r>
      <w:r w:rsidRPr="009A3D49">
        <w:rPr>
          <w:rFonts w:ascii="Verdana" w:hAnsi="Verdana" w:cs="Arial"/>
          <w:sz w:val="16"/>
          <w:szCs w:val="16"/>
          <w:lang w:eastAsia="el-GR"/>
        </w:rPr>
        <w:t xml:space="preserve"> </w:t>
      </w:r>
      <w:r w:rsidR="00834A3D">
        <w:rPr>
          <w:rFonts w:ascii="Verdana" w:hAnsi="Verdana" w:cs="Arial"/>
          <w:sz w:val="16"/>
          <w:szCs w:val="16"/>
          <w:lang w:eastAsia="el-GR"/>
        </w:rPr>
        <w:t xml:space="preserve">so in case of closing of a Subaccount kept by the Settlement Bank for the Operator, or in case of resignation of the Settlement Bank, as set out in the “Special Terms for the Provision of Settlement Bank Services in HELEX’s Ancillary System”, signed by the Settlement Bank, it is safeguarded that a new respective subaccount shall be opened for the Operator in </w:t>
      </w:r>
      <w:r w:rsidR="002E3941" w:rsidRPr="009A3D49">
        <w:rPr>
          <w:rFonts w:ascii="Verdana" w:hAnsi="Verdana" w:cs="Arial"/>
          <w:sz w:val="16"/>
          <w:szCs w:val="16"/>
          <w:lang w:eastAsia="el-GR"/>
        </w:rPr>
        <w:t xml:space="preserve">TARGET2 </w:t>
      </w:r>
      <w:r w:rsidR="00834A3D">
        <w:rPr>
          <w:rFonts w:ascii="Verdana" w:hAnsi="Verdana" w:cs="Arial"/>
          <w:sz w:val="16"/>
          <w:szCs w:val="16"/>
          <w:lang w:eastAsia="el-GR"/>
        </w:rPr>
        <w:t>by another Settlement Bank or the Operator itself, in case it acts as Settlement Bank, and HELEX sha</w:t>
      </w:r>
      <w:r w:rsidR="003C1713">
        <w:rPr>
          <w:rFonts w:ascii="Verdana" w:hAnsi="Verdana" w:cs="Arial"/>
          <w:sz w:val="16"/>
          <w:szCs w:val="16"/>
          <w:lang w:eastAsia="el-GR"/>
        </w:rPr>
        <w:t>ll have received its data prior</w:t>
      </w:r>
      <w:r w:rsidR="002E3941" w:rsidRPr="009A3D49">
        <w:rPr>
          <w:rFonts w:ascii="Verdana" w:hAnsi="Verdana" w:cs="Arial"/>
          <w:sz w:val="16"/>
          <w:szCs w:val="16"/>
          <w:lang w:eastAsia="el-GR"/>
        </w:rPr>
        <w:t xml:space="preserve"> </w:t>
      </w:r>
      <w:r w:rsidR="00834A3D">
        <w:rPr>
          <w:rFonts w:ascii="Verdana" w:hAnsi="Verdana" w:cs="Arial"/>
          <w:sz w:val="16"/>
          <w:szCs w:val="16"/>
          <w:lang w:eastAsia="el-GR"/>
        </w:rPr>
        <w:t>to the closing of the respective Subaccount</w:t>
      </w:r>
      <w:r w:rsidR="002E3941" w:rsidRPr="009A3D49">
        <w:rPr>
          <w:rFonts w:ascii="Verdana" w:hAnsi="Verdana" w:cs="Arial"/>
          <w:sz w:val="16"/>
          <w:szCs w:val="16"/>
          <w:lang w:eastAsia="el-GR"/>
        </w:rPr>
        <w:t xml:space="preserve">. </w:t>
      </w:r>
      <w:r w:rsidR="003C1713">
        <w:rPr>
          <w:rFonts w:ascii="Verdana" w:hAnsi="Verdana" w:cs="Arial"/>
          <w:sz w:val="16"/>
          <w:szCs w:val="16"/>
          <w:lang w:eastAsia="el-GR"/>
        </w:rPr>
        <w:t>The Settlement Bank acknowledges that it shall not proceed to the immediate closing of a subaccount, unless it is so imposed due to the loss of the capacity of Operator and provided that it has been previously informed by HELEX. In any case, in order to close a subaccount, the Settlement Bank states that it shall</w:t>
      </w:r>
      <w:r w:rsidR="002871C0">
        <w:rPr>
          <w:rFonts w:ascii="Verdana" w:hAnsi="Verdana" w:cs="Arial"/>
          <w:sz w:val="16"/>
          <w:szCs w:val="16"/>
          <w:lang w:eastAsia="el-GR"/>
        </w:rPr>
        <w:t xml:space="preserve"> duly fill out the standard form</w:t>
      </w:r>
      <w:r w:rsidR="003C1713">
        <w:rPr>
          <w:rFonts w:ascii="Verdana" w:hAnsi="Verdana" w:cs="Arial"/>
          <w:sz w:val="16"/>
          <w:szCs w:val="16"/>
          <w:lang w:eastAsia="el-GR"/>
        </w:rPr>
        <w:t xml:space="preserve"> “</w:t>
      </w:r>
      <w:r w:rsidR="002E3941" w:rsidRPr="009A3D49">
        <w:rPr>
          <w:rFonts w:ascii="Verdana" w:hAnsi="Verdana" w:cs="Arial"/>
          <w:sz w:val="16"/>
          <w:szCs w:val="16"/>
          <w:lang w:eastAsia="el-GR"/>
        </w:rPr>
        <w:t>TARGET2 form collection of Static Data - Sub Ac</w:t>
      </w:r>
      <w:r w:rsidR="002871C0">
        <w:rPr>
          <w:rFonts w:ascii="Verdana" w:hAnsi="Verdana" w:cs="Arial"/>
          <w:sz w:val="16"/>
          <w:szCs w:val="16"/>
          <w:lang w:eastAsia="el-GR"/>
        </w:rPr>
        <w:t>count for dedicated liquidity –“</w:t>
      </w:r>
      <w:r w:rsidR="002E3941" w:rsidRPr="009A3D49">
        <w:rPr>
          <w:rFonts w:ascii="Verdana" w:hAnsi="Verdana" w:cs="Arial"/>
          <w:sz w:val="16"/>
          <w:szCs w:val="16"/>
          <w:lang w:eastAsia="el-GR"/>
        </w:rPr>
        <w:t xml:space="preserve"> (</w:t>
      </w:r>
      <w:r w:rsidR="002871C0">
        <w:rPr>
          <w:rFonts w:ascii="Verdana" w:hAnsi="Verdana" w:cs="Arial"/>
          <w:sz w:val="16"/>
          <w:szCs w:val="16"/>
          <w:lang w:eastAsia="el-GR"/>
        </w:rPr>
        <w:t>Form</w:t>
      </w:r>
      <w:r w:rsidR="002E3941" w:rsidRPr="009A3D49">
        <w:rPr>
          <w:rFonts w:ascii="Verdana" w:hAnsi="Verdana" w:cs="Arial"/>
          <w:sz w:val="16"/>
          <w:szCs w:val="16"/>
          <w:lang w:eastAsia="el-GR"/>
        </w:rPr>
        <w:t xml:space="preserve"> 1014) </w:t>
      </w:r>
      <w:r w:rsidR="002871C0">
        <w:rPr>
          <w:rFonts w:ascii="Verdana" w:hAnsi="Verdana" w:cs="Arial"/>
          <w:sz w:val="16"/>
          <w:szCs w:val="16"/>
          <w:lang w:eastAsia="el-GR"/>
        </w:rPr>
        <w:t xml:space="preserve">and shall submit it to </w:t>
      </w:r>
      <w:r w:rsidR="009F0F2E">
        <w:rPr>
          <w:rFonts w:ascii="Verdana" w:hAnsi="Verdana" w:cs="Arial"/>
          <w:sz w:val="16"/>
          <w:szCs w:val="16"/>
          <w:lang w:eastAsia="el-GR"/>
        </w:rPr>
        <w:t xml:space="preserve">its </w:t>
      </w:r>
      <w:r w:rsidR="002871C0">
        <w:rPr>
          <w:rFonts w:ascii="Verdana" w:hAnsi="Verdana" w:cs="Arial"/>
          <w:sz w:val="16"/>
          <w:szCs w:val="16"/>
          <w:lang w:eastAsia="el-GR"/>
        </w:rPr>
        <w:t>, communicating a copy to HELEX, or through HELEX, according to HELEX’s procedures</w:t>
      </w:r>
      <w:r w:rsidR="002E3941" w:rsidRPr="009A3D49">
        <w:rPr>
          <w:rFonts w:ascii="Verdana" w:hAnsi="Verdana" w:cs="Arial"/>
          <w:sz w:val="16"/>
          <w:szCs w:val="16"/>
          <w:lang w:eastAsia="el-GR"/>
        </w:rPr>
        <w:t xml:space="preserve">. </w:t>
      </w:r>
    </w:p>
    <w:p w:rsidR="002E3941" w:rsidRPr="009A3D49" w:rsidRDefault="00517C12" w:rsidP="00BB12C0">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 xml:space="preserve">Moreover, the Operator states that he is aware of his right, according to HELEX’s procedures, that, in case of compulsory deletion </w:t>
      </w:r>
      <w:r w:rsidR="009903A6">
        <w:rPr>
          <w:rFonts w:ascii="Verdana" w:hAnsi="Verdana" w:cs="Arial"/>
          <w:sz w:val="16"/>
          <w:szCs w:val="16"/>
          <w:lang w:eastAsia="el-GR"/>
        </w:rPr>
        <w:t>of the Settlement Bank, by way of indication due to revocation of its operation permit, or its subjection to an insolvency procedure and, thus, cease of its services according to TARGER2</w:t>
      </w:r>
      <w:r w:rsidR="004264C4">
        <w:rPr>
          <w:rFonts w:ascii="Verdana" w:hAnsi="Verdana" w:cs="Arial"/>
          <w:sz w:val="16"/>
          <w:szCs w:val="16"/>
          <w:lang w:eastAsia="el-GR"/>
        </w:rPr>
        <w:t xml:space="preserve"> Guidelines</w:t>
      </w:r>
      <w:r w:rsidR="009903A6">
        <w:rPr>
          <w:rFonts w:ascii="Verdana" w:hAnsi="Verdana" w:cs="Arial"/>
          <w:sz w:val="16"/>
          <w:szCs w:val="16"/>
          <w:lang w:eastAsia="el-GR"/>
        </w:rPr>
        <w:t xml:space="preserve"> </w:t>
      </w:r>
      <w:r w:rsidR="00CF386E">
        <w:rPr>
          <w:rFonts w:ascii="Verdana" w:hAnsi="Verdana" w:cs="Arial"/>
          <w:sz w:val="16"/>
          <w:szCs w:val="16"/>
          <w:lang w:eastAsia="el-GR"/>
        </w:rPr>
        <w:t>it shall have to right, temporarily and until the opening of his new Subaccount(s) by another Settlement Bank</w:t>
      </w:r>
      <w:r w:rsidR="00BB12C0" w:rsidRPr="009A3D49">
        <w:rPr>
          <w:rFonts w:ascii="Verdana" w:hAnsi="Verdana" w:cs="Arial"/>
          <w:sz w:val="16"/>
          <w:szCs w:val="16"/>
          <w:lang w:eastAsia="el-GR"/>
        </w:rPr>
        <w:t xml:space="preserve">, </w:t>
      </w:r>
      <w:r w:rsidR="00CF386E">
        <w:rPr>
          <w:rFonts w:ascii="Verdana" w:hAnsi="Verdana" w:cs="Arial"/>
          <w:sz w:val="16"/>
          <w:szCs w:val="16"/>
          <w:lang w:eastAsia="el-GR"/>
        </w:rPr>
        <w:t>to proceed to the use of HELEX’s respective services for settling its cash settlement obligations. To this, the Operator states that, in this case, it shall see to be served immediately by another Settlement Bank</w:t>
      </w:r>
      <w:r w:rsidR="00BB12C0" w:rsidRPr="009A3D49">
        <w:rPr>
          <w:rFonts w:ascii="Verdana" w:hAnsi="Verdana" w:cs="Arial"/>
          <w:sz w:val="16"/>
          <w:szCs w:val="16"/>
          <w:lang w:eastAsia="el-GR"/>
        </w:rPr>
        <w:t>.</w:t>
      </w:r>
    </w:p>
    <w:p w:rsidR="002E3941" w:rsidRPr="009A3D49" w:rsidRDefault="00CF386E" w:rsidP="00BB12C0">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t>The Settlement Bank and the Operator are committed to act, in general, according to HELEX’s suggestions for the smooth fulfilment of their respective obligations to HELEX relating to the cash settlement</w:t>
      </w:r>
      <w:r w:rsidR="002E3941" w:rsidRPr="009A3D49">
        <w:rPr>
          <w:rFonts w:ascii="Verdana" w:hAnsi="Verdana" w:cs="Arial"/>
          <w:sz w:val="16"/>
          <w:szCs w:val="16"/>
          <w:lang w:eastAsia="el-GR"/>
        </w:rPr>
        <w:t xml:space="preserve">. </w:t>
      </w:r>
    </w:p>
    <w:p w:rsidR="002E3941" w:rsidRPr="009A3D49" w:rsidRDefault="002E3941" w:rsidP="002E3941">
      <w:pPr>
        <w:spacing w:before="120" w:after="120" w:line="240" w:lineRule="atLeast"/>
        <w:ind w:left="360"/>
        <w:jc w:val="both"/>
        <w:rPr>
          <w:rFonts w:ascii="Verdana" w:hAnsi="Verdana" w:cs="Arial"/>
          <w:sz w:val="16"/>
          <w:szCs w:val="16"/>
          <w:lang w:eastAsia="el-GR"/>
        </w:rPr>
      </w:pPr>
    </w:p>
    <w:tbl>
      <w:tblPr>
        <w:tblW w:w="0" w:type="auto"/>
        <w:tblLook w:val="04A0" w:firstRow="1" w:lastRow="0" w:firstColumn="1" w:lastColumn="0" w:noHBand="0" w:noVBand="1"/>
      </w:tblPr>
      <w:tblGrid>
        <w:gridCol w:w="4261"/>
        <w:gridCol w:w="4261"/>
      </w:tblGrid>
      <w:tr w:rsidR="002E3941" w:rsidRPr="009A3D49" w:rsidTr="00C30109">
        <w:trPr>
          <w:trHeight w:val="417"/>
        </w:trPr>
        <w:tc>
          <w:tcPr>
            <w:tcW w:w="4261" w:type="dxa"/>
            <w:shd w:val="clear" w:color="auto" w:fill="auto"/>
          </w:tcPr>
          <w:p w:rsidR="002E3941" w:rsidRPr="009A3D49" w:rsidRDefault="000E36BF" w:rsidP="008A416B">
            <w:pPr>
              <w:spacing w:before="120" w:after="120" w:line="240" w:lineRule="atLeast"/>
              <w:rPr>
                <w:rFonts w:ascii="Verdana" w:hAnsi="Verdana" w:cs="Arial"/>
                <w:b/>
                <w:sz w:val="16"/>
                <w:szCs w:val="16"/>
                <w:lang w:eastAsia="el-GR"/>
              </w:rPr>
            </w:pPr>
            <w:r>
              <w:rPr>
                <w:rFonts w:ascii="Verdana" w:hAnsi="Verdana" w:cs="Arial"/>
                <w:b/>
                <w:sz w:val="16"/>
                <w:szCs w:val="16"/>
                <w:lang w:eastAsia="el-GR"/>
              </w:rPr>
              <w:t>For the Settlement Bank</w:t>
            </w:r>
          </w:p>
        </w:tc>
        <w:tc>
          <w:tcPr>
            <w:tcW w:w="4261" w:type="dxa"/>
            <w:shd w:val="clear" w:color="auto" w:fill="auto"/>
          </w:tcPr>
          <w:p w:rsidR="002E3941" w:rsidRPr="009A3D49" w:rsidRDefault="000E36BF" w:rsidP="008A416B">
            <w:pPr>
              <w:spacing w:before="120" w:after="120" w:line="240" w:lineRule="atLeast"/>
              <w:rPr>
                <w:rFonts w:ascii="Verdana" w:hAnsi="Verdana" w:cs="Arial"/>
                <w:b/>
                <w:sz w:val="16"/>
                <w:szCs w:val="16"/>
                <w:lang w:eastAsia="el-GR"/>
              </w:rPr>
            </w:pPr>
            <w:r>
              <w:rPr>
                <w:rFonts w:ascii="Verdana" w:hAnsi="Verdana" w:cs="Arial"/>
                <w:b/>
                <w:sz w:val="16"/>
                <w:szCs w:val="16"/>
                <w:lang w:eastAsia="el-GR"/>
              </w:rPr>
              <w:t>For the Operator</w:t>
            </w:r>
          </w:p>
        </w:tc>
      </w:tr>
      <w:tr w:rsidR="002E3941" w:rsidRPr="009A3D49">
        <w:tc>
          <w:tcPr>
            <w:tcW w:w="4261" w:type="dxa"/>
            <w:shd w:val="clear" w:color="auto" w:fill="auto"/>
          </w:tcPr>
          <w:p w:rsidR="002E3941" w:rsidRPr="00C30109" w:rsidRDefault="002E3941" w:rsidP="002E3941">
            <w:pPr>
              <w:spacing w:before="120" w:after="120" w:line="240" w:lineRule="atLeast"/>
              <w:jc w:val="both"/>
              <w:rPr>
                <w:rFonts w:ascii="Verdana" w:hAnsi="Verdana" w:cs="Arial"/>
                <w:sz w:val="16"/>
                <w:szCs w:val="16"/>
                <w:lang w:eastAsia="el-GR"/>
              </w:rPr>
            </w:pPr>
          </w:p>
          <w:p w:rsidR="002E3941" w:rsidRPr="00C30109" w:rsidRDefault="002E3941" w:rsidP="002E3941">
            <w:pPr>
              <w:spacing w:before="120" w:after="120" w:line="240" w:lineRule="atLeast"/>
              <w:jc w:val="both"/>
              <w:rPr>
                <w:rFonts w:ascii="Verdana" w:hAnsi="Verdana" w:cs="Arial"/>
                <w:sz w:val="16"/>
                <w:szCs w:val="16"/>
                <w:lang w:eastAsia="el-GR"/>
              </w:rPr>
            </w:pPr>
          </w:p>
          <w:bookmarkStart w:id="27" w:name="Text26"/>
          <w:p w:rsidR="002E3941" w:rsidRPr="00C30109" w:rsidRDefault="00C30109"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fldChar w:fldCharType="begin">
                <w:ffData>
                  <w:name w:val="Text26"/>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7"/>
          </w:p>
          <w:p w:rsidR="000E36BF" w:rsidRPr="009A3D49" w:rsidRDefault="002E3941" w:rsidP="000E36BF">
            <w:pPr>
              <w:jc w:val="both"/>
              <w:rPr>
                <w:rFonts w:ascii="Verdana" w:hAnsi="Verdana" w:cs="Arial"/>
                <w:i/>
                <w:sz w:val="12"/>
                <w:szCs w:val="12"/>
                <w:lang w:eastAsia="el-GR"/>
              </w:rPr>
            </w:pPr>
            <w:r w:rsidRPr="009A3D49">
              <w:rPr>
                <w:rFonts w:ascii="Verdana" w:hAnsi="Verdana" w:cs="Arial"/>
                <w:i/>
                <w:sz w:val="10"/>
                <w:szCs w:val="10"/>
                <w:lang w:eastAsia="el-GR"/>
              </w:rPr>
              <w:t>(</w:t>
            </w:r>
            <w:r w:rsidR="000E36BF">
              <w:rPr>
                <w:rFonts w:ascii="Verdana" w:hAnsi="Verdana" w:cs="Arial"/>
                <w:i/>
                <w:sz w:val="12"/>
                <w:szCs w:val="12"/>
                <w:lang w:eastAsia="el-GR"/>
              </w:rPr>
              <w:t>to fill out the full name of the legal person</w:t>
            </w:r>
            <w:r w:rsidR="000E36BF" w:rsidRPr="009A3D49">
              <w:rPr>
                <w:rFonts w:ascii="Verdana" w:hAnsi="Verdana" w:cs="Arial"/>
                <w:i/>
                <w:sz w:val="12"/>
                <w:szCs w:val="12"/>
                <w:lang w:eastAsia="el-GR"/>
              </w:rPr>
              <w:t xml:space="preserve"> </w:t>
            </w:r>
          </w:p>
          <w:p w:rsidR="002E3941" w:rsidRPr="008A416B" w:rsidRDefault="000E36BF" w:rsidP="008A416B">
            <w:pPr>
              <w:jc w:val="both"/>
              <w:rPr>
                <w:rFonts w:ascii="Verdana" w:hAnsi="Verdana" w:cs="Arial"/>
                <w:i/>
                <w:sz w:val="10"/>
                <w:szCs w:val="10"/>
                <w:lang w:eastAsia="el-GR"/>
              </w:rPr>
            </w:pPr>
            <w:r>
              <w:rPr>
                <w:rFonts w:ascii="Verdana" w:hAnsi="Verdana" w:cs="Arial"/>
                <w:i/>
                <w:sz w:val="12"/>
                <w:szCs w:val="12"/>
                <w:lang w:eastAsia="el-GR"/>
              </w:rPr>
              <w:t>and include the name &amp; signature of its legal representative</w:t>
            </w:r>
            <w:r w:rsidR="002E3941" w:rsidRPr="009A3D49">
              <w:rPr>
                <w:rFonts w:ascii="Verdana" w:hAnsi="Verdana" w:cs="Arial"/>
                <w:i/>
                <w:sz w:val="10"/>
                <w:szCs w:val="10"/>
                <w:lang w:eastAsia="el-GR"/>
              </w:rPr>
              <w:t>)</w:t>
            </w:r>
          </w:p>
        </w:tc>
        <w:tc>
          <w:tcPr>
            <w:tcW w:w="4261" w:type="dxa"/>
            <w:shd w:val="clear" w:color="auto" w:fill="auto"/>
          </w:tcPr>
          <w:p w:rsidR="002E3941" w:rsidRPr="00C30109" w:rsidRDefault="002E3941" w:rsidP="002E3941">
            <w:pPr>
              <w:spacing w:before="120" w:after="120" w:line="240" w:lineRule="atLeast"/>
              <w:jc w:val="both"/>
              <w:rPr>
                <w:rFonts w:ascii="Verdana" w:hAnsi="Verdana" w:cs="Arial"/>
                <w:sz w:val="16"/>
                <w:szCs w:val="16"/>
                <w:lang w:eastAsia="el-GR"/>
              </w:rPr>
            </w:pPr>
          </w:p>
          <w:p w:rsidR="002E3941" w:rsidRPr="00C30109" w:rsidRDefault="002E3941" w:rsidP="002E3941">
            <w:pPr>
              <w:spacing w:before="120" w:after="120" w:line="240" w:lineRule="atLeast"/>
              <w:jc w:val="both"/>
              <w:rPr>
                <w:rFonts w:ascii="Verdana" w:hAnsi="Verdana" w:cs="Arial"/>
                <w:sz w:val="16"/>
                <w:szCs w:val="16"/>
                <w:lang w:eastAsia="el-GR"/>
              </w:rPr>
            </w:pPr>
          </w:p>
          <w:bookmarkStart w:id="28" w:name="Text27"/>
          <w:p w:rsidR="002E3941" w:rsidRPr="00C30109" w:rsidRDefault="00C30109" w:rsidP="002E3941">
            <w:pPr>
              <w:spacing w:before="120" w:after="120" w:line="240" w:lineRule="atLeast"/>
              <w:jc w:val="both"/>
              <w:rPr>
                <w:rFonts w:ascii="Verdana" w:hAnsi="Verdana" w:cs="Arial"/>
                <w:sz w:val="16"/>
                <w:szCs w:val="16"/>
                <w:lang w:eastAsia="el-GR"/>
              </w:rPr>
            </w:pPr>
            <w:r>
              <w:rPr>
                <w:rFonts w:ascii="Verdana" w:hAnsi="Verdana" w:cs="Arial"/>
                <w:sz w:val="16"/>
                <w:szCs w:val="16"/>
                <w:lang w:eastAsia="el-GR"/>
              </w:rPr>
              <w:fldChar w:fldCharType="begin">
                <w:ffData>
                  <w:name w:val="Text27"/>
                  <w:enabled/>
                  <w:calcOnExit w:val="0"/>
                  <w:textInput>
                    <w:default w:val="…………………………………………………………………………"/>
                  </w:textInput>
                </w:ffData>
              </w:fldChar>
            </w:r>
            <w:r>
              <w:rPr>
                <w:rFonts w:ascii="Verdana" w:hAnsi="Verdana" w:cs="Arial"/>
                <w:sz w:val="16"/>
                <w:szCs w:val="16"/>
                <w:lang w:eastAsia="el-GR"/>
              </w:rPr>
              <w:instrText xml:space="preserve"> FORMTEXT </w:instrText>
            </w:r>
            <w:r w:rsidR="000D5F3A" w:rsidRPr="00C30109">
              <w:rPr>
                <w:rFonts w:ascii="Verdana" w:hAnsi="Verdana" w:cs="Arial"/>
                <w:sz w:val="16"/>
                <w:szCs w:val="16"/>
                <w:lang w:eastAsia="el-GR"/>
              </w:rPr>
            </w:r>
            <w:r>
              <w:rPr>
                <w:rFonts w:ascii="Verdana" w:hAnsi="Verdana" w:cs="Arial"/>
                <w:sz w:val="16"/>
                <w:szCs w:val="16"/>
                <w:lang w:eastAsia="el-GR"/>
              </w:rPr>
              <w:fldChar w:fldCharType="separate"/>
            </w:r>
            <w:r>
              <w:rPr>
                <w:rFonts w:ascii="Verdana" w:hAnsi="Verdana" w:cs="Arial"/>
                <w:noProof/>
                <w:sz w:val="16"/>
                <w:szCs w:val="16"/>
                <w:lang w:eastAsia="el-GR"/>
              </w:rPr>
              <w:t>…………………………………………………………………………</w:t>
            </w:r>
            <w:r>
              <w:rPr>
                <w:rFonts w:ascii="Verdana" w:hAnsi="Verdana" w:cs="Arial"/>
                <w:sz w:val="16"/>
                <w:szCs w:val="16"/>
                <w:lang w:eastAsia="el-GR"/>
              </w:rPr>
              <w:fldChar w:fldCharType="end"/>
            </w:r>
            <w:bookmarkEnd w:id="28"/>
          </w:p>
          <w:p w:rsidR="000E36BF" w:rsidRPr="009A3D49" w:rsidRDefault="002E3941" w:rsidP="000E36BF">
            <w:pPr>
              <w:jc w:val="both"/>
              <w:rPr>
                <w:rFonts w:ascii="Verdana" w:hAnsi="Verdana" w:cs="Arial"/>
                <w:i/>
                <w:sz w:val="12"/>
                <w:szCs w:val="12"/>
                <w:lang w:eastAsia="el-GR"/>
              </w:rPr>
            </w:pPr>
            <w:r w:rsidRPr="009A3D49">
              <w:rPr>
                <w:rFonts w:ascii="Verdana" w:hAnsi="Verdana" w:cs="Arial"/>
                <w:i/>
                <w:sz w:val="10"/>
                <w:szCs w:val="10"/>
                <w:lang w:eastAsia="el-GR"/>
              </w:rPr>
              <w:t>(</w:t>
            </w:r>
            <w:r w:rsidR="000E36BF">
              <w:rPr>
                <w:rFonts w:ascii="Verdana" w:hAnsi="Verdana" w:cs="Arial"/>
                <w:i/>
                <w:sz w:val="12"/>
                <w:szCs w:val="12"/>
                <w:lang w:eastAsia="el-GR"/>
              </w:rPr>
              <w:t>to fill out the full name of the legal person</w:t>
            </w:r>
            <w:r w:rsidR="000E36BF" w:rsidRPr="009A3D49">
              <w:rPr>
                <w:rFonts w:ascii="Verdana" w:hAnsi="Verdana" w:cs="Arial"/>
                <w:i/>
                <w:sz w:val="12"/>
                <w:szCs w:val="12"/>
                <w:lang w:eastAsia="el-GR"/>
              </w:rPr>
              <w:t xml:space="preserve"> </w:t>
            </w:r>
          </w:p>
          <w:p w:rsidR="002E3941" w:rsidRPr="008A416B" w:rsidRDefault="000E36BF" w:rsidP="008A416B">
            <w:pPr>
              <w:jc w:val="both"/>
              <w:rPr>
                <w:rFonts w:ascii="Verdana" w:hAnsi="Verdana" w:cs="Arial"/>
                <w:i/>
                <w:sz w:val="10"/>
                <w:szCs w:val="10"/>
                <w:lang w:eastAsia="el-GR"/>
              </w:rPr>
            </w:pPr>
            <w:r>
              <w:rPr>
                <w:rFonts w:ascii="Verdana" w:hAnsi="Verdana" w:cs="Arial"/>
                <w:i/>
                <w:sz w:val="12"/>
                <w:szCs w:val="12"/>
                <w:lang w:eastAsia="el-GR"/>
              </w:rPr>
              <w:t>and include the name &amp; signature of its legal representative</w:t>
            </w:r>
            <w:r w:rsidR="002E3941" w:rsidRPr="009A3D49">
              <w:rPr>
                <w:rFonts w:ascii="Verdana" w:hAnsi="Verdana" w:cs="Arial"/>
                <w:i/>
                <w:sz w:val="10"/>
                <w:szCs w:val="10"/>
                <w:lang w:eastAsia="el-GR"/>
              </w:rPr>
              <w:t xml:space="preserve">) </w:t>
            </w:r>
          </w:p>
        </w:tc>
      </w:tr>
    </w:tbl>
    <w:p w:rsidR="00C30109" w:rsidRPr="00C30109" w:rsidRDefault="00C30109" w:rsidP="00C30109"/>
    <w:sectPr w:rsidR="00C30109" w:rsidRPr="00C30109" w:rsidSect="008A416B">
      <w:headerReference w:type="default" r:id="rId7"/>
      <w:footerReference w:type="default" r:id="rId8"/>
      <w:endnotePr>
        <w:numFmt w:val="decimal"/>
      </w:endnotePr>
      <w:pgSz w:w="11906" w:h="16838"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13A" w:rsidRDefault="0097413A">
      <w:r>
        <w:separator/>
      </w:r>
    </w:p>
  </w:endnote>
  <w:endnote w:type="continuationSeparator" w:id="0">
    <w:p w:rsidR="0097413A" w:rsidRDefault="0097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437" w:rsidRPr="00DA4224" w:rsidRDefault="00EC5437" w:rsidP="006F3316">
    <w:pPr>
      <w:pStyle w:val="Footer"/>
      <w:framePr w:wrap="around" w:vAnchor="text" w:hAnchor="margin" w:xAlign="center" w:y="1"/>
      <w:rPr>
        <w:rStyle w:val="PageNumber"/>
        <w:rFonts w:ascii="Verdana" w:hAnsi="Verdana"/>
        <w:sz w:val="18"/>
        <w:szCs w:val="18"/>
      </w:rPr>
    </w:pPr>
    <w:r w:rsidRPr="00DA4224">
      <w:rPr>
        <w:rStyle w:val="PageNumber"/>
        <w:rFonts w:ascii="Verdana" w:hAnsi="Verdana"/>
        <w:sz w:val="18"/>
        <w:szCs w:val="18"/>
      </w:rPr>
      <w:fldChar w:fldCharType="begin"/>
    </w:r>
    <w:r w:rsidRPr="00DA4224">
      <w:rPr>
        <w:rStyle w:val="PageNumber"/>
        <w:rFonts w:ascii="Verdana" w:hAnsi="Verdana"/>
        <w:sz w:val="18"/>
        <w:szCs w:val="18"/>
      </w:rPr>
      <w:instrText xml:space="preserve">PAGE  </w:instrText>
    </w:r>
    <w:r w:rsidRPr="00DA4224">
      <w:rPr>
        <w:rStyle w:val="PageNumber"/>
        <w:rFonts w:ascii="Verdana" w:hAnsi="Verdana"/>
        <w:sz w:val="18"/>
        <w:szCs w:val="18"/>
      </w:rPr>
      <w:fldChar w:fldCharType="separate"/>
    </w:r>
    <w:r w:rsidR="00AC75B0">
      <w:rPr>
        <w:rStyle w:val="PageNumber"/>
        <w:rFonts w:ascii="Verdana" w:hAnsi="Verdana"/>
        <w:noProof/>
        <w:sz w:val="18"/>
        <w:szCs w:val="18"/>
      </w:rPr>
      <w:t>1</w:t>
    </w:r>
    <w:r w:rsidRPr="00DA4224">
      <w:rPr>
        <w:rStyle w:val="PageNumber"/>
        <w:rFonts w:ascii="Verdana" w:hAnsi="Verdana"/>
        <w:sz w:val="18"/>
        <w:szCs w:val="18"/>
      </w:rPr>
      <w:fldChar w:fldCharType="end"/>
    </w:r>
  </w:p>
  <w:p w:rsidR="00EC5437" w:rsidRDefault="00EC5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13A" w:rsidRDefault="0097413A">
      <w:r>
        <w:separator/>
      </w:r>
    </w:p>
  </w:footnote>
  <w:footnote w:type="continuationSeparator" w:id="0">
    <w:p w:rsidR="0097413A" w:rsidRDefault="00974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437" w:rsidRPr="00E335D2" w:rsidRDefault="00EC5437" w:rsidP="00E33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05"/>
      </v:shape>
    </w:pict>
  </w:numPicBullet>
  <w:abstractNum w:abstractNumId="0">
    <w:nsid w:val="FFFFFF1D"/>
    <w:multiLevelType w:val="multilevel"/>
    <w:tmpl w:val="E8ACAE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43694FC"/>
    <w:lvl w:ilvl="0">
      <w:start w:val="1"/>
      <w:numFmt w:val="bullet"/>
      <w:pStyle w:val="Narticle-i"/>
      <w:lvlText w:val=""/>
      <w:lvlJc w:val="left"/>
      <w:pPr>
        <w:tabs>
          <w:tab w:val="num" w:pos="360"/>
        </w:tabs>
        <w:ind w:left="360" w:hanging="360"/>
      </w:pPr>
      <w:rPr>
        <w:rFonts w:ascii="Symbol" w:hAnsi="Symbol" w:hint="default"/>
      </w:rPr>
    </w:lvl>
  </w:abstractNum>
  <w:abstractNum w:abstractNumId="2">
    <w:nsid w:val="068C4CDF"/>
    <w:multiLevelType w:val="hybridMultilevel"/>
    <w:tmpl w:val="6C28CA12"/>
    <w:lvl w:ilvl="0" w:tplc="9EA48830">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1006B93"/>
    <w:multiLevelType w:val="hybridMultilevel"/>
    <w:tmpl w:val="4D7E5BE0"/>
    <w:lvl w:ilvl="0" w:tplc="3EB4D904">
      <w:start w:val="1"/>
      <w:numFmt w:val="decimal"/>
      <w:lvlText w:val="%1."/>
      <w:lvlJc w:val="left"/>
      <w:pPr>
        <w:tabs>
          <w:tab w:val="num" w:pos="1080"/>
        </w:tabs>
        <w:ind w:left="1080" w:hanging="360"/>
      </w:pPr>
      <w:rPr>
        <w:b w:val="0"/>
      </w:rPr>
    </w:lvl>
    <w:lvl w:ilvl="1" w:tplc="04080019">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nsid w:val="11F4658F"/>
    <w:multiLevelType w:val="multilevel"/>
    <w:tmpl w:val="213C5562"/>
    <w:lvl w:ilvl="0">
      <w:start w:val="1"/>
      <w:numFmt w:val="upperRoman"/>
      <w:lvlText w:val="ENOTHTA %1."/>
      <w:lvlJc w:val="left"/>
      <w:pPr>
        <w:tabs>
          <w:tab w:val="num" w:pos="1644"/>
        </w:tabs>
        <w:ind w:left="1644" w:hanging="1644"/>
      </w:pPr>
      <w:rPr>
        <w:rFonts w:ascii="Arial" w:hAnsi="Arial" w:cs="Times New Roman" w:hint="default"/>
        <w:b/>
        <w:i w:val="0"/>
        <w:sz w:val="24"/>
        <w:szCs w:val="24"/>
      </w:rPr>
    </w:lvl>
    <w:lvl w:ilvl="1">
      <w:start w:val="1"/>
      <w:numFmt w:val="decimal"/>
      <w:lvlText w:val="ΜΕΡΟΣ %2."/>
      <w:lvlJc w:val="left"/>
      <w:pPr>
        <w:tabs>
          <w:tab w:val="num" w:pos="1247"/>
        </w:tabs>
        <w:ind w:left="1247" w:hanging="1247"/>
      </w:pPr>
      <w:rPr>
        <w:rFonts w:ascii="Arial" w:hAnsi="Arial" w:cs="Times New Roman" w:hint="default"/>
        <w:b/>
        <w:i w:val="0"/>
        <w:caps w:val="0"/>
        <w:strike w:val="0"/>
        <w:dstrike w:val="0"/>
        <w:vanish w:val="0"/>
        <w:color w:val="000000"/>
        <w:sz w:val="22"/>
        <w:vertAlign w:val="baseline"/>
      </w:rPr>
    </w:lvl>
    <w:lvl w:ilvl="2">
      <w:start w:val="1"/>
      <w:numFmt w:val="decimal"/>
      <w:lvlText w:val="%2.%3."/>
      <w:lvlJc w:val="left"/>
      <w:pPr>
        <w:tabs>
          <w:tab w:val="num" w:pos="680"/>
        </w:tabs>
        <w:ind w:left="680" w:hanging="680"/>
      </w:pPr>
      <w:rPr>
        <w:rFonts w:ascii="Arial" w:hAnsi="Arial" w:cs="Times New Roman" w:hint="default"/>
        <w:b/>
        <w:i w:val="0"/>
        <w:color w:val="auto"/>
        <w:sz w:val="22"/>
      </w:rPr>
    </w:lvl>
    <w:lvl w:ilvl="3">
      <w:start w:val="1"/>
      <w:numFmt w:val="decimal"/>
      <w:lvlText w:val="%2.%3.%4."/>
      <w:lvlJc w:val="left"/>
      <w:pPr>
        <w:tabs>
          <w:tab w:val="num" w:pos="454"/>
        </w:tabs>
        <w:ind w:left="454" w:hanging="454"/>
      </w:pPr>
      <w:rPr>
        <w:rFonts w:ascii="Arial" w:hAnsi="Arial" w:cs="Times New Roman" w:hint="default"/>
        <w:b/>
        <w:i/>
        <w:sz w:val="22"/>
      </w:rPr>
    </w:lvl>
    <w:lvl w:ilvl="4">
      <w:start w:val="1"/>
      <w:numFmt w:val="decimal"/>
      <w:lvlText w:val="%2.%3.%4.%5."/>
      <w:lvlJc w:val="left"/>
      <w:pPr>
        <w:tabs>
          <w:tab w:val="num" w:pos="902"/>
        </w:tabs>
        <w:ind w:left="902" w:hanging="902"/>
      </w:pPr>
      <w:rPr>
        <w:rFonts w:ascii="Arial" w:hAnsi="Arial" w:cs="Times New Roman" w:hint="default"/>
        <w:b/>
        <w:i/>
        <w:sz w:val="22"/>
        <w:u w:val="none"/>
      </w:rPr>
    </w:lvl>
    <w:lvl w:ilvl="5">
      <w:start w:val="1"/>
      <w:numFmt w:val="decimal"/>
      <w:lvlText w:val="%6."/>
      <w:lvlJc w:val="left"/>
      <w:pPr>
        <w:tabs>
          <w:tab w:val="num" w:pos="454"/>
        </w:tabs>
        <w:ind w:left="454" w:hanging="454"/>
      </w:pPr>
      <w:rPr>
        <w:rFonts w:cs="Times New Roman" w:hint="default"/>
        <w:b w:val="0"/>
      </w:rPr>
    </w:lvl>
    <w:lvl w:ilvl="6">
      <w:start w:val="1"/>
      <w:numFmt w:val="decimal"/>
      <w:lvlText w:val="%7)"/>
      <w:lvlJc w:val="left"/>
      <w:pPr>
        <w:ind w:left="1712"/>
      </w:pPr>
      <w:rPr>
        <w:rFonts w:cs="Times New Roman" w:hint="default"/>
      </w:rPr>
    </w:lvl>
    <w:lvl w:ilvl="7">
      <w:start w:val="1"/>
      <w:numFmt w:val="lowerRoman"/>
      <w:lvlText w:val="(%8)"/>
      <w:lvlJc w:val="left"/>
      <w:pPr>
        <w:ind w:left="1712"/>
      </w:pPr>
      <w:rPr>
        <w:rFonts w:cs="Times New Roman" w:hint="default"/>
      </w:rPr>
    </w:lvl>
    <w:lvl w:ilvl="8">
      <w:start w:val="1"/>
      <w:numFmt w:val="decimal"/>
      <w:lvlText w:val="(%9)"/>
      <w:lvlJc w:val="left"/>
      <w:pPr>
        <w:tabs>
          <w:tab w:val="num" w:pos="1474"/>
        </w:tabs>
        <w:ind w:left="2098" w:hanging="624"/>
      </w:pPr>
      <w:rPr>
        <w:rFonts w:ascii="Arial" w:hAnsi="Arial" w:cs="Times New Roman" w:hint="default"/>
        <w:b w:val="0"/>
        <w:i w:val="0"/>
        <w:sz w:val="22"/>
      </w:rPr>
    </w:lvl>
  </w:abstractNum>
  <w:abstractNum w:abstractNumId="5">
    <w:nsid w:val="13752DF8"/>
    <w:multiLevelType w:val="hybridMultilevel"/>
    <w:tmpl w:val="7F345C4C"/>
    <w:lvl w:ilvl="0" w:tplc="0FEE68F0">
      <w:start w:val="1"/>
      <w:numFmt w:val="decimal"/>
      <w:lvlText w:val="%1."/>
      <w:lvlJc w:val="left"/>
      <w:pPr>
        <w:tabs>
          <w:tab w:val="num" w:pos="360"/>
        </w:tabs>
        <w:ind w:left="360" w:hanging="360"/>
      </w:pPr>
      <w:rPr>
        <w:rFonts w:hint="default"/>
        <w:b w:val="0"/>
      </w:rPr>
    </w:lvl>
    <w:lvl w:ilvl="1" w:tplc="04080019" w:tentative="1">
      <w:start w:val="1"/>
      <w:numFmt w:val="lowerLetter"/>
      <w:lvlText w:val="%2."/>
      <w:lvlJc w:val="left"/>
      <w:pPr>
        <w:ind w:left="1008" w:hanging="360"/>
      </w:pPr>
    </w:lvl>
    <w:lvl w:ilvl="2" w:tplc="0408001B" w:tentative="1">
      <w:start w:val="1"/>
      <w:numFmt w:val="lowerRoman"/>
      <w:lvlText w:val="%3."/>
      <w:lvlJc w:val="right"/>
      <w:pPr>
        <w:ind w:left="1728" w:hanging="180"/>
      </w:pPr>
    </w:lvl>
    <w:lvl w:ilvl="3" w:tplc="0408000F" w:tentative="1">
      <w:start w:val="1"/>
      <w:numFmt w:val="decimal"/>
      <w:lvlText w:val="%4."/>
      <w:lvlJc w:val="left"/>
      <w:pPr>
        <w:ind w:left="2448" w:hanging="360"/>
      </w:pPr>
    </w:lvl>
    <w:lvl w:ilvl="4" w:tplc="04080019" w:tentative="1">
      <w:start w:val="1"/>
      <w:numFmt w:val="lowerLetter"/>
      <w:lvlText w:val="%5."/>
      <w:lvlJc w:val="left"/>
      <w:pPr>
        <w:ind w:left="3168" w:hanging="360"/>
      </w:pPr>
    </w:lvl>
    <w:lvl w:ilvl="5" w:tplc="0408001B" w:tentative="1">
      <w:start w:val="1"/>
      <w:numFmt w:val="lowerRoman"/>
      <w:lvlText w:val="%6."/>
      <w:lvlJc w:val="right"/>
      <w:pPr>
        <w:ind w:left="3888" w:hanging="180"/>
      </w:pPr>
    </w:lvl>
    <w:lvl w:ilvl="6" w:tplc="0408000F" w:tentative="1">
      <w:start w:val="1"/>
      <w:numFmt w:val="decimal"/>
      <w:lvlText w:val="%7."/>
      <w:lvlJc w:val="left"/>
      <w:pPr>
        <w:ind w:left="4608" w:hanging="360"/>
      </w:pPr>
    </w:lvl>
    <w:lvl w:ilvl="7" w:tplc="04080019" w:tentative="1">
      <w:start w:val="1"/>
      <w:numFmt w:val="lowerLetter"/>
      <w:lvlText w:val="%8."/>
      <w:lvlJc w:val="left"/>
      <w:pPr>
        <w:ind w:left="5328" w:hanging="360"/>
      </w:pPr>
    </w:lvl>
    <w:lvl w:ilvl="8" w:tplc="0408001B" w:tentative="1">
      <w:start w:val="1"/>
      <w:numFmt w:val="lowerRoman"/>
      <w:lvlText w:val="%9."/>
      <w:lvlJc w:val="right"/>
      <w:pPr>
        <w:ind w:left="6048" w:hanging="180"/>
      </w:pPr>
    </w:lvl>
  </w:abstractNum>
  <w:abstractNum w:abstractNumId="6">
    <w:nsid w:val="13D5149A"/>
    <w:multiLevelType w:val="multilevel"/>
    <w:tmpl w:val="0FF6ADAC"/>
    <w:lvl w:ilvl="0">
      <w:start w:val="1"/>
      <w:numFmt w:val="decimal"/>
      <w:lvlText w:val="%1."/>
      <w:lvlJc w:val="left"/>
      <w:pPr>
        <w:tabs>
          <w:tab w:val="num" w:pos="792"/>
        </w:tabs>
        <w:ind w:left="792" w:hanging="360"/>
      </w:pPr>
      <w:rPr>
        <w:b w:val="0"/>
      </w:rPr>
    </w:lvl>
    <w:lvl w:ilvl="1">
      <w:start w:val="2"/>
      <w:numFmt w:val="decimal"/>
      <w:isLgl/>
      <w:lvlText w:val="%1.%2"/>
      <w:lvlJc w:val="left"/>
      <w:pPr>
        <w:ind w:left="957" w:hanging="525"/>
      </w:pPr>
      <w:rPr>
        <w:rFonts w:hint="default"/>
      </w:rPr>
    </w:lvl>
    <w:lvl w:ilvl="2">
      <w:start w:val="2"/>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7">
    <w:nsid w:val="14E844EF"/>
    <w:multiLevelType w:val="hybridMultilevel"/>
    <w:tmpl w:val="7E7825CC"/>
    <w:lvl w:ilvl="0" w:tplc="48E25BCE">
      <w:start w:val="1"/>
      <w:numFmt w:val="decimal"/>
      <w:lvlText w:val="%1."/>
      <w:lvlJc w:val="left"/>
      <w:pPr>
        <w:tabs>
          <w:tab w:val="num" w:pos="792"/>
        </w:tabs>
        <w:ind w:left="792" w:hanging="360"/>
      </w:pPr>
      <w:rPr>
        <w:b w:val="0"/>
      </w:rPr>
    </w:lvl>
    <w:lvl w:ilvl="1" w:tplc="04080019" w:tentative="1">
      <w:start w:val="1"/>
      <w:numFmt w:val="lowerLetter"/>
      <w:lvlText w:val="%2."/>
      <w:lvlJc w:val="left"/>
      <w:pPr>
        <w:tabs>
          <w:tab w:val="num" w:pos="1512"/>
        </w:tabs>
        <w:ind w:left="1512" w:hanging="360"/>
      </w:pPr>
    </w:lvl>
    <w:lvl w:ilvl="2" w:tplc="0408001B" w:tentative="1">
      <w:start w:val="1"/>
      <w:numFmt w:val="lowerRoman"/>
      <w:lvlText w:val="%3."/>
      <w:lvlJc w:val="right"/>
      <w:pPr>
        <w:tabs>
          <w:tab w:val="num" w:pos="2232"/>
        </w:tabs>
        <w:ind w:left="2232" w:hanging="180"/>
      </w:pPr>
    </w:lvl>
    <w:lvl w:ilvl="3" w:tplc="0408000F" w:tentative="1">
      <w:start w:val="1"/>
      <w:numFmt w:val="decimal"/>
      <w:lvlText w:val="%4."/>
      <w:lvlJc w:val="left"/>
      <w:pPr>
        <w:tabs>
          <w:tab w:val="num" w:pos="2952"/>
        </w:tabs>
        <w:ind w:left="2952" w:hanging="360"/>
      </w:pPr>
    </w:lvl>
    <w:lvl w:ilvl="4" w:tplc="04080019" w:tentative="1">
      <w:start w:val="1"/>
      <w:numFmt w:val="lowerLetter"/>
      <w:lvlText w:val="%5."/>
      <w:lvlJc w:val="left"/>
      <w:pPr>
        <w:tabs>
          <w:tab w:val="num" w:pos="3672"/>
        </w:tabs>
        <w:ind w:left="3672" w:hanging="360"/>
      </w:pPr>
    </w:lvl>
    <w:lvl w:ilvl="5" w:tplc="0408001B" w:tentative="1">
      <w:start w:val="1"/>
      <w:numFmt w:val="lowerRoman"/>
      <w:lvlText w:val="%6."/>
      <w:lvlJc w:val="right"/>
      <w:pPr>
        <w:tabs>
          <w:tab w:val="num" w:pos="4392"/>
        </w:tabs>
        <w:ind w:left="4392" w:hanging="180"/>
      </w:pPr>
    </w:lvl>
    <w:lvl w:ilvl="6" w:tplc="0408000F" w:tentative="1">
      <w:start w:val="1"/>
      <w:numFmt w:val="decimal"/>
      <w:lvlText w:val="%7."/>
      <w:lvlJc w:val="left"/>
      <w:pPr>
        <w:tabs>
          <w:tab w:val="num" w:pos="5112"/>
        </w:tabs>
        <w:ind w:left="5112" w:hanging="360"/>
      </w:pPr>
    </w:lvl>
    <w:lvl w:ilvl="7" w:tplc="04080019" w:tentative="1">
      <w:start w:val="1"/>
      <w:numFmt w:val="lowerLetter"/>
      <w:lvlText w:val="%8."/>
      <w:lvlJc w:val="left"/>
      <w:pPr>
        <w:tabs>
          <w:tab w:val="num" w:pos="5832"/>
        </w:tabs>
        <w:ind w:left="5832" w:hanging="360"/>
      </w:pPr>
    </w:lvl>
    <w:lvl w:ilvl="8" w:tplc="0408001B" w:tentative="1">
      <w:start w:val="1"/>
      <w:numFmt w:val="lowerRoman"/>
      <w:lvlText w:val="%9."/>
      <w:lvlJc w:val="right"/>
      <w:pPr>
        <w:tabs>
          <w:tab w:val="num" w:pos="6552"/>
        </w:tabs>
        <w:ind w:left="6552" w:hanging="180"/>
      </w:pPr>
    </w:lvl>
  </w:abstractNum>
  <w:abstractNum w:abstractNumId="8">
    <w:nsid w:val="16403CC1"/>
    <w:multiLevelType w:val="hybridMultilevel"/>
    <w:tmpl w:val="D4349050"/>
    <w:lvl w:ilvl="0" w:tplc="8F64524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A4C0CBF"/>
    <w:multiLevelType w:val="hybridMultilevel"/>
    <w:tmpl w:val="25D4C0D0"/>
    <w:lvl w:ilvl="0" w:tplc="5E2ADFDC">
      <w:start w:val="1"/>
      <w:numFmt w:val="decimal"/>
      <w:lvlText w:val="%1."/>
      <w:lvlJc w:val="left"/>
      <w:pPr>
        <w:tabs>
          <w:tab w:val="num" w:pos="1080"/>
        </w:tabs>
        <w:ind w:left="1080" w:hanging="360"/>
      </w:pPr>
      <w:rPr>
        <w:b w:val="0"/>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nsid w:val="1B8E40D8"/>
    <w:multiLevelType w:val="hybridMultilevel"/>
    <w:tmpl w:val="78860C70"/>
    <w:lvl w:ilvl="0" w:tplc="8E32B972">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FF815EC"/>
    <w:multiLevelType w:val="multilevel"/>
    <w:tmpl w:val="ECFAD770"/>
    <w:lvl w:ilvl="0">
      <w:start w:val="1"/>
      <w:numFmt w:val="decimal"/>
      <w:pStyle w:val="TableContents"/>
      <w:lvlText w:val="Παράρτημα %1. "/>
      <w:lvlJc w:val="left"/>
      <w:pPr>
        <w:tabs>
          <w:tab w:val="num" w:pos="2520"/>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363B96"/>
    <w:multiLevelType w:val="hybridMultilevel"/>
    <w:tmpl w:val="34BC7C30"/>
    <w:lvl w:ilvl="0" w:tplc="84066782">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4B609F1"/>
    <w:multiLevelType w:val="hybridMultilevel"/>
    <w:tmpl w:val="C79AE182"/>
    <w:lvl w:ilvl="0" w:tplc="D1C2A3A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7D262E1"/>
    <w:multiLevelType w:val="hybridMultilevel"/>
    <w:tmpl w:val="E2E61EA6"/>
    <w:lvl w:ilvl="0" w:tplc="37FAC9B6">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39F0720"/>
    <w:multiLevelType w:val="hybridMultilevel"/>
    <w:tmpl w:val="D88C1008"/>
    <w:lvl w:ilvl="0" w:tplc="7BA299DE">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EE21CC7"/>
    <w:multiLevelType w:val="multilevel"/>
    <w:tmpl w:val="87B00E24"/>
    <w:lvl w:ilvl="0">
      <w:start w:val="5"/>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6.%2"/>
      <w:lvlJc w:val="left"/>
      <w:pPr>
        <w:tabs>
          <w:tab w:val="num" w:pos="720"/>
        </w:tabs>
        <w:ind w:left="720" w:hanging="360"/>
      </w:pPr>
      <w:rPr>
        <w:rFonts w:ascii="Arial" w:hAnsi="Arial" w:cs="Arial" w:hint="default"/>
        <w:b/>
        <w:bCs/>
        <w:sz w:val="16"/>
        <w:szCs w:val="16"/>
      </w:rPr>
    </w:lvl>
    <w:lvl w:ilvl="2">
      <w:start w:val="1"/>
      <w:numFmt w:val="decimal"/>
      <w:lvlText w:val="%1.%2.%3"/>
      <w:lvlJc w:val="left"/>
      <w:pPr>
        <w:tabs>
          <w:tab w:val="num" w:pos="1440"/>
        </w:tabs>
        <w:ind w:left="1440" w:hanging="720"/>
      </w:pPr>
      <w:rPr>
        <w:rFonts w:ascii="Times New Roman" w:hAnsi="Times New Roman" w:cs="Times New Roman" w:hint="default"/>
        <w:sz w:val="24"/>
      </w:rPr>
    </w:lvl>
    <w:lvl w:ilvl="3">
      <w:start w:val="1"/>
      <w:numFmt w:val="decimal"/>
      <w:lvlText w:val="%1.%2.%3.%4"/>
      <w:lvlJc w:val="left"/>
      <w:pPr>
        <w:tabs>
          <w:tab w:val="num" w:pos="1800"/>
        </w:tabs>
        <w:ind w:left="1800" w:hanging="720"/>
      </w:pPr>
      <w:rPr>
        <w:rFonts w:ascii="Times New Roman" w:hAnsi="Times New Roman" w:cs="Times New Roman" w:hint="default"/>
        <w:sz w:val="24"/>
      </w:rPr>
    </w:lvl>
    <w:lvl w:ilvl="4">
      <w:start w:val="1"/>
      <w:numFmt w:val="decimal"/>
      <w:lvlText w:val="%1.%2.%3.%4.%5"/>
      <w:lvlJc w:val="left"/>
      <w:pPr>
        <w:tabs>
          <w:tab w:val="num" w:pos="2520"/>
        </w:tabs>
        <w:ind w:left="2520" w:hanging="1080"/>
      </w:pPr>
      <w:rPr>
        <w:rFonts w:ascii="Times New Roman" w:hAnsi="Times New Roman" w:cs="Times New Roman" w:hint="default"/>
        <w:sz w:val="24"/>
      </w:rPr>
    </w:lvl>
    <w:lvl w:ilvl="5">
      <w:start w:val="1"/>
      <w:numFmt w:val="decimal"/>
      <w:lvlText w:val="%1.%2.%3.%4.%5.%6"/>
      <w:lvlJc w:val="left"/>
      <w:pPr>
        <w:tabs>
          <w:tab w:val="num" w:pos="2880"/>
        </w:tabs>
        <w:ind w:left="2880" w:hanging="1080"/>
      </w:pPr>
      <w:rPr>
        <w:rFonts w:ascii="Times New Roman" w:hAnsi="Times New Roman" w:cs="Times New Roman" w:hint="default"/>
        <w:sz w:val="24"/>
      </w:rPr>
    </w:lvl>
    <w:lvl w:ilvl="6">
      <w:start w:val="1"/>
      <w:numFmt w:val="decimal"/>
      <w:lvlText w:val="%1.%2.%3.%4.%5.%6.%7"/>
      <w:lvlJc w:val="left"/>
      <w:pPr>
        <w:tabs>
          <w:tab w:val="num" w:pos="3600"/>
        </w:tabs>
        <w:ind w:left="3600" w:hanging="1440"/>
      </w:pPr>
      <w:rPr>
        <w:rFonts w:ascii="Times New Roman" w:hAnsi="Times New Roman" w:cs="Times New Roman" w:hint="default"/>
        <w:sz w:val="24"/>
      </w:rPr>
    </w:lvl>
    <w:lvl w:ilvl="7">
      <w:start w:val="1"/>
      <w:numFmt w:val="decimal"/>
      <w:lvlText w:val="%1.%2.%3.%4.%5.%6.%7.%8"/>
      <w:lvlJc w:val="left"/>
      <w:pPr>
        <w:tabs>
          <w:tab w:val="num" w:pos="3960"/>
        </w:tabs>
        <w:ind w:left="3960" w:hanging="1440"/>
      </w:pPr>
      <w:rPr>
        <w:rFonts w:ascii="Times New Roman" w:hAnsi="Times New Roman" w:cs="Times New Roman" w:hint="default"/>
        <w:sz w:val="24"/>
      </w:rPr>
    </w:lvl>
    <w:lvl w:ilvl="8">
      <w:start w:val="1"/>
      <w:numFmt w:val="decimal"/>
      <w:lvlText w:val="%1.%2.%3.%4.%5.%6.%7.%8.%9"/>
      <w:lvlJc w:val="left"/>
      <w:pPr>
        <w:tabs>
          <w:tab w:val="num" w:pos="4680"/>
        </w:tabs>
        <w:ind w:left="4680" w:hanging="1800"/>
      </w:pPr>
      <w:rPr>
        <w:rFonts w:ascii="Times New Roman" w:hAnsi="Times New Roman" w:cs="Times New Roman" w:hint="default"/>
        <w:sz w:val="24"/>
      </w:rPr>
    </w:lvl>
  </w:abstractNum>
  <w:abstractNum w:abstractNumId="17">
    <w:nsid w:val="3F3A56D2"/>
    <w:multiLevelType w:val="hybridMultilevel"/>
    <w:tmpl w:val="BFA466B6"/>
    <w:lvl w:ilvl="0" w:tplc="BB263C16">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0F">
      <w:start w:val="1"/>
      <w:numFmt w:val="decimal"/>
      <w:lvlText w:val="%3."/>
      <w:lvlJc w:val="left"/>
      <w:pPr>
        <w:tabs>
          <w:tab w:val="num" w:pos="2340"/>
        </w:tabs>
        <w:ind w:left="2340" w:hanging="36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040105D"/>
    <w:multiLevelType w:val="hybridMultilevel"/>
    <w:tmpl w:val="676055CA"/>
    <w:lvl w:ilvl="0" w:tplc="7CCACB9E">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43DF1750"/>
    <w:multiLevelType w:val="hybridMultilevel"/>
    <w:tmpl w:val="F5B6DDD8"/>
    <w:lvl w:ilvl="0" w:tplc="46A8EEFA">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4BE6F15"/>
    <w:multiLevelType w:val="multilevel"/>
    <w:tmpl w:val="4192E546"/>
    <w:lvl w:ilvl="0">
      <w:start w:val="1"/>
      <w:numFmt w:val="decimal"/>
      <w:lvlText w:val="ΜΕΡΟΣ %1."/>
      <w:lvlJc w:val="left"/>
      <w:pPr>
        <w:tabs>
          <w:tab w:val="num" w:pos="540"/>
        </w:tabs>
        <w:ind w:left="520" w:hanging="340"/>
      </w:pPr>
      <w:rPr>
        <w:rFonts w:ascii="Verdana" w:hAnsi="Verdana" w:cs="Times New Roman" w:hint="default"/>
        <w:b/>
        <w:i w:val="0"/>
        <w:color w:val="000080"/>
        <w:sz w:val="20"/>
        <w:szCs w:val="20"/>
      </w:rPr>
    </w:lvl>
    <w:lvl w:ilvl="1">
      <w:start w:val="1"/>
      <w:numFmt w:val="decimal"/>
      <w:lvlText w:val="%1.%2."/>
      <w:lvlJc w:val="left"/>
      <w:pPr>
        <w:tabs>
          <w:tab w:val="num" w:pos="3312"/>
        </w:tabs>
        <w:ind w:left="3312" w:hanging="432"/>
      </w:pPr>
      <w:rPr>
        <w:rFonts w:hint="default"/>
        <w:b/>
        <w:i w:val="0"/>
        <w:color w:val="auto"/>
        <w:sz w:val="18"/>
        <w:szCs w:val="18"/>
      </w:rPr>
    </w:lvl>
    <w:lvl w:ilvl="2">
      <w:start w:val="1"/>
      <w:numFmt w:val="decimal"/>
      <w:lvlText w:val="%1.%2.%3."/>
      <w:lvlJc w:val="left"/>
      <w:pPr>
        <w:tabs>
          <w:tab w:val="num" w:pos="720"/>
        </w:tabs>
        <w:ind w:left="504" w:hanging="504"/>
      </w:pPr>
      <w:rPr>
        <w:rFonts w:ascii="Verdana" w:hAnsi="Verdana" w:hint="default"/>
        <w:b/>
        <w:i w:val="0"/>
        <w:color w:val="auto"/>
        <w:sz w:val="18"/>
        <w:szCs w:val="18"/>
      </w:rPr>
    </w:lvl>
    <w:lvl w:ilvl="3">
      <w:start w:val="1"/>
      <w:numFmt w:val="decimal"/>
      <w:lvlText w:val="%1.%2.%3.%4."/>
      <w:lvlJc w:val="left"/>
      <w:pPr>
        <w:tabs>
          <w:tab w:val="num" w:pos="1260"/>
        </w:tabs>
        <w:ind w:left="828" w:hanging="648"/>
      </w:pPr>
      <w:rPr>
        <w:rFonts w:hint="default"/>
        <w:b/>
        <w:i w:val="0"/>
      </w:rPr>
    </w:lvl>
    <w:lvl w:ilvl="4">
      <w:start w:val="1"/>
      <w:numFmt w:val="decimal"/>
      <w:lvlText w:val="%1.%2.%3.%4.%5."/>
      <w:lvlJc w:val="left"/>
      <w:pPr>
        <w:tabs>
          <w:tab w:val="num" w:pos="1620"/>
        </w:tabs>
        <w:ind w:left="1332" w:hanging="792"/>
      </w:pPr>
      <w:rPr>
        <w:rFonts w:hint="default"/>
        <w:b/>
        <w:i w:val="0"/>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21">
    <w:nsid w:val="459B05D4"/>
    <w:multiLevelType w:val="hybridMultilevel"/>
    <w:tmpl w:val="44F28B8C"/>
    <w:lvl w:ilvl="0" w:tplc="ED9ACB64">
      <w:start w:val="1"/>
      <w:numFmt w:val="decimal"/>
      <w:lvlText w:val="%1."/>
      <w:lvlJc w:val="left"/>
      <w:pPr>
        <w:tabs>
          <w:tab w:val="num" w:pos="720"/>
        </w:tabs>
        <w:ind w:left="720" w:hanging="360"/>
      </w:pPr>
      <w:rPr>
        <w:b w:val="0"/>
      </w:rPr>
    </w:lvl>
    <w:lvl w:ilvl="1" w:tplc="78A2719A">
      <w:start w:val="7"/>
      <w:numFmt w:val="lowerRoman"/>
      <w:lvlText w:val="%2)"/>
      <w:lvlJc w:val="left"/>
      <w:pPr>
        <w:tabs>
          <w:tab w:val="num" w:pos="1800"/>
        </w:tabs>
        <w:ind w:left="1800" w:hanging="72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5BE4B34"/>
    <w:multiLevelType w:val="hybridMultilevel"/>
    <w:tmpl w:val="A962AC02"/>
    <w:lvl w:ilvl="0" w:tplc="0FEE68F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4981274C"/>
    <w:multiLevelType w:val="multilevel"/>
    <w:tmpl w:val="8F4016F8"/>
    <w:lvl w:ilvl="0">
      <w:start w:val="5"/>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6.%2"/>
      <w:lvlJc w:val="left"/>
      <w:pPr>
        <w:tabs>
          <w:tab w:val="num" w:pos="720"/>
        </w:tabs>
        <w:ind w:left="720" w:hanging="360"/>
      </w:pPr>
      <w:rPr>
        <w:rFonts w:ascii="Arial" w:hAnsi="Arial" w:cs="Arial" w:hint="default"/>
        <w:b/>
        <w:sz w:val="20"/>
        <w:szCs w:val="20"/>
      </w:rPr>
    </w:lvl>
    <w:lvl w:ilvl="2">
      <w:start w:val="1"/>
      <w:numFmt w:val="decimal"/>
      <w:lvlText w:val="%1.%2.%3"/>
      <w:lvlJc w:val="left"/>
      <w:pPr>
        <w:tabs>
          <w:tab w:val="num" w:pos="1440"/>
        </w:tabs>
        <w:ind w:left="1440" w:hanging="720"/>
      </w:pPr>
      <w:rPr>
        <w:rFonts w:ascii="Times New Roman" w:hAnsi="Times New Roman" w:cs="Times New Roman" w:hint="default"/>
        <w:sz w:val="24"/>
      </w:rPr>
    </w:lvl>
    <w:lvl w:ilvl="3">
      <w:start w:val="1"/>
      <w:numFmt w:val="decimal"/>
      <w:lvlText w:val="%1.%2.%3.%4"/>
      <w:lvlJc w:val="left"/>
      <w:pPr>
        <w:tabs>
          <w:tab w:val="num" w:pos="1800"/>
        </w:tabs>
        <w:ind w:left="1800" w:hanging="720"/>
      </w:pPr>
      <w:rPr>
        <w:rFonts w:ascii="Times New Roman" w:hAnsi="Times New Roman" w:cs="Times New Roman" w:hint="default"/>
        <w:sz w:val="24"/>
      </w:rPr>
    </w:lvl>
    <w:lvl w:ilvl="4">
      <w:start w:val="1"/>
      <w:numFmt w:val="decimal"/>
      <w:lvlText w:val="%1.%2.%3.%4.%5"/>
      <w:lvlJc w:val="left"/>
      <w:pPr>
        <w:tabs>
          <w:tab w:val="num" w:pos="2520"/>
        </w:tabs>
        <w:ind w:left="2520" w:hanging="1080"/>
      </w:pPr>
      <w:rPr>
        <w:rFonts w:ascii="Times New Roman" w:hAnsi="Times New Roman" w:cs="Times New Roman" w:hint="default"/>
        <w:sz w:val="24"/>
      </w:rPr>
    </w:lvl>
    <w:lvl w:ilvl="5">
      <w:start w:val="1"/>
      <w:numFmt w:val="decimal"/>
      <w:lvlText w:val="%1.%2.%3.%4.%5.%6"/>
      <w:lvlJc w:val="left"/>
      <w:pPr>
        <w:tabs>
          <w:tab w:val="num" w:pos="2880"/>
        </w:tabs>
        <w:ind w:left="2880" w:hanging="1080"/>
      </w:pPr>
      <w:rPr>
        <w:rFonts w:ascii="Times New Roman" w:hAnsi="Times New Roman" w:cs="Times New Roman" w:hint="default"/>
        <w:sz w:val="24"/>
      </w:rPr>
    </w:lvl>
    <w:lvl w:ilvl="6">
      <w:start w:val="1"/>
      <w:numFmt w:val="decimal"/>
      <w:lvlText w:val="%1.%2.%3.%4.%5.%6.%7"/>
      <w:lvlJc w:val="left"/>
      <w:pPr>
        <w:tabs>
          <w:tab w:val="num" w:pos="3600"/>
        </w:tabs>
        <w:ind w:left="3600" w:hanging="1440"/>
      </w:pPr>
      <w:rPr>
        <w:rFonts w:ascii="Times New Roman" w:hAnsi="Times New Roman" w:cs="Times New Roman" w:hint="default"/>
        <w:sz w:val="24"/>
      </w:rPr>
    </w:lvl>
    <w:lvl w:ilvl="7">
      <w:start w:val="1"/>
      <w:numFmt w:val="decimal"/>
      <w:lvlText w:val="%1.%2.%3.%4.%5.%6.%7.%8"/>
      <w:lvlJc w:val="left"/>
      <w:pPr>
        <w:tabs>
          <w:tab w:val="num" w:pos="3960"/>
        </w:tabs>
        <w:ind w:left="3960" w:hanging="1440"/>
      </w:pPr>
      <w:rPr>
        <w:rFonts w:ascii="Times New Roman" w:hAnsi="Times New Roman" w:cs="Times New Roman" w:hint="default"/>
        <w:sz w:val="24"/>
      </w:rPr>
    </w:lvl>
    <w:lvl w:ilvl="8">
      <w:start w:val="1"/>
      <w:numFmt w:val="decimal"/>
      <w:lvlText w:val="%1.%2.%3.%4.%5.%6.%7.%8.%9"/>
      <w:lvlJc w:val="left"/>
      <w:pPr>
        <w:tabs>
          <w:tab w:val="num" w:pos="4680"/>
        </w:tabs>
        <w:ind w:left="4680" w:hanging="1800"/>
      </w:pPr>
      <w:rPr>
        <w:rFonts w:ascii="Times New Roman" w:hAnsi="Times New Roman" w:cs="Times New Roman" w:hint="default"/>
        <w:sz w:val="24"/>
      </w:rPr>
    </w:lvl>
  </w:abstractNum>
  <w:abstractNum w:abstractNumId="24">
    <w:nsid w:val="4C1D3EE6"/>
    <w:multiLevelType w:val="hybridMultilevel"/>
    <w:tmpl w:val="777A2302"/>
    <w:lvl w:ilvl="0" w:tplc="5C2ECAF6">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nsid w:val="583E1723"/>
    <w:multiLevelType w:val="hybridMultilevel"/>
    <w:tmpl w:val="BD6C8B88"/>
    <w:lvl w:ilvl="0" w:tplc="75C8FDE6">
      <w:start w:val="1"/>
      <w:numFmt w:val="decimal"/>
      <w:lvlText w:val="%1)"/>
      <w:lvlJc w:val="left"/>
      <w:pPr>
        <w:tabs>
          <w:tab w:val="num" w:pos="720"/>
        </w:tabs>
        <w:ind w:left="720" w:hanging="360"/>
      </w:pPr>
      <w:rPr>
        <w:rFonts w:hint="default"/>
        <w:b w:val="0"/>
      </w:rPr>
    </w:lvl>
    <w:lvl w:ilvl="1" w:tplc="42623052">
      <w:start w:val="1"/>
      <w:numFmt w:val="decimal"/>
      <w:lvlText w:val="%2."/>
      <w:lvlJc w:val="left"/>
      <w:pPr>
        <w:tabs>
          <w:tab w:val="num" w:pos="720"/>
        </w:tabs>
        <w:ind w:left="720" w:hanging="360"/>
      </w:pPr>
      <w:rPr>
        <w:rFonts w:hint="default"/>
        <w:b/>
        <w:i w:val="0"/>
      </w:rPr>
    </w:lvl>
    <w:lvl w:ilvl="2" w:tplc="0408001B">
      <w:start w:val="1"/>
      <w:numFmt w:val="lowerRoman"/>
      <w:lvlText w:val="%3."/>
      <w:lvlJc w:val="right"/>
      <w:pPr>
        <w:tabs>
          <w:tab w:val="num" w:pos="2160"/>
        </w:tabs>
        <w:ind w:left="2160" w:hanging="180"/>
      </w:pPr>
    </w:lvl>
    <w:lvl w:ilvl="3" w:tplc="395E59E4">
      <w:start w:val="1"/>
      <w:numFmt w:val="lowerRoman"/>
      <w:lvlText w:val="%4)"/>
      <w:lvlJc w:val="left"/>
      <w:pPr>
        <w:ind w:left="3240" w:hanging="720"/>
      </w:pPr>
      <w:rPr>
        <w:rFonts w:hint="default"/>
        <w:sz w:val="22"/>
        <w:szCs w:val="22"/>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25067D0"/>
    <w:multiLevelType w:val="hybridMultilevel"/>
    <w:tmpl w:val="AB68661E"/>
    <w:lvl w:ilvl="0" w:tplc="410E3182">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6330625"/>
    <w:multiLevelType w:val="hybridMultilevel"/>
    <w:tmpl w:val="878681A2"/>
    <w:lvl w:ilvl="0" w:tplc="EE8871FE">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67C82062"/>
    <w:multiLevelType w:val="hybridMultilevel"/>
    <w:tmpl w:val="4052F1BC"/>
    <w:lvl w:ilvl="0" w:tplc="643E353A">
      <w:start w:val="1"/>
      <w:numFmt w:val="decimal"/>
      <w:lvlText w:val="%1."/>
      <w:lvlJc w:val="left"/>
      <w:pPr>
        <w:tabs>
          <w:tab w:val="num" w:pos="786"/>
        </w:tabs>
        <w:ind w:left="786"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6A3D0147"/>
    <w:multiLevelType w:val="multilevel"/>
    <w:tmpl w:val="2E2EEA9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B86546F"/>
    <w:multiLevelType w:val="hybridMultilevel"/>
    <w:tmpl w:val="01FA4826"/>
    <w:lvl w:ilvl="0" w:tplc="65CCA962">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EC24F99"/>
    <w:multiLevelType w:val="hybridMultilevel"/>
    <w:tmpl w:val="B8DAFBA4"/>
    <w:lvl w:ilvl="0" w:tplc="51BAC288">
      <w:start w:val="1"/>
      <w:numFmt w:val="decimal"/>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19A02D8"/>
    <w:multiLevelType w:val="hybridMultilevel"/>
    <w:tmpl w:val="C0FC3142"/>
    <w:lvl w:ilvl="0" w:tplc="2304D546">
      <w:start w:val="1"/>
      <w:numFmt w:val="decimal"/>
      <w:lvlText w:val="%1."/>
      <w:lvlJc w:val="left"/>
      <w:pPr>
        <w:tabs>
          <w:tab w:val="num" w:pos="792"/>
        </w:tabs>
        <w:ind w:left="792" w:hanging="360"/>
      </w:pPr>
      <w:rPr>
        <w:b w:val="0"/>
      </w:rPr>
    </w:lvl>
    <w:lvl w:ilvl="1" w:tplc="0D4EA3C2">
      <w:start w:val="3"/>
      <w:numFmt w:val="lowerRoman"/>
      <w:lvlText w:val="%2)"/>
      <w:lvlJc w:val="left"/>
      <w:pPr>
        <w:tabs>
          <w:tab w:val="num" w:pos="1872"/>
        </w:tabs>
        <w:ind w:left="1872" w:hanging="720"/>
      </w:pPr>
      <w:rPr>
        <w:rFonts w:hint="default"/>
      </w:rPr>
    </w:lvl>
    <w:lvl w:ilvl="2" w:tplc="0408001B" w:tentative="1">
      <w:start w:val="1"/>
      <w:numFmt w:val="lowerRoman"/>
      <w:lvlText w:val="%3."/>
      <w:lvlJc w:val="right"/>
      <w:pPr>
        <w:tabs>
          <w:tab w:val="num" w:pos="2232"/>
        </w:tabs>
        <w:ind w:left="2232" w:hanging="180"/>
      </w:pPr>
    </w:lvl>
    <w:lvl w:ilvl="3" w:tplc="0408000F" w:tentative="1">
      <w:start w:val="1"/>
      <w:numFmt w:val="decimal"/>
      <w:lvlText w:val="%4."/>
      <w:lvlJc w:val="left"/>
      <w:pPr>
        <w:tabs>
          <w:tab w:val="num" w:pos="2952"/>
        </w:tabs>
        <w:ind w:left="2952" w:hanging="360"/>
      </w:pPr>
    </w:lvl>
    <w:lvl w:ilvl="4" w:tplc="04080019" w:tentative="1">
      <w:start w:val="1"/>
      <w:numFmt w:val="lowerLetter"/>
      <w:lvlText w:val="%5."/>
      <w:lvlJc w:val="left"/>
      <w:pPr>
        <w:tabs>
          <w:tab w:val="num" w:pos="3672"/>
        </w:tabs>
        <w:ind w:left="3672" w:hanging="360"/>
      </w:pPr>
    </w:lvl>
    <w:lvl w:ilvl="5" w:tplc="0408001B" w:tentative="1">
      <w:start w:val="1"/>
      <w:numFmt w:val="lowerRoman"/>
      <w:lvlText w:val="%6."/>
      <w:lvlJc w:val="right"/>
      <w:pPr>
        <w:tabs>
          <w:tab w:val="num" w:pos="4392"/>
        </w:tabs>
        <w:ind w:left="4392" w:hanging="180"/>
      </w:pPr>
    </w:lvl>
    <w:lvl w:ilvl="6" w:tplc="0408000F" w:tentative="1">
      <w:start w:val="1"/>
      <w:numFmt w:val="decimal"/>
      <w:lvlText w:val="%7."/>
      <w:lvlJc w:val="left"/>
      <w:pPr>
        <w:tabs>
          <w:tab w:val="num" w:pos="5112"/>
        </w:tabs>
        <w:ind w:left="5112" w:hanging="360"/>
      </w:pPr>
    </w:lvl>
    <w:lvl w:ilvl="7" w:tplc="04080019" w:tentative="1">
      <w:start w:val="1"/>
      <w:numFmt w:val="lowerLetter"/>
      <w:lvlText w:val="%8."/>
      <w:lvlJc w:val="left"/>
      <w:pPr>
        <w:tabs>
          <w:tab w:val="num" w:pos="5832"/>
        </w:tabs>
        <w:ind w:left="5832" w:hanging="360"/>
      </w:pPr>
    </w:lvl>
    <w:lvl w:ilvl="8" w:tplc="0408001B" w:tentative="1">
      <w:start w:val="1"/>
      <w:numFmt w:val="lowerRoman"/>
      <w:lvlText w:val="%9."/>
      <w:lvlJc w:val="right"/>
      <w:pPr>
        <w:tabs>
          <w:tab w:val="num" w:pos="6552"/>
        </w:tabs>
        <w:ind w:left="6552" w:hanging="180"/>
      </w:pPr>
    </w:lvl>
  </w:abstractNum>
  <w:abstractNum w:abstractNumId="33">
    <w:nsid w:val="73DC10F7"/>
    <w:multiLevelType w:val="multilevel"/>
    <w:tmpl w:val="E1A8A748"/>
    <w:lvl w:ilvl="0">
      <w:start w:val="1"/>
      <w:numFmt w:val="decimal"/>
      <w:lvlText w:val="%1."/>
      <w:lvlJc w:val="left"/>
      <w:pPr>
        <w:tabs>
          <w:tab w:val="num" w:pos="360"/>
        </w:tabs>
        <w:ind w:left="360" w:hanging="360"/>
      </w:pPr>
      <w:rPr>
        <w:rFonts w:hint="default"/>
        <w:b w:val="0"/>
      </w:rPr>
    </w:lvl>
    <w:lvl w:ilvl="1">
      <w:start w:val="6"/>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73EC6B34"/>
    <w:multiLevelType w:val="hybridMultilevel"/>
    <w:tmpl w:val="784437C2"/>
    <w:lvl w:ilvl="0" w:tplc="96B632BE">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755463CD"/>
    <w:multiLevelType w:val="hybridMultilevel"/>
    <w:tmpl w:val="10EED35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532729"/>
    <w:multiLevelType w:val="multilevel"/>
    <w:tmpl w:val="E3CEF3E2"/>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9"/>
  </w:num>
  <w:num w:numId="3">
    <w:abstractNumId w:val="34"/>
  </w:num>
  <w:num w:numId="4">
    <w:abstractNumId w:val="36"/>
  </w:num>
  <w:num w:numId="5">
    <w:abstractNumId w:val="2"/>
  </w:num>
  <w:num w:numId="6">
    <w:abstractNumId w:val="28"/>
  </w:num>
  <w:num w:numId="7">
    <w:abstractNumId w:val="27"/>
  </w:num>
  <w:num w:numId="8">
    <w:abstractNumId w:val="6"/>
  </w:num>
  <w:num w:numId="9">
    <w:abstractNumId w:val="32"/>
  </w:num>
  <w:num w:numId="10">
    <w:abstractNumId w:val="7"/>
  </w:num>
  <w:num w:numId="11">
    <w:abstractNumId w:val="21"/>
  </w:num>
  <w:num w:numId="12">
    <w:abstractNumId w:val="18"/>
  </w:num>
  <w:num w:numId="13">
    <w:abstractNumId w:val="14"/>
  </w:num>
  <w:num w:numId="14">
    <w:abstractNumId w:val="15"/>
  </w:num>
  <w:num w:numId="15">
    <w:abstractNumId w:val="24"/>
  </w:num>
  <w:num w:numId="16">
    <w:abstractNumId w:val="31"/>
  </w:num>
  <w:num w:numId="17">
    <w:abstractNumId w:val="3"/>
  </w:num>
  <w:num w:numId="18">
    <w:abstractNumId w:val="9"/>
  </w:num>
  <w:num w:numId="19">
    <w:abstractNumId w:val="17"/>
  </w:num>
  <w:num w:numId="20">
    <w:abstractNumId w:val="30"/>
  </w:num>
  <w:num w:numId="21">
    <w:abstractNumId w:val="10"/>
  </w:num>
  <w:num w:numId="22">
    <w:abstractNumId w:val="11"/>
  </w:num>
  <w:num w:numId="23">
    <w:abstractNumId w:val="8"/>
  </w:num>
  <w:num w:numId="24">
    <w:abstractNumId w:val="26"/>
  </w:num>
  <w:num w:numId="25">
    <w:abstractNumId w:val="33"/>
  </w:num>
  <w:num w:numId="26">
    <w:abstractNumId w:val="5"/>
  </w:num>
  <w:num w:numId="27">
    <w:abstractNumId w:val="1"/>
  </w:num>
  <w:num w:numId="28">
    <w:abstractNumId w:val="4"/>
  </w:num>
  <w:num w:numId="29">
    <w:abstractNumId w:val="22"/>
  </w:num>
  <w:num w:numId="30">
    <w:abstractNumId w:val="25"/>
  </w:num>
  <w:num w:numId="31">
    <w:abstractNumId w:val="29"/>
  </w:num>
  <w:num w:numId="32">
    <w:abstractNumId w:val="16"/>
  </w:num>
  <w:num w:numId="33">
    <w:abstractNumId w:val="35"/>
  </w:num>
  <w:num w:numId="34">
    <w:abstractNumId w:val="12"/>
  </w:num>
  <w:num w:numId="35">
    <w:abstractNumId w:val="13"/>
  </w:num>
  <w:num w:numId="36">
    <w:abstractNumId w:val="0"/>
  </w:num>
  <w:num w:numId="37">
    <w:abstractNumId w:val="23"/>
  </w:num>
  <w:numIdMacAtCleanup w:val="35"/>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A98"/>
    <w:rPr>
      <w:lang w:val="en-GB" w:eastAsia="en-US"/>
    </w:rPr>
  </w:style>
  <w:style w:type="paragraph" w:styleId="Heading1">
    <w:name w:val="heading 1"/>
    <w:basedOn w:val="Normal"/>
    <w:next w:val="Normal"/>
    <w:qFormat/>
    <w:rsid w:val="00CD358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802F07"/>
    <w:pPr>
      <w:keepNext/>
      <w:spacing w:before="120" w:after="120" w:line="360" w:lineRule="auto"/>
      <w:outlineLvl w:val="1"/>
    </w:pPr>
    <w:rPr>
      <w:rFonts w:ascii="Verdana" w:hAnsi="Verdana"/>
      <w:b/>
      <w:color w:val="000080"/>
      <w:sz w:val="18"/>
      <w:szCs w:val="18"/>
      <w:lang w:val="x-none" w:eastAsia="x-none"/>
    </w:rPr>
  </w:style>
  <w:style w:type="paragraph" w:styleId="Heading3">
    <w:name w:val="heading 3"/>
    <w:basedOn w:val="Normal"/>
    <w:next w:val="Normal"/>
    <w:qFormat/>
    <w:rsid w:val="00524EB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640A43"/>
    <w:pPr>
      <w:spacing w:before="120" w:after="120" w:line="360" w:lineRule="auto"/>
      <w:jc w:val="both"/>
    </w:pPr>
    <w:rPr>
      <w:rFonts w:ascii="Arial" w:hAnsi="Arial" w:cs="Arial"/>
      <w:sz w:val="22"/>
      <w:szCs w:val="22"/>
    </w:rPr>
  </w:style>
  <w:style w:type="paragraph" w:styleId="BodyText2">
    <w:name w:val="Body Text 2"/>
    <w:basedOn w:val="Normal"/>
    <w:rsid w:val="00137A98"/>
    <w:pPr>
      <w:jc w:val="both"/>
    </w:pPr>
    <w:rPr>
      <w:sz w:val="22"/>
      <w:lang w:val="el-GR"/>
    </w:rPr>
  </w:style>
  <w:style w:type="paragraph" w:styleId="Subtitle">
    <w:name w:val="Subtitle"/>
    <w:basedOn w:val="Normal"/>
    <w:qFormat/>
    <w:rsid w:val="00137A98"/>
    <w:pPr>
      <w:spacing w:after="60"/>
      <w:jc w:val="center"/>
    </w:pPr>
    <w:rPr>
      <w:rFonts w:ascii="Arial" w:hAnsi="Arial"/>
      <w:b/>
      <w:sz w:val="24"/>
    </w:rPr>
  </w:style>
  <w:style w:type="paragraph" w:styleId="Footer">
    <w:name w:val="footer"/>
    <w:basedOn w:val="Normal"/>
    <w:rsid w:val="00137A98"/>
    <w:pPr>
      <w:tabs>
        <w:tab w:val="center" w:pos="4153"/>
        <w:tab w:val="right" w:pos="8306"/>
      </w:tabs>
    </w:pPr>
  </w:style>
  <w:style w:type="character" w:styleId="PageNumber">
    <w:name w:val="page number"/>
    <w:basedOn w:val="DefaultParagraphFont"/>
    <w:rsid w:val="00137A98"/>
  </w:style>
  <w:style w:type="character" w:customStyle="1" w:styleId="Heading2Char">
    <w:name w:val="Heading 2 Char"/>
    <w:link w:val="Heading2"/>
    <w:rsid w:val="00802F07"/>
    <w:rPr>
      <w:rFonts w:ascii="Verdana" w:hAnsi="Verdana"/>
      <w:b/>
      <w:color w:val="000080"/>
      <w:sz w:val="18"/>
      <w:szCs w:val="18"/>
    </w:rPr>
  </w:style>
  <w:style w:type="paragraph" w:styleId="BodyText">
    <w:name w:val="Body Text"/>
    <w:aliases w:val="Τίτλος Μελέτης"/>
    <w:basedOn w:val="Normal"/>
    <w:link w:val="BodyTextChar"/>
    <w:rsid w:val="00137A98"/>
    <w:pPr>
      <w:spacing w:after="120"/>
      <w:jc w:val="both"/>
    </w:pPr>
    <w:rPr>
      <w:rFonts w:ascii="Arial" w:hAnsi="Arial"/>
      <w:lang w:val="x-none" w:eastAsia="x-none"/>
    </w:rPr>
  </w:style>
  <w:style w:type="paragraph" w:styleId="CommentText">
    <w:name w:val="annotation text"/>
    <w:basedOn w:val="Normal"/>
    <w:link w:val="CommentTextChar"/>
    <w:uiPriority w:val="99"/>
    <w:semiHidden/>
    <w:rsid w:val="00137A98"/>
    <w:rPr>
      <w:lang w:val="el-GR" w:eastAsia="el-GR"/>
    </w:rPr>
  </w:style>
  <w:style w:type="paragraph" w:styleId="BalloonText">
    <w:name w:val="Balloon Text"/>
    <w:basedOn w:val="Normal"/>
    <w:semiHidden/>
    <w:rsid w:val="002612E1"/>
    <w:rPr>
      <w:rFonts w:ascii="Tahoma" w:hAnsi="Tahoma" w:cs="Tahoma"/>
      <w:sz w:val="16"/>
      <w:szCs w:val="16"/>
    </w:rPr>
  </w:style>
  <w:style w:type="paragraph" w:customStyle="1" w:styleId="TableContents">
    <w:name w:val="Table Contents"/>
    <w:basedOn w:val="Normal"/>
    <w:rsid w:val="00524EB1"/>
    <w:pPr>
      <w:numPr>
        <w:numId w:val="22"/>
      </w:numPr>
      <w:tabs>
        <w:tab w:val="clear" w:pos="2520"/>
      </w:tabs>
      <w:overflowPunct w:val="0"/>
      <w:autoSpaceDE w:val="0"/>
      <w:autoSpaceDN w:val="0"/>
      <w:adjustRightInd w:val="0"/>
      <w:spacing w:before="60" w:after="60"/>
      <w:ind w:left="57" w:right="57" w:firstLine="0"/>
      <w:textAlignment w:val="baseline"/>
    </w:pPr>
    <w:rPr>
      <w:rFonts w:ascii="Verdana" w:hAnsi="Verdana"/>
      <w:sz w:val="18"/>
      <w:lang w:val="el-GR"/>
    </w:rPr>
  </w:style>
  <w:style w:type="character" w:styleId="Hyperlink">
    <w:name w:val="Hyperlink"/>
    <w:rsid w:val="00524EB1"/>
    <w:rPr>
      <w:color w:val="0000FF"/>
      <w:u w:val="single"/>
    </w:rPr>
  </w:style>
  <w:style w:type="paragraph" w:styleId="EndnoteText">
    <w:name w:val="endnote text"/>
    <w:basedOn w:val="Normal"/>
    <w:semiHidden/>
    <w:rsid w:val="002858B6"/>
  </w:style>
  <w:style w:type="character" w:styleId="EndnoteReference">
    <w:name w:val="endnote reference"/>
    <w:semiHidden/>
    <w:rsid w:val="002858B6"/>
    <w:rPr>
      <w:vertAlign w:val="superscript"/>
    </w:rPr>
  </w:style>
  <w:style w:type="character" w:customStyle="1" w:styleId="CharChar2">
    <w:name w:val=" Char Char2"/>
    <w:rsid w:val="00CD358A"/>
    <w:rPr>
      <w:rFonts w:ascii="Arial" w:hAnsi="Arial"/>
      <w:b/>
      <w:sz w:val="22"/>
      <w:szCs w:val="22"/>
      <w:lang w:val="el-GR" w:eastAsia="el-GR" w:bidi="ar-SA"/>
    </w:rPr>
  </w:style>
  <w:style w:type="table" w:styleId="TableColorful2">
    <w:name w:val="Table Colorful 2"/>
    <w:basedOn w:val="TableNormal"/>
    <w:rsid w:val="00CD358A"/>
    <w:pPr>
      <w:overflowPunct w:val="0"/>
      <w:autoSpaceDE w:val="0"/>
      <w:autoSpaceDN w:val="0"/>
      <w:adjustRightInd w:val="0"/>
      <w:spacing w:after="120"/>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eader">
    <w:name w:val="header"/>
    <w:basedOn w:val="Normal"/>
    <w:rsid w:val="00A02B53"/>
    <w:pPr>
      <w:tabs>
        <w:tab w:val="center" w:pos="4153"/>
        <w:tab w:val="right" w:pos="8306"/>
      </w:tabs>
    </w:pPr>
  </w:style>
  <w:style w:type="paragraph" w:customStyle="1" w:styleId="MediumGrid21">
    <w:name w:val="Medium Grid 21"/>
    <w:qFormat/>
    <w:rsid w:val="006F073E"/>
    <w:rPr>
      <w:rFonts w:eastAsia="Calibri"/>
      <w:sz w:val="24"/>
      <w:szCs w:val="24"/>
    </w:rPr>
  </w:style>
  <w:style w:type="character" w:customStyle="1" w:styleId="CommentTextChar">
    <w:name w:val="Comment Text Char"/>
    <w:link w:val="CommentText"/>
    <w:uiPriority w:val="99"/>
    <w:semiHidden/>
    <w:rsid w:val="00802F07"/>
  </w:style>
  <w:style w:type="character" w:customStyle="1" w:styleId="BodyTextChar">
    <w:name w:val="Body Text Char"/>
    <w:aliases w:val="Τίτλος Μελέτης Char"/>
    <w:link w:val="BodyText"/>
    <w:rsid w:val="00F67DC5"/>
    <w:rPr>
      <w:rFonts w:ascii="Arial" w:hAnsi="Arial"/>
    </w:rPr>
  </w:style>
  <w:style w:type="character" w:styleId="CommentReference">
    <w:name w:val="annotation reference"/>
    <w:uiPriority w:val="99"/>
    <w:rsid w:val="00230042"/>
    <w:rPr>
      <w:rFonts w:cs="Times New Roman"/>
      <w:sz w:val="16"/>
      <w:szCs w:val="16"/>
    </w:rPr>
  </w:style>
  <w:style w:type="paragraph" w:customStyle="1" w:styleId="Narticle">
    <w:name w:val="Narticle"/>
    <w:basedOn w:val="Normal"/>
    <w:link w:val="NarticleChar"/>
    <w:uiPriority w:val="99"/>
    <w:rsid w:val="00230042"/>
    <w:pPr>
      <w:numPr>
        <w:ilvl w:val="5"/>
        <w:numId w:val="1"/>
      </w:numPr>
      <w:spacing w:before="240"/>
      <w:jc w:val="both"/>
    </w:pPr>
    <w:rPr>
      <w:rFonts w:ascii="Arial" w:hAnsi="Arial"/>
      <w:sz w:val="22"/>
      <w:lang w:val="x-none" w:eastAsia="x-none"/>
    </w:rPr>
  </w:style>
  <w:style w:type="paragraph" w:customStyle="1" w:styleId="Narticle-">
    <w:name w:val="Narticle-α"/>
    <w:basedOn w:val="Normal"/>
    <w:uiPriority w:val="99"/>
    <w:rsid w:val="00230042"/>
    <w:pPr>
      <w:tabs>
        <w:tab w:val="left" w:pos="1134"/>
      </w:tabs>
      <w:spacing w:before="240"/>
      <w:ind w:left="1080" w:hanging="360"/>
      <w:jc w:val="both"/>
    </w:pPr>
    <w:rPr>
      <w:rFonts w:ascii="Arial" w:hAnsi="Arial" w:cs="Arial"/>
      <w:sz w:val="22"/>
      <w:szCs w:val="22"/>
      <w:lang w:val="el-GR" w:eastAsia="el-GR"/>
    </w:rPr>
  </w:style>
  <w:style w:type="paragraph" w:customStyle="1" w:styleId="Narticle-0">
    <w:name w:val="Narticle-α(ι)"/>
    <w:basedOn w:val="Normal"/>
    <w:uiPriority w:val="99"/>
    <w:rsid w:val="00230042"/>
    <w:pPr>
      <w:numPr>
        <w:ilvl w:val="7"/>
        <w:numId w:val="1"/>
      </w:numPr>
      <w:spacing w:before="240"/>
      <w:ind w:left="1712" w:firstLine="0"/>
      <w:jc w:val="both"/>
    </w:pPr>
    <w:rPr>
      <w:rFonts w:ascii="Arial" w:hAnsi="Arial" w:cs="Arial"/>
      <w:sz w:val="22"/>
      <w:szCs w:val="22"/>
      <w:lang w:val="el-GR" w:eastAsia="el-GR"/>
    </w:rPr>
  </w:style>
  <w:style w:type="character" w:customStyle="1" w:styleId="NarticleChar">
    <w:name w:val="Narticle Char"/>
    <w:link w:val="Narticle"/>
    <w:uiPriority w:val="99"/>
    <w:locked/>
    <w:rsid w:val="00230042"/>
    <w:rPr>
      <w:rFonts w:ascii="Arial" w:hAnsi="Arial"/>
      <w:sz w:val="22"/>
    </w:rPr>
  </w:style>
  <w:style w:type="paragraph" w:customStyle="1" w:styleId="Narticle-i">
    <w:name w:val="Narticle-α(i)(α)"/>
    <w:basedOn w:val="ColorfulList-Accent11"/>
    <w:uiPriority w:val="99"/>
    <w:rsid w:val="00230042"/>
    <w:pPr>
      <w:numPr>
        <w:numId w:val="27"/>
      </w:numPr>
      <w:tabs>
        <w:tab w:val="clear" w:pos="360"/>
        <w:tab w:val="num" w:pos="1474"/>
        <w:tab w:val="num" w:pos="3780"/>
      </w:tabs>
      <w:spacing w:before="240"/>
      <w:ind w:left="2098" w:hanging="624"/>
      <w:contextualSpacing/>
      <w:jc w:val="both"/>
    </w:pPr>
    <w:rPr>
      <w:rFonts w:ascii="Arial" w:hAnsi="Arial"/>
      <w:sz w:val="22"/>
      <w:lang w:val="el-GR" w:eastAsia="el-GR"/>
    </w:rPr>
  </w:style>
  <w:style w:type="paragraph" w:customStyle="1" w:styleId="ColorfulList-Accent11">
    <w:name w:val="Colorful List - Accent 11"/>
    <w:basedOn w:val="Normal"/>
    <w:uiPriority w:val="34"/>
    <w:qFormat/>
    <w:rsid w:val="00230042"/>
    <w:pPr>
      <w:ind w:left="720"/>
    </w:pPr>
  </w:style>
  <w:style w:type="table" w:styleId="TableGrid">
    <w:name w:val="Table Grid"/>
    <w:basedOn w:val="TableNormal"/>
    <w:rsid w:val="005A29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457017"/>
    <w:rPr>
      <w:b/>
      <w:bCs/>
      <w:lang w:val="en-GB" w:eastAsia="en-US"/>
    </w:rPr>
  </w:style>
  <w:style w:type="character" w:customStyle="1" w:styleId="CommentSubjectChar">
    <w:name w:val="Comment Subject Char"/>
    <w:link w:val="CommentSubject"/>
    <w:rsid w:val="00457017"/>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1775</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Αποφαση 2</vt:lpstr>
    </vt:vector>
  </TitlesOfParts>
  <Company>CSD SA</Company>
  <LinksUpToDate>false</LinksUpToDate>
  <CharactersWithSpaces>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Αποφαση 2</dc:title>
  <dc:subject/>
  <dc:creator>msaxoni</dc:creator>
  <cp:keywords/>
  <cp:lastModifiedBy>Andrianakis, Ioannis</cp:lastModifiedBy>
  <cp:revision>2</cp:revision>
  <cp:lastPrinted>2012-02-16T20:17:00Z</cp:lastPrinted>
  <dcterms:created xsi:type="dcterms:W3CDTF">2014-11-06T15:59:00Z</dcterms:created>
  <dcterms:modified xsi:type="dcterms:W3CDTF">2014-11-06T15:59:00Z</dcterms:modified>
</cp:coreProperties>
</file>