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53" w:rsidRDefault="00835C53" w:rsidP="00835C5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835C53" w:rsidRDefault="00835C53" w:rsidP="00835C5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835C53" w:rsidRDefault="00835C53" w:rsidP="00835C53">
      <w:pPr>
        <w:spacing w:line="240" w:lineRule="exact"/>
        <w:jc w:val="right"/>
        <w:rPr>
          <w:rFonts w:ascii="Verdana" w:hAnsi="Verdana" w:cs="Arial"/>
          <w:b/>
          <w:lang w:val="el-GR"/>
        </w:rPr>
      </w:pPr>
    </w:p>
    <w:p w:rsidR="005367FD" w:rsidRPr="004D7656" w:rsidRDefault="00421386" w:rsidP="008339F9">
      <w:pPr>
        <w:pStyle w:val="NormalWeb"/>
        <w:ind w:left="2160" w:firstLine="720"/>
        <w:jc w:val="right"/>
        <w:rPr>
          <w:rFonts w:asciiTheme="minorHAnsi" w:hAnsiTheme="minorHAnsi" w:cstheme="minorHAnsi"/>
          <w:color w:val="6C717A"/>
          <w:sz w:val="22"/>
          <w:szCs w:val="22"/>
          <w:lang w:val="en-US"/>
        </w:rPr>
      </w:pPr>
      <w:r w:rsidRPr="004D7656">
        <w:rPr>
          <w:rFonts w:asciiTheme="minorHAnsi" w:hAnsiTheme="minorHAnsi" w:cstheme="minorHAnsi"/>
          <w:color w:val="6C717A"/>
          <w:sz w:val="22"/>
          <w:szCs w:val="22"/>
          <w:lang w:val="en-US"/>
        </w:rPr>
        <w:t>Athens,</w:t>
      </w:r>
      <w:r>
        <w:rPr>
          <w:rFonts w:asciiTheme="minorHAnsi" w:hAnsiTheme="minorHAnsi" w:cstheme="minorHAnsi"/>
          <w:color w:val="6C717A"/>
          <w:sz w:val="22"/>
          <w:szCs w:val="22"/>
          <w:lang w:val="en-US"/>
        </w:rPr>
        <w:t xml:space="preserve"> </w:t>
      </w:r>
      <w:r w:rsidR="004E08E2">
        <w:rPr>
          <w:rFonts w:asciiTheme="minorHAnsi" w:hAnsiTheme="minorHAnsi" w:cstheme="minorHAnsi"/>
          <w:color w:val="6C717A"/>
          <w:sz w:val="22"/>
          <w:szCs w:val="22"/>
          <w:lang w:val="en-US"/>
        </w:rPr>
        <w:t>October</w:t>
      </w:r>
      <w:r w:rsidR="005367FD" w:rsidRPr="004D7656">
        <w:rPr>
          <w:rFonts w:asciiTheme="minorHAnsi" w:hAnsiTheme="minorHAnsi" w:cstheme="minorHAnsi"/>
          <w:color w:val="6C717A"/>
          <w:sz w:val="22"/>
          <w:szCs w:val="22"/>
          <w:lang w:val="en-US"/>
        </w:rPr>
        <w:t xml:space="preserve"> </w:t>
      </w:r>
      <w:r w:rsidRPr="008339F9">
        <w:rPr>
          <w:rFonts w:asciiTheme="minorHAnsi" w:hAnsiTheme="minorHAnsi" w:cstheme="minorHAnsi"/>
          <w:color w:val="6C717A"/>
          <w:sz w:val="22"/>
          <w:szCs w:val="22"/>
          <w:lang w:val="en-US"/>
        </w:rPr>
        <w:t>3</w:t>
      </w:r>
      <w:r w:rsidR="004A6220">
        <w:rPr>
          <w:rFonts w:asciiTheme="minorHAnsi" w:hAnsiTheme="minorHAnsi" w:cstheme="minorHAnsi"/>
          <w:color w:val="6C717A"/>
          <w:sz w:val="22"/>
          <w:szCs w:val="22"/>
          <w:lang w:val="en-US"/>
        </w:rPr>
        <w:t>0</w:t>
      </w:r>
      <w:r w:rsidR="004A6220">
        <w:rPr>
          <w:rFonts w:asciiTheme="minorHAnsi" w:hAnsiTheme="minorHAnsi" w:cstheme="minorHAnsi"/>
          <w:color w:val="6C717A"/>
          <w:sz w:val="22"/>
          <w:szCs w:val="22"/>
          <w:vertAlign w:val="superscript"/>
          <w:lang w:val="en-US"/>
        </w:rPr>
        <w:t>st</w:t>
      </w:r>
      <w:r w:rsidR="004A6220">
        <w:rPr>
          <w:rFonts w:asciiTheme="minorHAnsi" w:hAnsiTheme="minorHAnsi" w:cstheme="minorHAnsi"/>
          <w:color w:val="6C717A"/>
          <w:sz w:val="22"/>
          <w:szCs w:val="22"/>
          <w:lang w:val="en-US"/>
        </w:rPr>
        <w:t xml:space="preserve"> </w:t>
      </w:r>
      <w:r w:rsidR="007320E2">
        <w:rPr>
          <w:rFonts w:asciiTheme="minorHAnsi" w:hAnsiTheme="minorHAnsi" w:cstheme="minorHAnsi"/>
          <w:color w:val="6C717A"/>
          <w:sz w:val="22"/>
          <w:szCs w:val="22"/>
          <w:lang w:val="en-US"/>
        </w:rPr>
        <w:t>2015</w:t>
      </w:r>
    </w:p>
    <w:p w:rsidR="00312DA1" w:rsidRDefault="00312DA1" w:rsidP="00C65FA3">
      <w:pPr>
        <w:spacing w:line="240" w:lineRule="exact"/>
        <w:jc w:val="both"/>
        <w:rPr>
          <w:rFonts w:ascii="Verdana" w:hAnsi="Verdana" w:cs="Arial"/>
          <w:b/>
          <w:lang w:val="en-GB"/>
        </w:rPr>
      </w:pPr>
    </w:p>
    <w:p w:rsidR="005367FD" w:rsidRPr="001B2E1A" w:rsidRDefault="005367FD" w:rsidP="005367FD">
      <w:pPr>
        <w:pStyle w:val="NormalWeb"/>
        <w:jc w:val="center"/>
        <w:rPr>
          <w:rStyle w:val="Strong"/>
          <w:rFonts w:ascii="Calibri" w:hAnsi="Calibri" w:cs="Calibri"/>
          <w:color w:val="0070C0"/>
          <w:lang w:val="en-US"/>
        </w:rPr>
      </w:pPr>
      <w:r w:rsidRPr="001B2E1A">
        <w:rPr>
          <w:rStyle w:val="Strong"/>
          <w:rFonts w:ascii="Calibri" w:hAnsi="Calibri" w:cs="Calibri"/>
          <w:color w:val="0070C0"/>
          <w:lang w:val="en-US"/>
        </w:rPr>
        <w:t>PRESS RELEASE</w:t>
      </w:r>
    </w:p>
    <w:p w:rsidR="001B2E1A" w:rsidRPr="002F612B" w:rsidRDefault="001B2E1A" w:rsidP="001B2E1A">
      <w:pPr>
        <w:tabs>
          <w:tab w:val="right" w:pos="9978"/>
        </w:tabs>
        <w:spacing w:before="100" w:beforeAutospacing="1" w:after="100" w:afterAutospacing="1" w:line="360" w:lineRule="auto"/>
        <w:jc w:val="both"/>
        <w:rPr>
          <w:rFonts w:asciiTheme="minorHAnsi" w:hAnsiTheme="minorHAnsi" w:cs="Tahoma"/>
          <w:iCs/>
          <w:color w:val="556062"/>
          <w:lang w:val="en-GB"/>
        </w:rPr>
      </w:pPr>
      <w:r w:rsidRPr="002F612B">
        <w:rPr>
          <w:rFonts w:asciiTheme="minorHAnsi" w:hAnsiTheme="minorHAnsi" w:cs="Tahoma"/>
          <w:iCs/>
          <w:color w:val="556062"/>
        </w:rPr>
        <w:t>Τ</w:t>
      </w:r>
      <w:r w:rsidRPr="002F612B">
        <w:rPr>
          <w:rFonts w:asciiTheme="minorHAnsi" w:hAnsiTheme="minorHAnsi" w:cs="Tahoma"/>
          <w:iCs/>
          <w:color w:val="556062"/>
          <w:lang w:val="en-US"/>
        </w:rPr>
        <w:t xml:space="preserve">he </w:t>
      </w:r>
      <w:r w:rsidRPr="002F612B">
        <w:rPr>
          <w:rFonts w:asciiTheme="minorHAnsi" w:hAnsiTheme="minorHAnsi" w:cs="Tahoma"/>
          <w:iCs/>
          <w:color w:val="556062"/>
          <w:lang w:val="en-GB"/>
        </w:rPr>
        <w:t xml:space="preserve">Athens Stock Exchange, following </w:t>
      </w:r>
      <w:r w:rsidRPr="002F612B">
        <w:rPr>
          <w:rFonts w:asciiTheme="minorHAnsi" w:hAnsiTheme="minorHAnsi" w:cs="Tahoma"/>
          <w:iCs/>
          <w:color w:val="556062"/>
          <w:lang w:val="en-US"/>
        </w:rPr>
        <w:t xml:space="preserve">today’s session of its Stock Markets Steering Committee, informs that </w:t>
      </w:r>
      <w:r w:rsidRPr="002F612B">
        <w:rPr>
          <w:rFonts w:asciiTheme="minorHAnsi" w:hAnsiTheme="minorHAnsi" w:cs="Tahoma"/>
          <w:iCs/>
          <w:color w:val="556062"/>
          <w:lang w:val="en-GB"/>
        </w:rPr>
        <w:t xml:space="preserve">on </w:t>
      </w:r>
      <w:r w:rsidRPr="002D205F">
        <w:rPr>
          <w:rFonts w:asciiTheme="minorHAnsi" w:hAnsiTheme="minorHAnsi" w:cs="Arial"/>
          <w:b/>
          <w:bCs/>
          <w:color w:val="6C717A"/>
        </w:rPr>
        <w:t>Wednesday, November 4th, 2015</w:t>
      </w:r>
      <w:r w:rsidRPr="002F612B">
        <w:rPr>
          <w:rFonts w:asciiTheme="minorHAnsi" w:hAnsiTheme="minorHAnsi" w:cs="Arial"/>
          <w:b/>
          <w:bCs/>
          <w:color w:val="6C717A"/>
          <w:lang w:val="en-US"/>
        </w:rPr>
        <w:t xml:space="preserve"> </w:t>
      </w:r>
      <w:r w:rsidRPr="002F612B">
        <w:rPr>
          <w:rFonts w:asciiTheme="minorHAnsi" w:hAnsiTheme="minorHAnsi" w:cs="Tahoma"/>
          <w:iCs/>
          <w:color w:val="556062"/>
          <w:lang w:val="en-GB"/>
        </w:rPr>
        <w:t xml:space="preserve">the corporate actions below will be implemented: </w:t>
      </w:r>
    </w:p>
    <w:p w:rsidR="001B2E1A" w:rsidRPr="002F612B" w:rsidRDefault="001B2E1A" w:rsidP="001B2E1A">
      <w:pPr>
        <w:pStyle w:val="ListParagraph"/>
        <w:numPr>
          <w:ilvl w:val="0"/>
          <w:numId w:val="42"/>
        </w:numPr>
        <w:spacing w:before="100" w:beforeAutospacing="1" w:after="360" w:line="360" w:lineRule="auto"/>
        <w:jc w:val="both"/>
        <w:rPr>
          <w:rFonts w:asciiTheme="minorHAnsi" w:hAnsiTheme="minorHAnsi" w:cs="Arial"/>
          <w:color w:val="6C717A"/>
          <w:sz w:val="20"/>
          <w:szCs w:val="20"/>
          <w:lang w:val="en-US"/>
        </w:rPr>
      </w:pPr>
      <w:r w:rsidRPr="002F612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Commencement of trading of the existing shares under their final par value of </w:t>
      </w:r>
      <w:r w:rsidRPr="001B2E1A">
        <w:rPr>
          <w:rFonts w:asciiTheme="minorHAnsi" w:hAnsiTheme="minorHAnsi" w:cs="Arial"/>
          <w:b/>
          <w:bCs/>
          <w:color w:val="6C717A"/>
          <w:sz w:val="20"/>
          <w:szCs w:val="20"/>
          <w:lang w:val="en-US"/>
        </w:rPr>
        <w:t>€ 0.54</w:t>
      </w:r>
      <w:r w:rsidRPr="002F612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 per share, and ex-rights trading for the receipt of the capital return of </w:t>
      </w:r>
      <w:r w:rsidRPr="001B2E1A">
        <w:rPr>
          <w:rFonts w:asciiTheme="minorHAnsi" w:hAnsiTheme="minorHAnsi" w:cs="Arial"/>
          <w:b/>
          <w:bCs/>
          <w:color w:val="6C717A"/>
          <w:sz w:val="20"/>
          <w:szCs w:val="20"/>
          <w:lang w:val="en-US"/>
        </w:rPr>
        <w:t>€ 0.09</w:t>
      </w:r>
      <w:r w:rsidRPr="002F612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 per share, following the equal increase and decrease in the par value of the shares of </w:t>
      </w:r>
      <w:r w:rsidRPr="001B2E1A">
        <w:rPr>
          <w:rFonts w:asciiTheme="minorHAnsi" w:hAnsiTheme="minorHAnsi" w:cs="Arial"/>
          <w:b/>
          <w:bCs/>
          <w:color w:val="6C717A"/>
          <w:sz w:val="20"/>
          <w:szCs w:val="20"/>
          <w:lang w:val="en-US"/>
        </w:rPr>
        <w:t>“FLEXOPACK S.A.”</w:t>
      </w:r>
      <w:r w:rsidRPr="002F612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 (ISIN: GRS259003002). The record date for the aforementioned corporate action is on </w:t>
      </w:r>
      <w:r w:rsidRPr="001B2E1A">
        <w:rPr>
          <w:rFonts w:asciiTheme="minorHAnsi" w:hAnsiTheme="minorHAnsi" w:cs="Arial"/>
          <w:b/>
          <w:bCs/>
          <w:color w:val="6C717A"/>
          <w:sz w:val="20"/>
          <w:szCs w:val="20"/>
          <w:lang w:val="en-US"/>
        </w:rPr>
        <w:t>Thursday, November 5th, 2015.</w:t>
      </w:r>
    </w:p>
    <w:p w:rsidR="001B2E1A" w:rsidRPr="002F612B" w:rsidRDefault="001B2E1A" w:rsidP="001B2E1A">
      <w:pPr>
        <w:pStyle w:val="ListParagraph"/>
        <w:numPr>
          <w:ilvl w:val="0"/>
          <w:numId w:val="42"/>
        </w:numPr>
        <w:spacing w:after="360" w:line="360" w:lineRule="auto"/>
        <w:jc w:val="both"/>
        <w:rPr>
          <w:rFonts w:asciiTheme="minorHAnsi" w:hAnsiTheme="minorHAnsi" w:cs="Tahoma"/>
          <w:iCs/>
          <w:color w:val="556062"/>
          <w:sz w:val="20"/>
          <w:szCs w:val="20"/>
          <w:lang w:val="en-GB"/>
        </w:rPr>
      </w:pPr>
      <w:r w:rsidRPr="002F612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Commencement of trading of </w:t>
      </w:r>
      <w:r w:rsidRPr="001B2E1A">
        <w:rPr>
          <w:rFonts w:asciiTheme="minorHAnsi" w:hAnsiTheme="minorHAnsi" w:cs="Arial"/>
          <w:b/>
          <w:bCs/>
          <w:color w:val="6C717A"/>
          <w:sz w:val="20"/>
          <w:szCs w:val="20"/>
          <w:lang w:val="en-US"/>
        </w:rPr>
        <w:t>1,363,723</w:t>
      </w:r>
      <w:r w:rsidRPr="002F612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 new common registered shares of </w:t>
      </w:r>
      <w:r w:rsidRPr="001B2E1A">
        <w:rPr>
          <w:rFonts w:asciiTheme="minorHAnsi" w:hAnsiTheme="minorHAnsi" w:cs="Arial"/>
          <w:b/>
          <w:bCs/>
          <w:color w:val="6C717A"/>
          <w:sz w:val="20"/>
          <w:szCs w:val="20"/>
          <w:lang w:val="en-US"/>
        </w:rPr>
        <w:t>“AUDIO VISUAL ENTERPRISES S.A.”</w:t>
      </w:r>
      <w:r w:rsidRPr="002F612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 (ISIN: GRS489003004), following the share capital increase realised through the conversion of an equal number of the </w:t>
      </w:r>
      <w:r w:rsidRPr="00610D8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>company’s non-listed preferred</w:t>
      </w:r>
      <w:r w:rsidRPr="002F612B">
        <w:rPr>
          <w:rFonts w:asciiTheme="minorHAnsi" w:hAnsiTheme="minorHAnsi" w:cs="Tahoma"/>
          <w:iCs/>
          <w:color w:val="556062"/>
          <w:sz w:val="20"/>
          <w:szCs w:val="20"/>
          <w:lang w:val="en-GB"/>
        </w:rPr>
        <w:t xml:space="preserve"> registered shares.</w:t>
      </w:r>
    </w:p>
    <w:p w:rsidR="007473E9" w:rsidRPr="00A80500" w:rsidRDefault="008339F9" w:rsidP="003257C9">
      <w:pPr>
        <w:pStyle w:val="NormalWeb"/>
        <w:spacing w:line="360" w:lineRule="auto"/>
        <w:jc w:val="both"/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</w:pPr>
      <w:r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>Moreover, t</w:t>
      </w:r>
      <w:r w:rsidR="00312DA1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 xml:space="preserve">he </w:t>
      </w:r>
      <w:r w:rsidR="00A80500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 xml:space="preserve">Stock Markets Steering Committee of </w:t>
      </w:r>
      <w:r w:rsidR="005367FD" w:rsidRPr="005367FD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>Hellenic Exchanges - Athens Stock Exchange</w:t>
      </w:r>
      <w:r w:rsidR="00312DA1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>, during today's session, approved</w:t>
      </w:r>
      <w:r w:rsidR="003257C9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 xml:space="preserve"> t</w:t>
      </w:r>
      <w:r w:rsidR="007473E9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 xml:space="preserve">he application of price fluctuation limits of </w:t>
      </w:r>
      <w:r w:rsidR="007473E9" w:rsidRPr="00A80500">
        <w:rPr>
          <w:rFonts w:ascii="Calibri" w:eastAsia="Times New Roman" w:hAnsi="Calibri" w:cs="Tahoma"/>
          <w:b/>
          <w:iCs/>
          <w:color w:val="556062"/>
          <w:sz w:val="20"/>
          <w:szCs w:val="20"/>
          <w:lang w:val="en-US"/>
        </w:rPr>
        <w:t>±10%,</w:t>
      </w:r>
      <w:r w:rsidR="007473E9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 xml:space="preserve"> for </w:t>
      </w:r>
      <w:r w:rsidR="004E08E2">
        <w:rPr>
          <w:rFonts w:ascii="Calibri" w:eastAsia="Times New Roman" w:hAnsi="Calibri" w:cs="Tahoma"/>
          <w:b/>
          <w:iCs/>
          <w:color w:val="556062"/>
          <w:sz w:val="20"/>
          <w:szCs w:val="20"/>
          <w:lang w:val="en-US"/>
        </w:rPr>
        <w:t>November</w:t>
      </w:r>
      <w:r w:rsidR="00990E29">
        <w:rPr>
          <w:rFonts w:ascii="Calibri" w:eastAsia="Times New Roman" w:hAnsi="Calibri" w:cs="Tahoma"/>
          <w:b/>
          <w:iCs/>
          <w:color w:val="556062"/>
          <w:sz w:val="20"/>
          <w:szCs w:val="20"/>
          <w:lang w:val="en-US"/>
        </w:rPr>
        <w:t xml:space="preserve"> 2015</w:t>
      </w:r>
      <w:r w:rsidR="007473E9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>, for the low turnover velocity Stocks of the Main Market</w:t>
      </w:r>
      <w:r w:rsidR="00053BF7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 xml:space="preserve"> (monthly average velo</w:t>
      </w:r>
      <w:bookmarkStart w:id="0" w:name="_GoBack"/>
      <w:bookmarkEnd w:id="0"/>
      <w:r w:rsidR="00053BF7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>city of last month less or equal to 0.01%)</w:t>
      </w:r>
      <w:r w:rsidR="007473E9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 xml:space="preserve"> presented in </w:t>
      </w:r>
      <w:r w:rsidR="007473E9" w:rsidRPr="00A80500">
        <w:rPr>
          <w:rFonts w:ascii="Calibri" w:eastAsia="Times New Roman" w:hAnsi="Calibri" w:cs="Tahoma"/>
          <w:b/>
          <w:iCs/>
          <w:color w:val="556062"/>
          <w:sz w:val="20"/>
          <w:szCs w:val="20"/>
          <w:lang w:val="en-US"/>
        </w:rPr>
        <w:t>Table</w:t>
      </w:r>
      <w:r w:rsidR="003257C9" w:rsidRPr="00A80500">
        <w:rPr>
          <w:rFonts w:ascii="Calibri" w:eastAsia="Times New Roman" w:hAnsi="Calibri" w:cs="Tahoma"/>
          <w:b/>
          <w:iCs/>
          <w:color w:val="556062"/>
          <w:sz w:val="20"/>
          <w:szCs w:val="20"/>
          <w:lang w:val="en-US"/>
        </w:rPr>
        <w:t xml:space="preserve"> 1</w:t>
      </w:r>
      <w:r w:rsidR="007473E9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>, according to the ATHEX Board Decision 22.</w:t>
      </w:r>
    </w:p>
    <w:p w:rsidR="003257C9" w:rsidRPr="00A80500" w:rsidRDefault="000D1388" w:rsidP="003257C9">
      <w:pPr>
        <w:pStyle w:val="NormalWeb"/>
        <w:spacing w:line="360" w:lineRule="auto"/>
        <w:jc w:val="both"/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</w:pPr>
      <w:r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>In accordance to the aforementioned decision the following changes arise with respect to the previous month:</w:t>
      </w:r>
    </w:p>
    <w:p w:rsidR="000D1388" w:rsidRPr="00A80500" w:rsidRDefault="000D1388" w:rsidP="000D1388">
      <w:pPr>
        <w:pStyle w:val="NormalWeb"/>
        <w:numPr>
          <w:ilvl w:val="0"/>
          <w:numId w:val="41"/>
        </w:numPr>
        <w:spacing w:line="360" w:lineRule="auto"/>
        <w:ind w:left="426"/>
        <w:jc w:val="both"/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</w:pPr>
      <w:r w:rsidRPr="00A80500">
        <w:rPr>
          <w:rFonts w:ascii="Calibri" w:eastAsia="Times New Roman" w:hAnsi="Calibri" w:cs="Tahoma"/>
          <w:b/>
          <w:iCs/>
          <w:color w:val="556062"/>
          <w:sz w:val="20"/>
          <w:szCs w:val="20"/>
          <w:lang w:val="en-US"/>
        </w:rPr>
        <w:t>Table 2</w:t>
      </w:r>
      <w:r w:rsidR="003257C9" w:rsidRPr="00A80500">
        <w:rPr>
          <w:rFonts w:ascii="Calibri" w:eastAsia="Times New Roman" w:hAnsi="Calibri" w:cs="Tahoma"/>
          <w:b/>
          <w:iCs/>
          <w:color w:val="556062"/>
          <w:sz w:val="20"/>
          <w:szCs w:val="20"/>
          <w:lang w:val="en-US"/>
        </w:rPr>
        <w:t>:</w:t>
      </w:r>
      <w:r w:rsidR="003257C9"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 xml:space="preserve"> </w:t>
      </w:r>
      <w:r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>stocks entering the low turnover velocity table of the Main Market</w:t>
      </w:r>
    </w:p>
    <w:p w:rsidR="000D1388" w:rsidRPr="00A80500" w:rsidRDefault="000D1388" w:rsidP="000D1388">
      <w:pPr>
        <w:pStyle w:val="NormalWeb"/>
        <w:numPr>
          <w:ilvl w:val="0"/>
          <w:numId w:val="41"/>
        </w:numPr>
        <w:spacing w:line="360" w:lineRule="auto"/>
        <w:ind w:left="426"/>
        <w:jc w:val="both"/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</w:pPr>
      <w:r w:rsidRPr="00A80500">
        <w:rPr>
          <w:rFonts w:ascii="Calibri" w:eastAsia="Times New Roman" w:hAnsi="Calibri" w:cs="Tahoma"/>
          <w:b/>
          <w:iCs/>
          <w:color w:val="556062"/>
          <w:sz w:val="20"/>
          <w:szCs w:val="20"/>
          <w:lang w:val="en-US"/>
        </w:rPr>
        <w:t>Table 3:</w:t>
      </w:r>
      <w:r w:rsidRPr="00A80500">
        <w:rPr>
          <w:rFonts w:ascii="Calibri" w:eastAsia="Times New Roman" w:hAnsi="Calibri" w:cs="Tahoma"/>
          <w:iCs/>
          <w:color w:val="556062"/>
          <w:sz w:val="20"/>
          <w:szCs w:val="20"/>
          <w:lang w:val="en-US"/>
        </w:rPr>
        <w:t xml:space="preserve"> stocks removed from the low turnover velocity table of the Main Market.</w:t>
      </w:r>
    </w:p>
    <w:p w:rsidR="003257C9" w:rsidRPr="000D1388" w:rsidRDefault="003257C9" w:rsidP="003257C9">
      <w:pPr>
        <w:pStyle w:val="NormalWeb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1D78B1" w:rsidRDefault="00EC2F14" w:rsidP="00FB6CA8">
      <w:pPr>
        <w:rPr>
          <w:rFonts w:ascii="Calibri" w:hAnsi="Calibri"/>
          <w:b/>
          <w:color w:val="556062"/>
        </w:rPr>
      </w:pPr>
      <w:r w:rsidRPr="000D1388">
        <w:rPr>
          <w:rFonts w:ascii="Verdana" w:hAnsi="Verdana"/>
          <w:lang w:val="en-GB"/>
        </w:rPr>
        <w:br w:type="page"/>
      </w:r>
      <w:r w:rsidR="009E7ED3" w:rsidRPr="00184164">
        <w:rPr>
          <w:rFonts w:ascii="Calibri" w:hAnsi="Calibri"/>
          <w:b/>
          <w:color w:val="556062"/>
        </w:rPr>
        <w:lastRenderedPageBreak/>
        <w:t>TABLE 1: STOCKS OF THE ATHEX MAIN MARKET WITH LOW TURNOVER VELOCITY</w:t>
      </w:r>
      <w:r w:rsidR="009E7ED3" w:rsidRPr="00184164">
        <w:rPr>
          <w:rFonts w:ascii="Calibri" w:hAnsi="Calibri"/>
          <w:b/>
          <w:color w:val="556062"/>
        </w:rPr>
        <w:tab/>
      </w:r>
    </w:p>
    <w:p w:rsidR="001D78B1" w:rsidRPr="00CA391D" w:rsidRDefault="009E7ED3" w:rsidP="001D78B1">
      <w:pPr>
        <w:jc w:val="center"/>
        <w:rPr>
          <w:rFonts w:ascii="Calibri" w:hAnsi="Calibri"/>
          <w:b/>
          <w:color w:val="556062"/>
        </w:rPr>
      </w:pPr>
      <w:r w:rsidRPr="00184164">
        <w:rPr>
          <w:rFonts w:ascii="Calibri" w:hAnsi="Calibri"/>
          <w:b/>
          <w:color w:val="556062"/>
        </w:rPr>
        <w:tab/>
      </w: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4E08E2" w:rsidRPr="00796257" w:rsidTr="002A42E1">
        <w:trPr>
          <w:trHeight w:val="915"/>
          <w:tblHeader/>
          <w:jc w:val="center"/>
        </w:trPr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S/N</w:t>
            </w:r>
          </w:p>
        </w:tc>
        <w:tc>
          <w:tcPr>
            <w:tcW w:w="9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OASIS Code</w:t>
            </w:r>
          </w:p>
        </w:tc>
        <w:tc>
          <w:tcPr>
            <w:tcW w:w="58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Name</w:t>
            </w:r>
          </w:p>
        </w:tc>
        <w:tc>
          <w:tcPr>
            <w:tcW w:w="16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ISIN Code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AIOLC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AEOLIAN INVESTMENT FUND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GRS179003009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ALMY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ALUMIL ALUMINIUM INDUSTRY S.A.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GRS289103004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ALPHA  TRUST-ANDROMEDA INVESTMENT TRUST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GRS433003019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A.S. COMPANY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GRS404253007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ATTICA PUBLICATIONS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GRS340263003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AVAX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J. &amp; P. - AVAX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GRS213213002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BALK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BALKAN REAL ESTATE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GRS130003015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BIOKA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 xml:space="preserve"> BIOKARPET S.A. IND. &amp; COMM.ENT.(CR)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GRS165063009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BYTE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BYTE COMPUTER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GRS368313003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CPI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CPI COMPUTER PERIPHERALS INTER/NAL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GRS413313008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CRETA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KRETA FARM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GRS371113002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DAIOS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DAIOS PLASTICS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GRS382073005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DROUK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DRUCKFARBEN HELLAS SA 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GRS308003003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EKTER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EKTER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GRS222213001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ELVAL HOLDINGS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GRS271101008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ELVE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GRS240003004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ELGEK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ELGEKA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GRS329503007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ELINOIL HELLENIC PETROLEUM COMPANY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GRS477003008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HELLENIC CABLES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GRS221103005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ELSTR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ELASTRON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GRS088003017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ELTON 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GRS397003005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ELTRK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ELTRAK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GRS142003003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EPIL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SELECTED TEXTILE IND. ASSOC.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GRS045003001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EUPIC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EUROPEAN RELIANCE GEN. INSUR.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GRS277023008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EUROC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EUROCONSULTANTS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GRS439003005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EVROF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EVROFARMA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GRS385113006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FGE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F.G. EUROPE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GRS083003012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FIER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FIERATEX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GRS332073006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FLEXO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FLEXOPACK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GRS259003002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GEBKA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GEN. COMMERCIAL &amp; IND.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GRS137003000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GMF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GALAXIDI FISH FARMING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GRS442003000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HAIDE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HAIDEMENOS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GRS350263000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HYGEIA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DIAGNOSTIC&amp;THERAPEUTIC CENTER OF ATHENS YGEIA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GRS445003007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IASO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IASO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GRS379233000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IATR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ATHENS MEDICAL C.S.A.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GRS147233001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ILYDA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ILYDA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GRS475003018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INKAT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INTRACOM CONSTRUCTIONS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GRS432003010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INTEK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IDEAL GROUP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GRS148003015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INTET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INTERTECH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GRS247183007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KAMP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REDS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GRS106003007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KANAK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STELIOS KANAKIS SA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GRS448003004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KARTZ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KARATZIS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GRS399163005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KEPEN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FLOUR MILLS KEPENOS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GRS438003006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KLM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I. KLOUKINAS - I. LAPPAS S.A. CON. AND CO.COMP(CR)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GRS474003001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KMOL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KARAMOLEGOS BAKERY INDUSTRY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GRS315003004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KORDE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KORDELLOS CH. BROS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GRS384003000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KORRES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KORRES NATURAL PRODUCTS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GRS494003007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KRI-KRI MILK INDUSTRY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GRS469003024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KTILA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KOSTAS LAZARIDIS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GRS354003006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KYLO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LOULIS MILLS S.A. 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GRS117123000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KYRI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KIRIACOULIS SHIPPING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GRS295003008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KYRM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F.H.L. I. KYRIAKIDIS MARBLES - GRANITES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GRS309003002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KYSA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C. SARANTOPOULOS FLOUR MILLS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GRS118003003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LAMPS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LAMPSA  HOTEL 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GRS128003001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LANAC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LANAKAM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GRS047063003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LEBEK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N. LEVEDERIS S.A. 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GRS090101007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LEBEP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N. LEVEDERIS S.A.  (PB)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GRS090106006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LIVAN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LIVANI PUBLISHING ORGANIZATION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GRS446003014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LOGISMOS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proofErr w:type="spellStart"/>
            <w:r w:rsidRPr="00796257">
              <w:rPr>
                <w:rFonts w:ascii="Calibri" w:hAnsi="Calibri"/>
                <w:color w:val="556062"/>
              </w:rPr>
              <w:t>Logismos</w:t>
            </w:r>
            <w:proofErr w:type="spellEnd"/>
            <w:r w:rsidRPr="00796257">
              <w:rPr>
                <w:rFonts w:ascii="Calibri" w:hAnsi="Calibri"/>
                <w:color w:val="556062"/>
              </w:rPr>
              <w:t xml:space="preserve"> INFORMATION SYSTEMS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GRS461003006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LYK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INFORM P. LYKOS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GRS208303008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MATHIO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MATHIOS REFRACTORY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GRS374003002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MEVA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MEVACO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GRS319103008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MINERVA KNITWEAR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GRS237061007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N. VARVERIS-MODA BAGNO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GRS375183001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MOTO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MOTODYNAMICS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GRS488003005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MOYZK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EL. D. MOUZAKIS 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GRS054061007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MPITR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BITROS HOLDING S.A.(CR)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GRS092103001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NAFT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NAYTEMPORIKI PUBLISHING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GRS367263001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NAKAS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NAKAS MUSIC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GRS387503006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NEWS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NEWSPHONE HELLAS S.A. AUDIOTEX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GRS457003002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OLTH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TPA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GRS427003009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OLYMP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TECHNICAL OLYMPIC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GRS403003007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OTOEL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AUTOHELLAS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GRS337003008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PAIR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E. PAIRIS S.A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GRS275073005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PETRO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PETROS PETROPOULOS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GRS345503007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PLAKR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CRETE PLASTICS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GRS326003001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lastRenderedPageBreak/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PRESD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GEKE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GRS398161000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QUEST HOLDINGS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GRS310003009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SELO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SELONDA AQUACULTURE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GRS201003019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SPACE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SPACE 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GRS402003008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SPIR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THE HOUSE OF AGRICULTURE  SPIROU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GRS284183001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TITP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TITAN CEMENT COMPANY S.A. (PR)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GRS074084005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VIS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GRS124153008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VOSYS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VOGIATZOGLOU SYSTEMS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GRS407183003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XAKO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HALKOR S.A (FORMER VECTOR)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GRS281101006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XYLEK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INTERWOOD-XYLEMPORIA A.T.E.N.E.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GRS131003006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XYLEP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INTERWOOD-XYLEMPORIA A.T.E.N.E.(PR)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GRS131004004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</w:p>
        </w:tc>
      </w:tr>
    </w:tbl>
    <w:p w:rsidR="00356AE3" w:rsidRDefault="00356AE3" w:rsidP="00356AE3">
      <w:pPr>
        <w:rPr>
          <w:rFonts w:ascii="Calibri" w:hAnsi="Calibri"/>
          <w:b/>
          <w:color w:val="556062"/>
        </w:rPr>
      </w:pPr>
    </w:p>
    <w:p w:rsidR="004A6220" w:rsidRDefault="004A6220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8C4D3C" w:rsidRDefault="008C4D3C" w:rsidP="00356AE3">
      <w:pPr>
        <w:rPr>
          <w:rFonts w:ascii="Calibri" w:hAnsi="Calibri"/>
          <w:b/>
          <w:color w:val="556062"/>
        </w:rPr>
      </w:pPr>
    </w:p>
    <w:p w:rsidR="004A6220" w:rsidRDefault="004A6220" w:rsidP="004E08E2">
      <w:pPr>
        <w:rPr>
          <w:rFonts w:ascii="Calibri" w:hAnsi="Calibri"/>
          <w:b/>
          <w:color w:val="556062"/>
        </w:rPr>
      </w:pP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4E08E2" w:rsidRPr="00796257" w:rsidTr="002A42E1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</w:rPr>
            </w:pPr>
            <w:r w:rsidRPr="00796257">
              <w:rPr>
                <w:rFonts w:ascii="Calibri" w:hAnsi="Calibri"/>
                <w:b/>
                <w:bCs/>
                <w:color w:val="556062"/>
                <w:szCs w:val="18"/>
              </w:rPr>
              <w:t>TABLE 2: STOCKS ENTERING THE LOW TURNOVER VELOCITY TABLE OF THE ATHEX MAIN MARKET</w:t>
            </w:r>
          </w:p>
        </w:tc>
      </w:tr>
      <w:tr w:rsidR="004E08E2" w:rsidRPr="00796257" w:rsidTr="002A42E1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S/N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OASIS Code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Name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ISIN Code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ASCO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A.S. COMPANY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GRS404253007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AVAX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J. &amp; P. - AVAX S.A. 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GRS213213002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CRETA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KRETA FARM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GRS371113002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EKTER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EKTER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GRS222213001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ELVAL HOLDINGS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GRS271101008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HELLENIC CABLES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GRS221103005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EUPIC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EUROPEAN RELIANCE GEN. INSUR.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GRS277023008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FLEXO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FLEXOPACK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GRS259003002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GEBKA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GEN. COMMERCIAL &amp; IND.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GRS137003000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HYGEIA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DIAGNOSTIC&amp;THERAPEUTIC CENTER OF ATHENS YGEIA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GRS445003007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KORRES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KORRES NATURAL PRODUCTS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GRS494003007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KRI-KRI MILK INDUSTRY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GRS469003024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OLYMP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TECHNICAL OLYMPIC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GRS403003007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OTOEL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AUTOHELLAS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GRS337003008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PETRO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PETROS PETROPOULOS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GRS345503007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</w:p>
        </w:tc>
      </w:tr>
    </w:tbl>
    <w:p w:rsidR="004E08E2" w:rsidRDefault="004E08E2" w:rsidP="004E08E2">
      <w:pPr>
        <w:rPr>
          <w:rFonts w:ascii="Calibri" w:hAnsi="Calibri"/>
          <w:b/>
          <w:color w:val="556062"/>
        </w:rPr>
      </w:pPr>
    </w:p>
    <w:p w:rsidR="004A6220" w:rsidRDefault="004A6220" w:rsidP="00356AE3">
      <w:pPr>
        <w:jc w:val="center"/>
        <w:rPr>
          <w:rFonts w:ascii="Calibri" w:hAnsi="Calibri"/>
          <w:b/>
          <w:color w:val="556062"/>
        </w:rPr>
      </w:pPr>
    </w:p>
    <w:p w:rsidR="004A6220" w:rsidRDefault="004A6220" w:rsidP="00356AE3">
      <w:pPr>
        <w:jc w:val="center"/>
        <w:rPr>
          <w:rFonts w:ascii="Calibri" w:hAnsi="Calibri"/>
          <w:b/>
          <w:color w:val="556062"/>
        </w:rPr>
      </w:pPr>
    </w:p>
    <w:p w:rsidR="004A6220" w:rsidRDefault="004A6220" w:rsidP="00356AE3">
      <w:pPr>
        <w:jc w:val="center"/>
        <w:rPr>
          <w:rFonts w:ascii="Calibri" w:hAnsi="Calibri"/>
          <w:b/>
          <w:color w:val="556062"/>
        </w:rPr>
      </w:pPr>
    </w:p>
    <w:p w:rsidR="004A6220" w:rsidRDefault="004A6220" w:rsidP="00356AE3">
      <w:pPr>
        <w:jc w:val="center"/>
        <w:rPr>
          <w:rFonts w:ascii="Calibri" w:hAnsi="Calibri"/>
          <w:b/>
          <w:color w:val="556062"/>
        </w:rPr>
      </w:pPr>
    </w:p>
    <w:p w:rsidR="004A6220" w:rsidRDefault="004A6220" w:rsidP="00356AE3">
      <w:pPr>
        <w:jc w:val="center"/>
        <w:rPr>
          <w:rFonts w:ascii="Calibri" w:hAnsi="Calibri"/>
          <w:b/>
          <w:color w:val="556062"/>
        </w:rPr>
      </w:pPr>
    </w:p>
    <w:p w:rsidR="004A6220" w:rsidRDefault="004A6220" w:rsidP="00356AE3">
      <w:pPr>
        <w:jc w:val="center"/>
        <w:rPr>
          <w:rFonts w:ascii="Calibri" w:hAnsi="Calibri"/>
          <w:b/>
          <w:color w:val="556062"/>
        </w:rPr>
      </w:pPr>
    </w:p>
    <w:p w:rsidR="004A6220" w:rsidRDefault="004A6220" w:rsidP="00356AE3">
      <w:pPr>
        <w:jc w:val="center"/>
        <w:rPr>
          <w:rFonts w:ascii="Calibri" w:hAnsi="Calibri"/>
          <w:b/>
          <w:color w:val="556062"/>
        </w:rPr>
      </w:pPr>
    </w:p>
    <w:p w:rsidR="004A6220" w:rsidRDefault="004A6220" w:rsidP="00356AE3">
      <w:pPr>
        <w:jc w:val="center"/>
        <w:rPr>
          <w:rFonts w:ascii="Calibri" w:hAnsi="Calibri"/>
          <w:b/>
          <w:color w:val="556062"/>
        </w:rPr>
      </w:pPr>
    </w:p>
    <w:p w:rsidR="004A6220" w:rsidRDefault="004A6220" w:rsidP="00356AE3">
      <w:pPr>
        <w:jc w:val="center"/>
        <w:rPr>
          <w:rFonts w:ascii="Calibri" w:hAnsi="Calibri"/>
          <w:b/>
          <w:color w:val="556062"/>
        </w:rPr>
      </w:pPr>
    </w:p>
    <w:p w:rsidR="004A6220" w:rsidRDefault="004A6220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F5015F" w:rsidRDefault="00F5015F" w:rsidP="00356AE3">
      <w:pPr>
        <w:jc w:val="center"/>
        <w:rPr>
          <w:rFonts w:ascii="Calibri" w:hAnsi="Calibri"/>
          <w:b/>
          <w:color w:val="556062"/>
        </w:rPr>
      </w:pPr>
    </w:p>
    <w:p w:rsidR="004A6220" w:rsidRDefault="004A6220" w:rsidP="00421386">
      <w:pPr>
        <w:rPr>
          <w:rFonts w:ascii="Calibri" w:hAnsi="Calibri"/>
          <w:b/>
          <w:color w:val="556062"/>
        </w:rPr>
      </w:pP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4E08E2" w:rsidRPr="00796257" w:rsidTr="002A42E1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</w:rPr>
            </w:pPr>
            <w:r w:rsidRPr="00796257">
              <w:rPr>
                <w:rFonts w:ascii="Calibri" w:hAnsi="Calibri"/>
                <w:b/>
                <w:bCs/>
                <w:color w:val="556062"/>
                <w:szCs w:val="18"/>
              </w:rPr>
              <w:t>TABLE 3: STOCKS REMOVED FROM THE LOW TURNOVER VELOCITY TABLE OF THE ATHEX MAIN MARKET</w:t>
            </w:r>
          </w:p>
        </w:tc>
      </w:tr>
      <w:tr w:rsidR="004E08E2" w:rsidRPr="00796257" w:rsidTr="002A42E1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S/N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OASIS Code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Name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96257">
              <w:rPr>
                <w:rFonts w:ascii="Calibri" w:hAnsi="Calibri"/>
                <w:b/>
                <w:bCs/>
                <w:color w:val="556062"/>
              </w:rPr>
              <w:t>ISIN Code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ALKA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NEXANS HELLAS S.A. (CR)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GRS079103008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BIOSK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UNIBIOS HOLDINGS S.A.(CR)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GRS084003003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KEKR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KEKROPS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GRS070083001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NAYP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NAFPAKTOS TEXTILE INDUSTRY S.A. (CB)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GRS265061002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PAP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PAPOUTSANIS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GRS065003006</w:t>
            </w:r>
          </w:p>
        </w:tc>
      </w:tr>
      <w:tr w:rsidR="004E08E2" w:rsidRPr="00796257" w:rsidTr="002A42E1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REVOIL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REVOIL S.A. (CR)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08E2" w:rsidRPr="00796257" w:rsidRDefault="004E08E2" w:rsidP="002A42E1">
            <w:pPr>
              <w:jc w:val="center"/>
              <w:rPr>
                <w:rFonts w:ascii="Calibri" w:hAnsi="Calibri"/>
                <w:color w:val="556062"/>
              </w:rPr>
            </w:pPr>
            <w:r w:rsidRPr="00796257">
              <w:rPr>
                <w:rFonts w:ascii="Calibri" w:hAnsi="Calibri"/>
                <w:color w:val="556062"/>
              </w:rPr>
              <w:t>GRS473003002</w:t>
            </w:r>
          </w:p>
        </w:tc>
      </w:tr>
    </w:tbl>
    <w:p w:rsidR="004E08E2" w:rsidRDefault="004E08E2" w:rsidP="00421386">
      <w:pPr>
        <w:rPr>
          <w:rFonts w:ascii="Calibri" w:hAnsi="Calibri"/>
          <w:b/>
          <w:color w:val="556062"/>
        </w:rPr>
      </w:pPr>
    </w:p>
    <w:p w:rsidR="005507C4" w:rsidRDefault="005507C4" w:rsidP="008C4D3C">
      <w:pPr>
        <w:rPr>
          <w:rFonts w:ascii="Calibri" w:hAnsi="Calibri"/>
          <w:b/>
          <w:color w:val="556062"/>
        </w:rPr>
      </w:pPr>
    </w:p>
    <w:p w:rsidR="00356AE3" w:rsidRDefault="00356AE3" w:rsidP="0035267A">
      <w:pPr>
        <w:rPr>
          <w:rFonts w:ascii="Calibri" w:hAnsi="Calibri"/>
          <w:b/>
          <w:color w:val="556062"/>
        </w:rPr>
      </w:pPr>
    </w:p>
    <w:p w:rsidR="008C4D3C" w:rsidRPr="00CA391D" w:rsidRDefault="008C4D3C" w:rsidP="0035267A">
      <w:pPr>
        <w:rPr>
          <w:rFonts w:ascii="Calibri" w:hAnsi="Calibri"/>
          <w:b/>
          <w:color w:val="556062"/>
        </w:rPr>
      </w:pPr>
    </w:p>
    <w:p w:rsidR="00D3125E" w:rsidRPr="00184164" w:rsidRDefault="00D3125E" w:rsidP="009E7ED3">
      <w:pPr>
        <w:jc w:val="center"/>
        <w:rPr>
          <w:rFonts w:ascii="Calibri" w:hAnsi="Calibri"/>
          <w:b/>
          <w:color w:val="556062"/>
        </w:rPr>
      </w:pPr>
    </w:p>
    <w:sectPr w:rsidR="00D3125E" w:rsidRPr="00184164" w:rsidSect="004A21F0">
      <w:headerReference w:type="default" r:id="rId9"/>
      <w:pgSz w:w="11906" w:h="16838"/>
      <w:pgMar w:top="1119" w:right="1797" w:bottom="851" w:left="1797" w:header="1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2E" w:rsidRDefault="0007132E">
      <w:r>
        <w:separator/>
      </w:r>
    </w:p>
  </w:endnote>
  <w:endnote w:type="continuationSeparator" w:id="0">
    <w:p w:rsidR="0007132E" w:rsidRDefault="0007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2E" w:rsidRDefault="0007132E">
      <w:r>
        <w:separator/>
      </w:r>
    </w:p>
  </w:footnote>
  <w:footnote w:type="continuationSeparator" w:id="0">
    <w:p w:rsidR="0007132E" w:rsidRDefault="0007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4A9" w:rsidRDefault="00A80500" w:rsidP="002F14A9">
    <w:pPr>
      <w:pStyle w:val="Header"/>
      <w:jc w:val="center"/>
      <w:rPr>
        <w:b/>
        <w:color w:val="0070C0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2178050</wp:posOffset>
          </wp:positionH>
          <wp:positionV relativeFrom="paragraph">
            <wp:posOffset>-548640</wp:posOffset>
          </wp:positionV>
          <wp:extent cx="946785" cy="932180"/>
          <wp:effectExtent l="0" t="0" r="5715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78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257C9" w:rsidRPr="00AC3EF5" w:rsidRDefault="003257C9" w:rsidP="00FA3891">
    <w:pPr>
      <w:pStyle w:val="Header"/>
    </w:pPr>
  </w:p>
  <w:p w:rsidR="003257C9" w:rsidRDefault="003257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BE"/>
      </v:shape>
    </w:pict>
  </w:numPicBullet>
  <w:abstractNum w:abstractNumId="0">
    <w:nsid w:val="FFFFFF7F"/>
    <w:multiLevelType w:val="singleLevel"/>
    <w:tmpl w:val="5F4E8A5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6C4A6E"/>
    <w:multiLevelType w:val="hybridMultilevel"/>
    <w:tmpl w:val="259C3B5E"/>
    <w:lvl w:ilvl="0" w:tplc="0408000F">
      <w:start w:val="1"/>
      <w:numFmt w:val="decimal"/>
      <w:lvlText w:val="%1."/>
      <w:lvlJc w:val="left"/>
      <w:pPr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1986217"/>
    <w:multiLevelType w:val="hybridMultilevel"/>
    <w:tmpl w:val="A8462B02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A008BB"/>
    <w:multiLevelType w:val="hybridMultilevel"/>
    <w:tmpl w:val="2AC8BFF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DF0D52"/>
    <w:multiLevelType w:val="hybridMultilevel"/>
    <w:tmpl w:val="2E3040E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920363"/>
    <w:multiLevelType w:val="hybridMultilevel"/>
    <w:tmpl w:val="12EC3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774875"/>
    <w:multiLevelType w:val="hybridMultilevel"/>
    <w:tmpl w:val="D17A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45662"/>
    <w:multiLevelType w:val="hybridMultilevel"/>
    <w:tmpl w:val="5A4CB06A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580CA3"/>
    <w:multiLevelType w:val="hybridMultilevel"/>
    <w:tmpl w:val="EBFE05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8F7AC7"/>
    <w:multiLevelType w:val="hybridMultilevel"/>
    <w:tmpl w:val="E52A27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55ADE"/>
    <w:multiLevelType w:val="hybridMultilevel"/>
    <w:tmpl w:val="9E36FD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026A97"/>
    <w:multiLevelType w:val="hybridMultilevel"/>
    <w:tmpl w:val="EA28A7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26318C"/>
    <w:multiLevelType w:val="hybridMultilevel"/>
    <w:tmpl w:val="8786BF3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3F1AE9"/>
    <w:multiLevelType w:val="hybridMultilevel"/>
    <w:tmpl w:val="4B148F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839C5"/>
    <w:multiLevelType w:val="hybridMultilevel"/>
    <w:tmpl w:val="E9B460D4"/>
    <w:lvl w:ilvl="0" w:tplc="0408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C56C5E"/>
    <w:multiLevelType w:val="hybridMultilevel"/>
    <w:tmpl w:val="34E0D7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BF40FE"/>
    <w:multiLevelType w:val="hybridMultilevel"/>
    <w:tmpl w:val="38069C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F37ED3"/>
    <w:multiLevelType w:val="hybridMultilevel"/>
    <w:tmpl w:val="60889D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63037C"/>
    <w:multiLevelType w:val="hybridMultilevel"/>
    <w:tmpl w:val="C23284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EF14B8"/>
    <w:multiLevelType w:val="hybridMultilevel"/>
    <w:tmpl w:val="313C30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34237D"/>
    <w:multiLevelType w:val="hybridMultilevel"/>
    <w:tmpl w:val="35D69D2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356343"/>
    <w:multiLevelType w:val="hybridMultilevel"/>
    <w:tmpl w:val="A35ED5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796E2D"/>
    <w:multiLevelType w:val="hybridMultilevel"/>
    <w:tmpl w:val="10F021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E838BE"/>
    <w:multiLevelType w:val="hybridMultilevel"/>
    <w:tmpl w:val="14FEDA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D24EED"/>
    <w:multiLevelType w:val="hybridMultilevel"/>
    <w:tmpl w:val="5B0671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7F44A4"/>
    <w:multiLevelType w:val="hybridMultilevel"/>
    <w:tmpl w:val="AFEC6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A67DF9"/>
    <w:multiLevelType w:val="hybridMultilevel"/>
    <w:tmpl w:val="C57A82A8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9530537"/>
    <w:multiLevelType w:val="hybridMultilevel"/>
    <w:tmpl w:val="741CD60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D573EC"/>
    <w:multiLevelType w:val="hybridMultilevel"/>
    <w:tmpl w:val="CBF650C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833B9F"/>
    <w:multiLevelType w:val="hybridMultilevel"/>
    <w:tmpl w:val="FFF4C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367E0B"/>
    <w:multiLevelType w:val="hybridMultilevel"/>
    <w:tmpl w:val="8A1E1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2C5F49"/>
    <w:multiLevelType w:val="hybridMultilevel"/>
    <w:tmpl w:val="2BBAD36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94372AA"/>
    <w:multiLevelType w:val="hybridMultilevel"/>
    <w:tmpl w:val="E8B8726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495AED"/>
    <w:multiLevelType w:val="multilevel"/>
    <w:tmpl w:val="569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0449B1"/>
    <w:multiLevelType w:val="hybridMultilevel"/>
    <w:tmpl w:val="569044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AD01AB"/>
    <w:multiLevelType w:val="hybridMultilevel"/>
    <w:tmpl w:val="4FE699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52CE8"/>
    <w:multiLevelType w:val="hybridMultilevel"/>
    <w:tmpl w:val="93F80C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F16DE5"/>
    <w:multiLevelType w:val="hybridMultilevel"/>
    <w:tmpl w:val="986CF54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343D10"/>
    <w:multiLevelType w:val="hybridMultilevel"/>
    <w:tmpl w:val="AED6C68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DA541E"/>
    <w:multiLevelType w:val="hybridMultilevel"/>
    <w:tmpl w:val="909C38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8"/>
  </w:num>
  <w:num w:numId="4">
    <w:abstractNumId w:val="5"/>
  </w:num>
  <w:num w:numId="5">
    <w:abstractNumId w:val="31"/>
  </w:num>
  <w:num w:numId="6">
    <w:abstractNumId w:val="19"/>
  </w:num>
  <w:num w:numId="7">
    <w:abstractNumId w:val="32"/>
  </w:num>
  <w:num w:numId="8">
    <w:abstractNumId w:val="3"/>
  </w:num>
  <w:num w:numId="9">
    <w:abstractNumId w:val="7"/>
  </w:num>
  <w:num w:numId="10">
    <w:abstractNumId w:val="15"/>
  </w:num>
  <w:num w:numId="11">
    <w:abstractNumId w:val="2"/>
  </w:num>
  <w:num w:numId="12">
    <w:abstractNumId w:val="9"/>
  </w:num>
  <w:num w:numId="13">
    <w:abstractNumId w:val="38"/>
  </w:num>
  <w:num w:numId="14">
    <w:abstractNumId w:val="26"/>
  </w:num>
  <w:num w:numId="15">
    <w:abstractNumId w:val="4"/>
  </w:num>
  <w:num w:numId="16">
    <w:abstractNumId w:val="33"/>
  </w:num>
  <w:num w:numId="17">
    <w:abstractNumId w:val="0"/>
  </w:num>
  <w:num w:numId="18">
    <w:abstractNumId w:val="36"/>
  </w:num>
  <w:num w:numId="19">
    <w:abstractNumId w:val="16"/>
  </w:num>
  <w:num w:numId="20">
    <w:abstractNumId w:val="23"/>
  </w:num>
  <w:num w:numId="21">
    <w:abstractNumId w:val="20"/>
  </w:num>
  <w:num w:numId="22">
    <w:abstractNumId w:val="18"/>
  </w:num>
  <w:num w:numId="23">
    <w:abstractNumId w:val="29"/>
  </w:num>
  <w:num w:numId="24">
    <w:abstractNumId w:val="28"/>
  </w:num>
  <w:num w:numId="25">
    <w:abstractNumId w:val="10"/>
  </w:num>
  <w:num w:numId="26">
    <w:abstractNumId w:val="24"/>
  </w:num>
  <w:num w:numId="27">
    <w:abstractNumId w:val="37"/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2"/>
  </w:num>
  <w:num w:numId="31">
    <w:abstractNumId w:val="35"/>
  </w:num>
  <w:num w:numId="32">
    <w:abstractNumId w:val="17"/>
  </w:num>
  <w:num w:numId="33">
    <w:abstractNumId w:val="34"/>
  </w:num>
  <w:num w:numId="34">
    <w:abstractNumId w:val="39"/>
  </w:num>
  <w:num w:numId="35">
    <w:abstractNumId w:val="12"/>
  </w:num>
  <w:num w:numId="36">
    <w:abstractNumId w:val="30"/>
  </w:num>
  <w:num w:numId="37">
    <w:abstractNumId w:val="21"/>
  </w:num>
  <w:num w:numId="38">
    <w:abstractNumId w:val="27"/>
  </w:num>
  <w:num w:numId="39">
    <w:abstractNumId w:val="40"/>
  </w:num>
  <w:num w:numId="40">
    <w:abstractNumId w:val="1"/>
  </w:num>
  <w:num w:numId="41">
    <w:abstractNumId w:val="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A3"/>
    <w:rsid w:val="00003B52"/>
    <w:rsid w:val="00026646"/>
    <w:rsid w:val="00030487"/>
    <w:rsid w:val="00033009"/>
    <w:rsid w:val="00047884"/>
    <w:rsid w:val="00052D81"/>
    <w:rsid w:val="00053BF7"/>
    <w:rsid w:val="00055A04"/>
    <w:rsid w:val="00063F7A"/>
    <w:rsid w:val="000674B3"/>
    <w:rsid w:val="0007132E"/>
    <w:rsid w:val="00073A49"/>
    <w:rsid w:val="00073A86"/>
    <w:rsid w:val="00075F2C"/>
    <w:rsid w:val="000856CB"/>
    <w:rsid w:val="000A2230"/>
    <w:rsid w:val="000C3B15"/>
    <w:rsid w:val="000D1388"/>
    <w:rsid w:val="000D28F6"/>
    <w:rsid w:val="000E0665"/>
    <w:rsid w:val="000E7175"/>
    <w:rsid w:val="000F4590"/>
    <w:rsid w:val="000F49E9"/>
    <w:rsid w:val="001032AC"/>
    <w:rsid w:val="0011590C"/>
    <w:rsid w:val="00121C41"/>
    <w:rsid w:val="00122159"/>
    <w:rsid w:val="001335BC"/>
    <w:rsid w:val="001432C2"/>
    <w:rsid w:val="001475EF"/>
    <w:rsid w:val="001530EB"/>
    <w:rsid w:val="001578A9"/>
    <w:rsid w:val="00162E71"/>
    <w:rsid w:val="001745A4"/>
    <w:rsid w:val="001833E8"/>
    <w:rsid w:val="001A5AA2"/>
    <w:rsid w:val="001A6215"/>
    <w:rsid w:val="001B2ABA"/>
    <w:rsid w:val="001B2E1A"/>
    <w:rsid w:val="001B4CAF"/>
    <w:rsid w:val="001C2DF7"/>
    <w:rsid w:val="001D78B1"/>
    <w:rsid w:val="001E2750"/>
    <w:rsid w:val="001E3A2A"/>
    <w:rsid w:val="001E4EC3"/>
    <w:rsid w:val="00206C26"/>
    <w:rsid w:val="00206ED6"/>
    <w:rsid w:val="00214A23"/>
    <w:rsid w:val="00230A8C"/>
    <w:rsid w:val="00237DC0"/>
    <w:rsid w:val="00241B91"/>
    <w:rsid w:val="00270A04"/>
    <w:rsid w:val="002803EE"/>
    <w:rsid w:val="00286F5A"/>
    <w:rsid w:val="002877EF"/>
    <w:rsid w:val="00291837"/>
    <w:rsid w:val="002A5E12"/>
    <w:rsid w:val="002B4B36"/>
    <w:rsid w:val="002C7240"/>
    <w:rsid w:val="002D0402"/>
    <w:rsid w:val="002F0096"/>
    <w:rsid w:val="002F14A9"/>
    <w:rsid w:val="00312DA1"/>
    <w:rsid w:val="00320B28"/>
    <w:rsid w:val="003257C9"/>
    <w:rsid w:val="00336B75"/>
    <w:rsid w:val="00340B50"/>
    <w:rsid w:val="0034750D"/>
    <w:rsid w:val="0035267A"/>
    <w:rsid w:val="003539BE"/>
    <w:rsid w:val="00356AE3"/>
    <w:rsid w:val="00357B90"/>
    <w:rsid w:val="00365447"/>
    <w:rsid w:val="00383821"/>
    <w:rsid w:val="00397826"/>
    <w:rsid w:val="003A2EA0"/>
    <w:rsid w:val="003A2F7D"/>
    <w:rsid w:val="003A37B7"/>
    <w:rsid w:val="003B2030"/>
    <w:rsid w:val="003B3782"/>
    <w:rsid w:val="003D3FF4"/>
    <w:rsid w:val="003D667D"/>
    <w:rsid w:val="003E5791"/>
    <w:rsid w:val="00403074"/>
    <w:rsid w:val="0040434F"/>
    <w:rsid w:val="00421386"/>
    <w:rsid w:val="004277F6"/>
    <w:rsid w:val="00430258"/>
    <w:rsid w:val="004316B8"/>
    <w:rsid w:val="00432B98"/>
    <w:rsid w:val="00450D6E"/>
    <w:rsid w:val="00463607"/>
    <w:rsid w:val="00465E41"/>
    <w:rsid w:val="00471B6D"/>
    <w:rsid w:val="00473F8D"/>
    <w:rsid w:val="00491E9E"/>
    <w:rsid w:val="004A21F0"/>
    <w:rsid w:val="004A6220"/>
    <w:rsid w:val="004B5030"/>
    <w:rsid w:val="004C2841"/>
    <w:rsid w:val="004E08E2"/>
    <w:rsid w:val="00501958"/>
    <w:rsid w:val="00515FB2"/>
    <w:rsid w:val="005367FD"/>
    <w:rsid w:val="005507C4"/>
    <w:rsid w:val="00550D3D"/>
    <w:rsid w:val="00555279"/>
    <w:rsid w:val="00555D55"/>
    <w:rsid w:val="00564CCA"/>
    <w:rsid w:val="00566833"/>
    <w:rsid w:val="00575BF9"/>
    <w:rsid w:val="00581EC4"/>
    <w:rsid w:val="00594C48"/>
    <w:rsid w:val="005A2389"/>
    <w:rsid w:val="005A5CFF"/>
    <w:rsid w:val="005B2817"/>
    <w:rsid w:val="005C20EC"/>
    <w:rsid w:val="005C3F01"/>
    <w:rsid w:val="005D1A3D"/>
    <w:rsid w:val="005D4310"/>
    <w:rsid w:val="005E133D"/>
    <w:rsid w:val="005E2A1E"/>
    <w:rsid w:val="00613ADE"/>
    <w:rsid w:val="0061544E"/>
    <w:rsid w:val="006313CD"/>
    <w:rsid w:val="006515F4"/>
    <w:rsid w:val="00653BB4"/>
    <w:rsid w:val="006621D3"/>
    <w:rsid w:val="00674C1E"/>
    <w:rsid w:val="006755E4"/>
    <w:rsid w:val="00684D6A"/>
    <w:rsid w:val="00690703"/>
    <w:rsid w:val="006C069E"/>
    <w:rsid w:val="006C52EC"/>
    <w:rsid w:val="006C7BDA"/>
    <w:rsid w:val="006D7AF3"/>
    <w:rsid w:val="007006B2"/>
    <w:rsid w:val="00707381"/>
    <w:rsid w:val="0071063F"/>
    <w:rsid w:val="00720914"/>
    <w:rsid w:val="00722431"/>
    <w:rsid w:val="00722E40"/>
    <w:rsid w:val="007250A8"/>
    <w:rsid w:val="0072763E"/>
    <w:rsid w:val="00731421"/>
    <w:rsid w:val="007320E2"/>
    <w:rsid w:val="00736601"/>
    <w:rsid w:val="00737418"/>
    <w:rsid w:val="007473E9"/>
    <w:rsid w:val="0075091C"/>
    <w:rsid w:val="00750C9A"/>
    <w:rsid w:val="007521D1"/>
    <w:rsid w:val="0077174D"/>
    <w:rsid w:val="00771BE7"/>
    <w:rsid w:val="00772270"/>
    <w:rsid w:val="007849C2"/>
    <w:rsid w:val="00797997"/>
    <w:rsid w:val="007A34B1"/>
    <w:rsid w:val="007C03F6"/>
    <w:rsid w:val="007C40D1"/>
    <w:rsid w:val="007C4F7C"/>
    <w:rsid w:val="007C5D87"/>
    <w:rsid w:val="007C68AC"/>
    <w:rsid w:val="007D6A8A"/>
    <w:rsid w:val="00803F21"/>
    <w:rsid w:val="0082567D"/>
    <w:rsid w:val="008339F9"/>
    <w:rsid w:val="00835C53"/>
    <w:rsid w:val="0085656D"/>
    <w:rsid w:val="00864AE7"/>
    <w:rsid w:val="008849EB"/>
    <w:rsid w:val="0089261D"/>
    <w:rsid w:val="008A5BA7"/>
    <w:rsid w:val="008B423F"/>
    <w:rsid w:val="008C4D3C"/>
    <w:rsid w:val="008C556F"/>
    <w:rsid w:val="008C5DD8"/>
    <w:rsid w:val="008D270B"/>
    <w:rsid w:val="008E30F4"/>
    <w:rsid w:val="008E45EE"/>
    <w:rsid w:val="008E51E2"/>
    <w:rsid w:val="008F6848"/>
    <w:rsid w:val="00902504"/>
    <w:rsid w:val="00907CEF"/>
    <w:rsid w:val="00910565"/>
    <w:rsid w:val="00913554"/>
    <w:rsid w:val="00926F11"/>
    <w:rsid w:val="00933E55"/>
    <w:rsid w:val="0094570A"/>
    <w:rsid w:val="00946CDE"/>
    <w:rsid w:val="00950512"/>
    <w:rsid w:val="009518F3"/>
    <w:rsid w:val="0095513D"/>
    <w:rsid w:val="00984631"/>
    <w:rsid w:val="00990690"/>
    <w:rsid w:val="00990E29"/>
    <w:rsid w:val="009960FF"/>
    <w:rsid w:val="00996D52"/>
    <w:rsid w:val="009A3485"/>
    <w:rsid w:val="009A38D2"/>
    <w:rsid w:val="009A582B"/>
    <w:rsid w:val="009B1DD9"/>
    <w:rsid w:val="009B35CE"/>
    <w:rsid w:val="009D0322"/>
    <w:rsid w:val="009D3D17"/>
    <w:rsid w:val="009D538C"/>
    <w:rsid w:val="009D5EA2"/>
    <w:rsid w:val="009E5069"/>
    <w:rsid w:val="009E7ED3"/>
    <w:rsid w:val="009F14A2"/>
    <w:rsid w:val="00A001A2"/>
    <w:rsid w:val="00A111A0"/>
    <w:rsid w:val="00A22796"/>
    <w:rsid w:val="00A47CB9"/>
    <w:rsid w:val="00A53450"/>
    <w:rsid w:val="00A62CAC"/>
    <w:rsid w:val="00A80500"/>
    <w:rsid w:val="00A868BA"/>
    <w:rsid w:val="00AB7A63"/>
    <w:rsid w:val="00AC21E8"/>
    <w:rsid w:val="00AC3EF5"/>
    <w:rsid w:val="00AD2FAB"/>
    <w:rsid w:val="00AD49A0"/>
    <w:rsid w:val="00AE156A"/>
    <w:rsid w:val="00B02B1B"/>
    <w:rsid w:val="00B044CD"/>
    <w:rsid w:val="00B26043"/>
    <w:rsid w:val="00B52FEC"/>
    <w:rsid w:val="00B77F4B"/>
    <w:rsid w:val="00B80385"/>
    <w:rsid w:val="00BA443D"/>
    <w:rsid w:val="00BA6DE7"/>
    <w:rsid w:val="00BB3975"/>
    <w:rsid w:val="00BC166C"/>
    <w:rsid w:val="00BC7BFA"/>
    <w:rsid w:val="00BD21C0"/>
    <w:rsid w:val="00BE576B"/>
    <w:rsid w:val="00BE6688"/>
    <w:rsid w:val="00BF23DB"/>
    <w:rsid w:val="00BF2743"/>
    <w:rsid w:val="00C237DD"/>
    <w:rsid w:val="00C25E4B"/>
    <w:rsid w:val="00C33044"/>
    <w:rsid w:val="00C40772"/>
    <w:rsid w:val="00C41872"/>
    <w:rsid w:val="00C46DEA"/>
    <w:rsid w:val="00C51277"/>
    <w:rsid w:val="00C65FA3"/>
    <w:rsid w:val="00C95147"/>
    <w:rsid w:val="00C96DB0"/>
    <w:rsid w:val="00CA4E83"/>
    <w:rsid w:val="00CB4A05"/>
    <w:rsid w:val="00CC119A"/>
    <w:rsid w:val="00CC16D4"/>
    <w:rsid w:val="00CC23E0"/>
    <w:rsid w:val="00CC68AD"/>
    <w:rsid w:val="00CD7D0B"/>
    <w:rsid w:val="00CE2A4E"/>
    <w:rsid w:val="00CF1B58"/>
    <w:rsid w:val="00D03C00"/>
    <w:rsid w:val="00D15182"/>
    <w:rsid w:val="00D16145"/>
    <w:rsid w:val="00D3125E"/>
    <w:rsid w:val="00D40FE4"/>
    <w:rsid w:val="00D41EDB"/>
    <w:rsid w:val="00D451C2"/>
    <w:rsid w:val="00D464FE"/>
    <w:rsid w:val="00D51B26"/>
    <w:rsid w:val="00D60782"/>
    <w:rsid w:val="00D702C4"/>
    <w:rsid w:val="00D735F0"/>
    <w:rsid w:val="00D832B7"/>
    <w:rsid w:val="00DA22C1"/>
    <w:rsid w:val="00DB1682"/>
    <w:rsid w:val="00DC64F7"/>
    <w:rsid w:val="00DD00BD"/>
    <w:rsid w:val="00DD0AB3"/>
    <w:rsid w:val="00DD165A"/>
    <w:rsid w:val="00DD5B95"/>
    <w:rsid w:val="00DF1B26"/>
    <w:rsid w:val="00E15809"/>
    <w:rsid w:val="00E22877"/>
    <w:rsid w:val="00E23A95"/>
    <w:rsid w:val="00E25D45"/>
    <w:rsid w:val="00E34308"/>
    <w:rsid w:val="00E45D4F"/>
    <w:rsid w:val="00E503CB"/>
    <w:rsid w:val="00E67FC2"/>
    <w:rsid w:val="00E7409F"/>
    <w:rsid w:val="00E77DB6"/>
    <w:rsid w:val="00EC1245"/>
    <w:rsid w:val="00EC2F14"/>
    <w:rsid w:val="00EC498B"/>
    <w:rsid w:val="00EC4E34"/>
    <w:rsid w:val="00ED2E4E"/>
    <w:rsid w:val="00EE29D7"/>
    <w:rsid w:val="00EE3B74"/>
    <w:rsid w:val="00EF2012"/>
    <w:rsid w:val="00F05CC3"/>
    <w:rsid w:val="00F073C1"/>
    <w:rsid w:val="00F14993"/>
    <w:rsid w:val="00F251C0"/>
    <w:rsid w:val="00F33DFF"/>
    <w:rsid w:val="00F5015F"/>
    <w:rsid w:val="00F50FBF"/>
    <w:rsid w:val="00F533C1"/>
    <w:rsid w:val="00F66E76"/>
    <w:rsid w:val="00F91FE6"/>
    <w:rsid w:val="00F973E4"/>
    <w:rsid w:val="00FA3891"/>
    <w:rsid w:val="00FB03C3"/>
    <w:rsid w:val="00FB6CA8"/>
    <w:rsid w:val="00FC36D5"/>
    <w:rsid w:val="00FE6472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FA3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rsid w:val="00C65FA3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lang w:val="el-GR"/>
    </w:rPr>
  </w:style>
  <w:style w:type="paragraph" w:styleId="NormalWeb">
    <w:name w:val="Normal (Web)"/>
    <w:basedOn w:val="Normal"/>
    <w:uiPriority w:val="99"/>
    <w:rsid w:val="00A5345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styleId="Strong">
    <w:name w:val="Strong"/>
    <w:uiPriority w:val="22"/>
    <w:qFormat/>
    <w:rsid w:val="008C556F"/>
    <w:rPr>
      <w:b/>
      <w:bCs/>
    </w:rPr>
  </w:style>
  <w:style w:type="paragraph" w:styleId="ListNumber2">
    <w:name w:val="List Number 2"/>
    <w:basedOn w:val="Normal"/>
    <w:rsid w:val="00075F2C"/>
    <w:pPr>
      <w:numPr>
        <w:numId w:val="17"/>
      </w:numPr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Verdana" w:hAnsi="Verdana"/>
      <w:lang w:val="el-GR"/>
    </w:rPr>
  </w:style>
  <w:style w:type="character" w:customStyle="1" w:styleId="amoundaki">
    <w:name w:val="a.moundaki"/>
    <w:semiHidden/>
    <w:rsid w:val="007C40D1"/>
    <w:rPr>
      <w:rFonts w:ascii="Arial Unicode MS" w:hAnsi="Arial Unicode MS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link w:val="HeaderChar"/>
    <w:rsid w:val="00A227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279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28F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l-GR"/>
    </w:rPr>
  </w:style>
  <w:style w:type="character" w:styleId="Hyperlink">
    <w:name w:val="Hyperlink"/>
    <w:rsid w:val="00BE576B"/>
    <w:rPr>
      <w:rFonts w:ascii="Verdana" w:hAnsi="Verdana" w:hint="default"/>
      <w:strike w:val="0"/>
      <w:dstrike w:val="0"/>
      <w:color w:val="0000C0"/>
      <w:u w:val="none"/>
      <w:effect w:val="none"/>
    </w:rPr>
  </w:style>
  <w:style w:type="paragraph" w:styleId="BalloonText">
    <w:name w:val="Balloon Text"/>
    <w:basedOn w:val="Normal"/>
    <w:link w:val="BalloonTextChar"/>
    <w:rsid w:val="00DD5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B95"/>
    <w:rPr>
      <w:rFonts w:ascii="Tahoma" w:hAnsi="Tahoma" w:cs="Tahoma"/>
      <w:sz w:val="16"/>
      <w:szCs w:val="16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2F14A9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8339F9"/>
    <w:pPr>
      <w:ind w:left="720"/>
      <w:contextualSpacing/>
    </w:pPr>
    <w:rPr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FA3"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 2"/>
    <w:basedOn w:val="Normal"/>
    <w:rsid w:val="00C65FA3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lang w:val="el-GR"/>
    </w:rPr>
  </w:style>
  <w:style w:type="paragraph" w:styleId="NormalWeb">
    <w:name w:val="Normal (Web)"/>
    <w:basedOn w:val="Normal"/>
    <w:uiPriority w:val="99"/>
    <w:rsid w:val="00A5345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styleId="Strong">
    <w:name w:val="Strong"/>
    <w:uiPriority w:val="22"/>
    <w:qFormat/>
    <w:rsid w:val="008C556F"/>
    <w:rPr>
      <w:b/>
      <w:bCs/>
    </w:rPr>
  </w:style>
  <w:style w:type="paragraph" w:styleId="ListNumber2">
    <w:name w:val="List Number 2"/>
    <w:basedOn w:val="Normal"/>
    <w:rsid w:val="00075F2C"/>
    <w:pPr>
      <w:numPr>
        <w:numId w:val="17"/>
      </w:numPr>
      <w:overflowPunct w:val="0"/>
      <w:autoSpaceDE w:val="0"/>
      <w:autoSpaceDN w:val="0"/>
      <w:adjustRightInd w:val="0"/>
      <w:spacing w:after="120" w:line="240" w:lineRule="exact"/>
      <w:jc w:val="both"/>
      <w:textAlignment w:val="baseline"/>
    </w:pPr>
    <w:rPr>
      <w:rFonts w:ascii="Verdana" w:hAnsi="Verdana"/>
      <w:lang w:val="el-GR"/>
    </w:rPr>
  </w:style>
  <w:style w:type="character" w:customStyle="1" w:styleId="amoundaki">
    <w:name w:val="a.moundaki"/>
    <w:semiHidden/>
    <w:rsid w:val="007C40D1"/>
    <w:rPr>
      <w:rFonts w:ascii="Arial Unicode MS" w:hAnsi="Arial Unicode MS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Header">
    <w:name w:val="header"/>
    <w:basedOn w:val="Normal"/>
    <w:link w:val="HeaderChar"/>
    <w:rsid w:val="00A227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279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D28F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l-GR"/>
    </w:rPr>
  </w:style>
  <w:style w:type="character" w:styleId="Hyperlink">
    <w:name w:val="Hyperlink"/>
    <w:rsid w:val="00BE576B"/>
    <w:rPr>
      <w:rFonts w:ascii="Verdana" w:hAnsi="Verdana" w:hint="default"/>
      <w:strike w:val="0"/>
      <w:dstrike w:val="0"/>
      <w:color w:val="0000C0"/>
      <w:u w:val="none"/>
      <w:effect w:val="none"/>
    </w:rPr>
  </w:style>
  <w:style w:type="paragraph" w:styleId="BalloonText">
    <w:name w:val="Balloon Text"/>
    <w:basedOn w:val="Normal"/>
    <w:link w:val="BalloonTextChar"/>
    <w:rsid w:val="00DD5B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B95"/>
    <w:rPr>
      <w:rFonts w:ascii="Tahoma" w:hAnsi="Tahoma" w:cs="Tahoma"/>
      <w:sz w:val="16"/>
      <w:szCs w:val="16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2F14A9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8339F9"/>
    <w:pPr>
      <w:ind w:left="720"/>
      <w:contextualSpacing/>
    </w:pPr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4A55-AE48-4B54-96F4-34BA1541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ΧΡΗΜΑΤΙΣΤΗΡΙΟ ΑΘΗΝΩΝ Α</vt:lpstr>
    </vt:vector>
  </TitlesOfParts>
  <Company>CSD SA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ΧΡΗΜΑΤΙΣΤΗΡΙΟ ΑΘΗΝΩΝ Α</dc:title>
  <dc:creator>estamou</dc:creator>
  <cp:lastModifiedBy>Grispou, Alexandra</cp:lastModifiedBy>
  <cp:revision>4</cp:revision>
  <dcterms:created xsi:type="dcterms:W3CDTF">2015-10-30T13:03:00Z</dcterms:created>
  <dcterms:modified xsi:type="dcterms:W3CDTF">2015-10-30T14:34:00Z</dcterms:modified>
</cp:coreProperties>
</file>