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3D25" w:rsidRDefault="00843D25" w:rsidP="00843D25">
      <w:pPr>
        <w:spacing w:after="0" w:line="360" w:lineRule="auto"/>
        <w:jc w:val="right"/>
        <w:rPr>
          <w:rFonts w:eastAsia="Times New Roman" w:cs="Times New Roman"/>
          <w:color w:val="000000"/>
          <w:sz w:val="20"/>
          <w:szCs w:val="20"/>
          <w:lang w:val="en-GB" w:eastAsia="el-GR"/>
        </w:rPr>
      </w:pPr>
    </w:p>
    <w:p w:rsidR="00843D25" w:rsidRDefault="00843D25" w:rsidP="00843D25">
      <w:pPr>
        <w:spacing w:after="0" w:line="360" w:lineRule="auto"/>
        <w:rPr>
          <w:rFonts w:eastAsia="Times New Roman" w:cs="Times New Roman"/>
          <w:color w:val="000000"/>
          <w:sz w:val="20"/>
          <w:szCs w:val="20"/>
          <w:lang w:val="en-GB" w:eastAsia="el-GR"/>
        </w:rPr>
      </w:pPr>
    </w:p>
    <w:p w:rsidR="00843D25" w:rsidRPr="00E15AE0" w:rsidRDefault="00843D25" w:rsidP="00843D25">
      <w:pPr>
        <w:spacing w:after="0" w:line="360" w:lineRule="auto"/>
        <w:jc w:val="right"/>
        <w:rPr>
          <w:rFonts w:eastAsia="Times New Roman" w:cs="Times New Roman"/>
          <w:color w:val="000000"/>
          <w:sz w:val="20"/>
          <w:szCs w:val="20"/>
          <w:lang w:val="en-GB" w:eastAsia="el-GR"/>
        </w:rPr>
      </w:pPr>
      <w:r w:rsidRPr="00E15AE0">
        <w:rPr>
          <w:rFonts w:eastAsia="Times New Roman" w:cs="Times New Roman"/>
          <w:color w:val="000000"/>
          <w:sz w:val="20"/>
          <w:szCs w:val="20"/>
          <w:lang w:val="en-GB" w:eastAsia="el-GR"/>
        </w:rPr>
        <w:t xml:space="preserve">Athens, </w:t>
      </w:r>
      <w:r w:rsidRPr="00E15AE0">
        <w:rPr>
          <w:rFonts w:eastAsia="Times New Roman" w:cs="Times New Roman"/>
          <w:color w:val="000000"/>
          <w:sz w:val="20"/>
          <w:szCs w:val="20"/>
          <w:lang w:val="en-US" w:eastAsia="el-GR"/>
        </w:rPr>
        <w:t>June</w:t>
      </w:r>
      <w:r w:rsidRPr="00E15AE0">
        <w:rPr>
          <w:rFonts w:eastAsia="Times New Roman" w:cs="Times New Roman"/>
          <w:color w:val="000000"/>
          <w:sz w:val="20"/>
          <w:szCs w:val="20"/>
          <w:lang w:val="en-GB" w:eastAsia="el-GR"/>
        </w:rPr>
        <w:t xml:space="preserve"> </w:t>
      </w:r>
      <w:r w:rsidR="00D961C5" w:rsidRPr="00E15AE0">
        <w:rPr>
          <w:rFonts w:eastAsia="Times New Roman" w:cs="Times New Roman"/>
          <w:color w:val="000000"/>
          <w:sz w:val="20"/>
          <w:szCs w:val="20"/>
          <w:lang w:val="en-US" w:eastAsia="el-GR"/>
        </w:rPr>
        <w:t>19</w:t>
      </w:r>
      <w:r w:rsidRPr="00E15AE0">
        <w:rPr>
          <w:rFonts w:eastAsia="Times New Roman" w:cs="Times New Roman"/>
          <w:color w:val="000000"/>
          <w:sz w:val="20"/>
          <w:szCs w:val="20"/>
          <w:vertAlign w:val="superscript"/>
          <w:lang w:val="en-US" w:eastAsia="el-GR"/>
        </w:rPr>
        <w:t>th</w:t>
      </w:r>
      <w:r w:rsidRPr="00E15AE0">
        <w:rPr>
          <w:rFonts w:eastAsia="Times New Roman" w:cs="Times New Roman"/>
          <w:color w:val="000000"/>
          <w:sz w:val="20"/>
          <w:szCs w:val="20"/>
          <w:lang w:val="en-US" w:eastAsia="el-GR"/>
        </w:rPr>
        <w:t xml:space="preserve">, </w:t>
      </w:r>
      <w:r w:rsidRPr="00E15AE0">
        <w:rPr>
          <w:rFonts w:eastAsia="Times New Roman" w:cs="Times New Roman"/>
          <w:color w:val="000000"/>
          <w:sz w:val="20"/>
          <w:szCs w:val="20"/>
          <w:lang w:val="en-GB" w:eastAsia="el-GR"/>
        </w:rPr>
        <w:t>2014</w:t>
      </w:r>
    </w:p>
    <w:p w:rsidR="00843D25" w:rsidRPr="00E15AE0" w:rsidRDefault="00843D25" w:rsidP="00843D25">
      <w:pPr>
        <w:spacing w:after="0" w:line="360" w:lineRule="auto"/>
        <w:ind w:left="6480"/>
        <w:rPr>
          <w:rFonts w:eastAsia="Times New Roman" w:cs="Tahoma"/>
          <w:sz w:val="20"/>
          <w:szCs w:val="24"/>
          <w:lang w:val="en-GB"/>
        </w:rPr>
      </w:pPr>
    </w:p>
    <w:p w:rsidR="00843D25" w:rsidRPr="00E15AE0" w:rsidRDefault="00843D25" w:rsidP="0059678B">
      <w:pPr>
        <w:spacing w:before="120" w:after="120" w:line="240" w:lineRule="auto"/>
        <w:ind w:left="612" w:right="-238" w:hanging="360"/>
        <w:jc w:val="center"/>
        <w:rPr>
          <w:rFonts w:ascii="Calibri" w:eastAsia="Times New Roman" w:hAnsi="Calibri" w:cs="Times New Roman"/>
          <w:b/>
          <w:color w:val="006EAB"/>
          <w:sz w:val="24"/>
          <w:szCs w:val="24"/>
          <w:u w:val="single"/>
          <w:lang w:val="en-US"/>
        </w:rPr>
      </w:pPr>
      <w:r w:rsidRPr="00E15AE0">
        <w:rPr>
          <w:rFonts w:ascii="Calibri" w:eastAsia="Times New Roman" w:hAnsi="Calibri" w:cs="Times New Roman"/>
          <w:b/>
          <w:color w:val="006EAB"/>
          <w:sz w:val="24"/>
          <w:szCs w:val="24"/>
          <w:u w:val="single"/>
          <w:lang w:val="en-US"/>
        </w:rPr>
        <w:t xml:space="preserve">Press Release </w:t>
      </w:r>
    </w:p>
    <w:p w:rsidR="00843D25" w:rsidRPr="00E15AE0" w:rsidRDefault="00843D25" w:rsidP="00843D25">
      <w:pPr>
        <w:spacing w:after="0" w:line="240" w:lineRule="auto"/>
        <w:rPr>
          <w:rFonts w:eastAsia="Times New Roman" w:cs="Times New Roman"/>
          <w:sz w:val="24"/>
          <w:szCs w:val="24"/>
          <w:lang w:val="en-GB"/>
        </w:rPr>
      </w:pPr>
    </w:p>
    <w:p w:rsidR="00F138D2" w:rsidRPr="00E15AE0" w:rsidRDefault="00D40B70" w:rsidP="00843D25">
      <w:pPr>
        <w:tabs>
          <w:tab w:val="right" w:pos="9978"/>
        </w:tabs>
        <w:spacing w:before="100" w:beforeAutospacing="1" w:after="100" w:afterAutospacing="1" w:line="360" w:lineRule="auto"/>
        <w:jc w:val="both"/>
        <w:rPr>
          <w:rFonts w:ascii="Calibri" w:eastAsia="Times New Roman" w:hAnsi="Calibri" w:cs="Tahoma"/>
          <w:iCs/>
          <w:color w:val="556062"/>
          <w:sz w:val="20"/>
          <w:szCs w:val="20"/>
          <w:lang w:val="en-US"/>
        </w:rPr>
      </w:pPr>
      <w:r>
        <w:rPr>
          <w:rFonts w:ascii="Calibri" w:eastAsia="Times New Roman" w:hAnsi="Calibri" w:cs="Tahoma"/>
          <w:iCs/>
          <w:color w:val="556062"/>
          <w:sz w:val="20"/>
          <w:szCs w:val="20"/>
        </w:rPr>
        <w:t>Τ</w:t>
      </w:r>
      <w:r w:rsidR="00F138D2" w:rsidRPr="00E15AE0">
        <w:rPr>
          <w:rFonts w:ascii="Calibri" w:eastAsia="Times New Roman" w:hAnsi="Calibri" w:cs="Tahoma"/>
          <w:iCs/>
          <w:color w:val="556062"/>
          <w:sz w:val="20"/>
          <w:szCs w:val="20"/>
          <w:lang w:val="en-US"/>
        </w:rPr>
        <w:t xml:space="preserve">he Stock Markets Steering Committee of ATHEX, </w:t>
      </w:r>
      <w:r w:rsidR="009A22C2" w:rsidRPr="00E15AE0">
        <w:rPr>
          <w:rFonts w:ascii="Calibri" w:eastAsia="Times New Roman" w:hAnsi="Calibri" w:cs="Tahoma"/>
          <w:iCs/>
          <w:color w:val="556062"/>
          <w:sz w:val="20"/>
          <w:szCs w:val="20"/>
          <w:lang w:val="en-US"/>
        </w:rPr>
        <w:t xml:space="preserve">during its session on June 19th, 2014 </w:t>
      </w:r>
      <w:r>
        <w:rPr>
          <w:rFonts w:ascii="Calibri" w:eastAsia="Times New Roman" w:hAnsi="Calibri" w:cs="Tahoma"/>
          <w:iCs/>
          <w:color w:val="556062"/>
          <w:sz w:val="20"/>
          <w:szCs w:val="20"/>
          <w:lang w:val="en-US"/>
        </w:rPr>
        <w:t xml:space="preserve">also </w:t>
      </w:r>
      <w:r w:rsidR="00F138D2" w:rsidRPr="00E15AE0">
        <w:rPr>
          <w:rFonts w:ascii="Calibri" w:eastAsia="Times New Roman" w:hAnsi="Calibri" w:cs="Tahoma"/>
          <w:iCs/>
          <w:color w:val="556062"/>
          <w:sz w:val="20"/>
          <w:szCs w:val="20"/>
          <w:lang w:val="en-US"/>
        </w:rPr>
        <w:t>approved the admission to trading of:</w:t>
      </w:r>
    </w:p>
    <w:p w:rsidR="003310D1" w:rsidRPr="003310D1" w:rsidRDefault="00396B4E" w:rsidP="003310D1">
      <w:pPr>
        <w:numPr>
          <w:ilvl w:val="0"/>
          <w:numId w:val="1"/>
        </w:numPr>
        <w:spacing w:before="100" w:beforeAutospacing="1" w:after="240" w:line="360" w:lineRule="auto"/>
        <w:jc w:val="both"/>
        <w:rPr>
          <w:rFonts w:ascii="Calibri" w:eastAsia="Times New Roman" w:hAnsi="Calibri" w:cs="Tahoma"/>
          <w:iCs/>
          <w:color w:val="556062"/>
          <w:sz w:val="20"/>
          <w:szCs w:val="20"/>
          <w:lang w:val="en-US"/>
        </w:rPr>
      </w:pPr>
      <w:r w:rsidRPr="00E15AE0">
        <w:rPr>
          <w:rFonts w:ascii="Calibri" w:eastAsia="Times New Roman" w:hAnsi="Calibri" w:cs="Tahoma"/>
          <w:b/>
          <w:iCs/>
          <w:color w:val="556062"/>
          <w:sz w:val="20"/>
          <w:szCs w:val="20"/>
          <w:lang w:val="en-US"/>
        </w:rPr>
        <w:t>44,412,347</w:t>
      </w:r>
      <w:r w:rsidRPr="00E15AE0">
        <w:rPr>
          <w:rFonts w:ascii="Calibri" w:eastAsia="Times New Roman" w:hAnsi="Calibri" w:cs="Tahoma"/>
          <w:iCs/>
          <w:color w:val="556062"/>
          <w:sz w:val="20"/>
          <w:szCs w:val="20"/>
          <w:lang w:val="en-US"/>
        </w:rPr>
        <w:t xml:space="preserve"> pre-emption rights associated with the shares of the company </w:t>
      </w:r>
      <w:r w:rsidRPr="00E15AE0">
        <w:rPr>
          <w:rFonts w:ascii="Calibri" w:eastAsia="Times New Roman" w:hAnsi="Calibri" w:cs="Tahoma"/>
          <w:b/>
          <w:iCs/>
          <w:color w:val="556062"/>
          <w:sz w:val="20"/>
          <w:szCs w:val="20"/>
          <w:lang w:val="en-US"/>
        </w:rPr>
        <w:t>"LAMDA DEVELOPMENT S.A."</w:t>
      </w:r>
      <w:r w:rsidRPr="00E15AE0">
        <w:rPr>
          <w:rFonts w:ascii="Calibri" w:eastAsia="Times New Roman" w:hAnsi="Calibri" w:cs="Tahoma"/>
          <w:iCs/>
          <w:color w:val="556062"/>
          <w:sz w:val="20"/>
          <w:szCs w:val="20"/>
          <w:lang w:val="en-US"/>
        </w:rPr>
        <w:t xml:space="preserve">, that resulted from the share capital increase carried out in the form of a Rights Issue and realized in </w:t>
      </w:r>
      <w:proofErr w:type="spellStart"/>
      <w:r w:rsidR="00731EFB" w:rsidRPr="00E15AE0">
        <w:rPr>
          <w:rFonts w:ascii="Calibri" w:eastAsia="Times New Roman" w:hAnsi="Calibri" w:cs="Tahoma"/>
          <w:iCs/>
          <w:color w:val="556062"/>
          <w:sz w:val="20"/>
          <w:szCs w:val="20"/>
          <w:lang w:val="en-US"/>
        </w:rPr>
        <w:t>favo</w:t>
      </w:r>
      <w:r w:rsidR="008F234E" w:rsidRPr="00E15AE0">
        <w:rPr>
          <w:rFonts w:ascii="Calibri" w:eastAsia="Times New Roman" w:hAnsi="Calibri" w:cs="Tahoma"/>
          <w:iCs/>
          <w:color w:val="556062"/>
          <w:sz w:val="20"/>
          <w:szCs w:val="20"/>
          <w:lang w:val="en-US"/>
        </w:rPr>
        <w:t>u</w:t>
      </w:r>
      <w:r w:rsidR="00731EFB" w:rsidRPr="00E15AE0">
        <w:rPr>
          <w:rFonts w:ascii="Calibri" w:eastAsia="Times New Roman" w:hAnsi="Calibri" w:cs="Tahoma"/>
          <w:iCs/>
          <w:color w:val="556062"/>
          <w:sz w:val="20"/>
          <w:szCs w:val="20"/>
          <w:lang w:val="en-US"/>
        </w:rPr>
        <w:t>r</w:t>
      </w:r>
      <w:proofErr w:type="spellEnd"/>
      <w:r w:rsidRPr="00E15AE0">
        <w:rPr>
          <w:rFonts w:ascii="Calibri" w:eastAsia="Times New Roman" w:hAnsi="Calibri" w:cs="Tahoma"/>
          <w:iCs/>
          <w:color w:val="556062"/>
          <w:sz w:val="20"/>
          <w:szCs w:val="20"/>
          <w:lang w:val="en-US"/>
        </w:rPr>
        <w:t xml:space="preserve"> of the old shareholders of the company, in terms of </w:t>
      </w:r>
      <w:r w:rsidR="001E4D86" w:rsidRPr="00E15AE0">
        <w:rPr>
          <w:rFonts w:ascii="Calibri" w:eastAsia="Times New Roman" w:hAnsi="Calibri" w:cs="Tahoma"/>
          <w:iCs/>
          <w:color w:val="556062"/>
          <w:sz w:val="20"/>
          <w:szCs w:val="20"/>
          <w:lang w:val="en-US"/>
        </w:rPr>
        <w:t>0.</w:t>
      </w:r>
      <w:r w:rsidR="00644DF6" w:rsidRPr="00E15AE0">
        <w:rPr>
          <w:rFonts w:ascii="Calibri" w:eastAsia="Times New Roman" w:hAnsi="Calibri" w:cs="Tahoma"/>
          <w:iCs/>
          <w:color w:val="556062"/>
          <w:sz w:val="20"/>
          <w:szCs w:val="20"/>
          <w:lang w:val="en-US"/>
        </w:rPr>
        <w:t xml:space="preserve">794691552779231 </w:t>
      </w:r>
      <w:r w:rsidRPr="00E15AE0">
        <w:rPr>
          <w:rFonts w:ascii="Calibri" w:eastAsia="Times New Roman" w:hAnsi="Calibri" w:cs="Tahoma"/>
          <w:iCs/>
          <w:color w:val="556062"/>
          <w:sz w:val="20"/>
          <w:szCs w:val="20"/>
          <w:lang w:val="en-US"/>
        </w:rPr>
        <w:t xml:space="preserve">new common registered shares for every </w:t>
      </w:r>
      <w:r w:rsidR="006E1CE0" w:rsidRPr="00E15AE0">
        <w:rPr>
          <w:rFonts w:ascii="Calibri" w:eastAsia="Times New Roman" w:hAnsi="Calibri" w:cs="Tahoma"/>
          <w:iCs/>
          <w:color w:val="556062"/>
          <w:sz w:val="20"/>
          <w:szCs w:val="20"/>
          <w:lang w:val="en-US"/>
        </w:rPr>
        <w:t>1 old common registered share</w:t>
      </w:r>
      <w:r w:rsidRPr="00E15AE0">
        <w:rPr>
          <w:rFonts w:ascii="Calibri" w:eastAsia="Times New Roman" w:hAnsi="Calibri" w:cs="Tahoma"/>
          <w:iCs/>
          <w:color w:val="556062"/>
          <w:sz w:val="20"/>
          <w:szCs w:val="20"/>
          <w:lang w:val="en-US"/>
        </w:rPr>
        <w:t xml:space="preserve">, at an issue price of </w:t>
      </w:r>
      <w:r w:rsidRPr="00E15AE0">
        <w:rPr>
          <w:rFonts w:ascii="Calibri" w:eastAsia="Times New Roman" w:hAnsi="Calibri" w:cs="Tahoma"/>
          <w:b/>
          <w:iCs/>
          <w:color w:val="556062"/>
          <w:sz w:val="20"/>
          <w:szCs w:val="20"/>
          <w:lang w:val="en-US"/>
        </w:rPr>
        <w:t xml:space="preserve">€ </w:t>
      </w:r>
      <w:r w:rsidR="006E1CE0" w:rsidRPr="00E15AE0">
        <w:rPr>
          <w:rFonts w:ascii="Calibri" w:eastAsia="Times New Roman" w:hAnsi="Calibri" w:cs="Tahoma"/>
          <w:b/>
          <w:iCs/>
          <w:color w:val="556062"/>
          <w:sz w:val="20"/>
          <w:szCs w:val="20"/>
          <w:lang w:val="en-US"/>
        </w:rPr>
        <w:t>4</w:t>
      </w:r>
      <w:r w:rsidRPr="00E15AE0">
        <w:rPr>
          <w:rFonts w:ascii="Calibri" w:eastAsia="Times New Roman" w:hAnsi="Calibri" w:cs="Tahoma"/>
          <w:b/>
          <w:iCs/>
          <w:color w:val="556062"/>
          <w:sz w:val="20"/>
          <w:szCs w:val="20"/>
          <w:lang w:val="en-US"/>
        </w:rPr>
        <w:t>.25</w:t>
      </w:r>
      <w:r w:rsidRPr="00E15AE0">
        <w:rPr>
          <w:rFonts w:ascii="Calibri" w:eastAsia="Times New Roman" w:hAnsi="Calibri" w:cs="Tahoma"/>
          <w:iCs/>
          <w:color w:val="556062"/>
          <w:sz w:val="20"/>
          <w:szCs w:val="20"/>
          <w:lang w:val="en-US"/>
        </w:rPr>
        <w:t xml:space="preserve"> per share. The ex-rights date is set on </w:t>
      </w:r>
      <w:r w:rsidRPr="00E15AE0">
        <w:rPr>
          <w:rFonts w:ascii="Calibri" w:eastAsia="Times New Roman" w:hAnsi="Calibri" w:cs="Tahoma"/>
          <w:b/>
          <w:iCs/>
          <w:color w:val="556062"/>
          <w:sz w:val="20"/>
          <w:szCs w:val="20"/>
          <w:lang w:val="en-US"/>
        </w:rPr>
        <w:t>June 23th, 2014</w:t>
      </w:r>
      <w:r w:rsidRPr="00E15AE0">
        <w:rPr>
          <w:rFonts w:ascii="Calibri" w:eastAsia="Times New Roman" w:hAnsi="Calibri" w:cs="Tahoma"/>
          <w:iCs/>
          <w:color w:val="556062"/>
          <w:sz w:val="20"/>
          <w:szCs w:val="20"/>
          <w:lang w:val="en-US"/>
        </w:rPr>
        <w:t xml:space="preserve">. Beneficiaries of the rights are the ones registered in the records of the </w:t>
      </w:r>
      <w:r w:rsidR="00731EFB" w:rsidRPr="00E15AE0">
        <w:rPr>
          <w:rFonts w:ascii="Calibri" w:eastAsia="Times New Roman" w:hAnsi="Calibri" w:cs="Tahoma"/>
          <w:iCs/>
          <w:color w:val="556062"/>
          <w:sz w:val="20"/>
          <w:szCs w:val="20"/>
          <w:lang w:val="en-US"/>
        </w:rPr>
        <w:t>Dematerialized</w:t>
      </w:r>
      <w:r w:rsidRPr="00E15AE0">
        <w:rPr>
          <w:rFonts w:ascii="Calibri" w:eastAsia="Times New Roman" w:hAnsi="Calibri" w:cs="Tahoma"/>
          <w:iCs/>
          <w:color w:val="556062"/>
          <w:sz w:val="20"/>
          <w:szCs w:val="20"/>
          <w:lang w:val="en-US"/>
        </w:rPr>
        <w:t xml:space="preserve"> Securities System on </w:t>
      </w:r>
      <w:r w:rsidRPr="00E15AE0">
        <w:rPr>
          <w:rFonts w:ascii="Calibri" w:eastAsia="Times New Roman" w:hAnsi="Calibri" w:cs="Tahoma"/>
          <w:b/>
          <w:iCs/>
          <w:color w:val="556062"/>
          <w:sz w:val="20"/>
          <w:szCs w:val="20"/>
          <w:lang w:val="en-US"/>
        </w:rPr>
        <w:t>June 25th, 2014</w:t>
      </w:r>
      <w:r w:rsidRPr="00E15AE0">
        <w:rPr>
          <w:rFonts w:ascii="Calibri" w:eastAsia="Times New Roman" w:hAnsi="Calibri" w:cs="Tahoma"/>
          <w:iCs/>
          <w:color w:val="556062"/>
          <w:sz w:val="20"/>
          <w:szCs w:val="20"/>
          <w:lang w:val="en-US"/>
        </w:rPr>
        <w:t xml:space="preserve">, date of determination of beneficiaries (record date). The rights' subscription period will take place between </w:t>
      </w:r>
      <w:r w:rsidRPr="00E15AE0">
        <w:rPr>
          <w:rFonts w:ascii="Calibri" w:eastAsia="Times New Roman" w:hAnsi="Calibri" w:cs="Tahoma"/>
          <w:b/>
          <w:iCs/>
          <w:color w:val="556062"/>
          <w:sz w:val="20"/>
          <w:szCs w:val="20"/>
          <w:lang w:val="en-US"/>
        </w:rPr>
        <w:t>June 27th, 2014</w:t>
      </w:r>
      <w:r w:rsidRPr="00E15AE0">
        <w:rPr>
          <w:rFonts w:ascii="Calibri" w:eastAsia="Times New Roman" w:hAnsi="Calibri" w:cs="Tahoma"/>
          <w:iCs/>
          <w:color w:val="556062"/>
          <w:sz w:val="20"/>
          <w:szCs w:val="20"/>
          <w:lang w:val="en-US"/>
        </w:rPr>
        <w:t xml:space="preserve"> and </w:t>
      </w:r>
      <w:r w:rsidRPr="00E15AE0">
        <w:rPr>
          <w:rFonts w:ascii="Calibri" w:eastAsia="Times New Roman" w:hAnsi="Calibri" w:cs="Tahoma"/>
          <w:b/>
          <w:iCs/>
          <w:color w:val="556062"/>
          <w:sz w:val="20"/>
          <w:szCs w:val="20"/>
          <w:lang w:val="en-US"/>
        </w:rPr>
        <w:t xml:space="preserve">July 11th, 2014 </w:t>
      </w:r>
      <w:r w:rsidRPr="00E15AE0">
        <w:rPr>
          <w:rFonts w:ascii="Calibri" w:eastAsia="Times New Roman" w:hAnsi="Calibri" w:cs="Tahoma"/>
          <w:iCs/>
          <w:color w:val="556062"/>
          <w:sz w:val="20"/>
          <w:szCs w:val="20"/>
          <w:lang w:val="en-US"/>
        </w:rPr>
        <w:t xml:space="preserve">(included), while their trading on the electronic trading system (OASIS) of ATHEX will take place between </w:t>
      </w:r>
      <w:r w:rsidRPr="00E15AE0">
        <w:rPr>
          <w:rFonts w:ascii="Calibri" w:eastAsia="Times New Roman" w:hAnsi="Calibri" w:cs="Tahoma"/>
          <w:b/>
          <w:iCs/>
          <w:color w:val="556062"/>
          <w:sz w:val="20"/>
          <w:szCs w:val="20"/>
          <w:lang w:val="en-US"/>
        </w:rPr>
        <w:t>June 27th, 2014</w:t>
      </w:r>
      <w:r w:rsidRPr="00E15AE0">
        <w:rPr>
          <w:rFonts w:ascii="Calibri" w:eastAsia="Times New Roman" w:hAnsi="Calibri" w:cs="Tahoma"/>
          <w:iCs/>
          <w:color w:val="556062"/>
          <w:sz w:val="20"/>
          <w:szCs w:val="20"/>
          <w:lang w:val="en-US"/>
        </w:rPr>
        <w:t xml:space="preserve"> and </w:t>
      </w:r>
      <w:r w:rsidRPr="00E15AE0">
        <w:rPr>
          <w:rFonts w:ascii="Calibri" w:eastAsia="Times New Roman" w:hAnsi="Calibri" w:cs="Tahoma"/>
          <w:b/>
          <w:iCs/>
          <w:color w:val="556062"/>
          <w:sz w:val="20"/>
          <w:szCs w:val="20"/>
          <w:lang w:val="en-US"/>
        </w:rPr>
        <w:t xml:space="preserve">July 7th, 2014 </w:t>
      </w:r>
      <w:r w:rsidRPr="00E15AE0">
        <w:rPr>
          <w:rFonts w:ascii="Calibri" w:eastAsia="Times New Roman" w:hAnsi="Calibri" w:cs="Tahoma"/>
          <w:iCs/>
          <w:color w:val="556062"/>
          <w:sz w:val="20"/>
          <w:szCs w:val="20"/>
          <w:lang w:val="en-US"/>
        </w:rPr>
        <w:t>(included).</w:t>
      </w:r>
      <w:r w:rsidR="003310D1" w:rsidRPr="003310D1">
        <w:rPr>
          <w:rFonts w:ascii="Calibri" w:eastAsia="Times New Roman" w:hAnsi="Calibri" w:cs="Tahoma"/>
          <w:b/>
          <w:iCs/>
          <w:color w:val="556062"/>
          <w:sz w:val="20"/>
          <w:szCs w:val="20"/>
          <w:lang w:val="en-US"/>
        </w:rPr>
        <w:t xml:space="preserve"> </w:t>
      </w:r>
    </w:p>
    <w:p w:rsidR="003310D1" w:rsidRPr="00E15AE0" w:rsidRDefault="003310D1" w:rsidP="003310D1">
      <w:pPr>
        <w:numPr>
          <w:ilvl w:val="0"/>
          <w:numId w:val="1"/>
        </w:numPr>
        <w:spacing w:before="100" w:beforeAutospacing="1" w:after="240" w:line="360" w:lineRule="auto"/>
        <w:jc w:val="both"/>
        <w:rPr>
          <w:rFonts w:ascii="Calibri" w:eastAsia="Times New Roman" w:hAnsi="Calibri" w:cs="Tahoma"/>
          <w:iCs/>
          <w:color w:val="556062"/>
          <w:sz w:val="20"/>
          <w:szCs w:val="20"/>
          <w:lang w:val="en-US"/>
        </w:rPr>
      </w:pPr>
      <w:r w:rsidRPr="00E15AE0">
        <w:rPr>
          <w:rFonts w:ascii="Calibri" w:eastAsia="Times New Roman" w:hAnsi="Calibri" w:cs="Tahoma"/>
          <w:b/>
          <w:iCs/>
          <w:color w:val="556062"/>
          <w:sz w:val="20"/>
          <w:szCs w:val="20"/>
          <w:lang w:val="en-US"/>
        </w:rPr>
        <w:t>16,058</w:t>
      </w:r>
      <w:r w:rsidRPr="00E15AE0">
        <w:rPr>
          <w:rFonts w:ascii="Calibri" w:eastAsia="Times New Roman" w:hAnsi="Calibri" w:cs="Tahoma"/>
          <w:iCs/>
          <w:color w:val="556062"/>
          <w:sz w:val="20"/>
          <w:szCs w:val="20"/>
          <w:lang w:val="en-US"/>
        </w:rPr>
        <w:t xml:space="preserve"> new common registered shares of the company </w:t>
      </w:r>
      <w:r w:rsidRPr="00E15AE0">
        <w:rPr>
          <w:rFonts w:ascii="Calibri" w:eastAsia="Times New Roman" w:hAnsi="Calibri" w:cs="Tahoma"/>
          <w:b/>
          <w:iCs/>
          <w:color w:val="556062"/>
          <w:sz w:val="20"/>
          <w:szCs w:val="20"/>
          <w:lang w:val="en-US"/>
        </w:rPr>
        <w:t>"MARFIN INVESTMENT GROUP HOLDINGS S.A."</w:t>
      </w:r>
      <w:r w:rsidRPr="00E15AE0">
        <w:rPr>
          <w:rFonts w:ascii="Calibri" w:eastAsia="Times New Roman" w:hAnsi="Calibri" w:cs="Tahoma"/>
          <w:iCs/>
          <w:color w:val="556062"/>
          <w:sz w:val="20"/>
          <w:szCs w:val="20"/>
          <w:lang w:val="en-US"/>
        </w:rPr>
        <w:t xml:space="preserve">, which resulted from the share capital increase realized through the conversion of 15,898 bonds (Tranche B). The start date of trading of the new shares is set on </w:t>
      </w:r>
      <w:r w:rsidRPr="00E15AE0">
        <w:rPr>
          <w:rFonts w:ascii="Calibri" w:eastAsia="Times New Roman" w:hAnsi="Calibri" w:cs="Tahoma"/>
          <w:b/>
          <w:iCs/>
          <w:color w:val="556062"/>
          <w:sz w:val="20"/>
          <w:szCs w:val="20"/>
          <w:lang w:val="en-US"/>
        </w:rPr>
        <w:t>June 24th, 2014</w:t>
      </w:r>
      <w:r w:rsidRPr="00E15AE0">
        <w:rPr>
          <w:rFonts w:ascii="Calibri" w:eastAsia="Times New Roman" w:hAnsi="Calibri" w:cs="Tahoma"/>
          <w:iCs/>
          <w:color w:val="556062"/>
          <w:sz w:val="20"/>
          <w:szCs w:val="20"/>
          <w:lang w:val="en-US"/>
        </w:rPr>
        <w:t>.</w:t>
      </w:r>
    </w:p>
    <w:p w:rsidR="00D40B70" w:rsidRPr="00D40B70" w:rsidRDefault="00FA1902" w:rsidP="00D40B70">
      <w:pPr>
        <w:pStyle w:val="NormalWeb"/>
        <w:spacing w:line="340" w:lineRule="atLeast"/>
        <w:jc w:val="both"/>
        <w:rPr>
          <w:rFonts w:ascii="Calibri" w:eastAsia="Times New Roman" w:hAnsi="Calibri" w:cs="Tahoma"/>
          <w:iCs/>
          <w:color w:val="556062"/>
          <w:sz w:val="20"/>
          <w:szCs w:val="20"/>
          <w:lang w:val="en-US"/>
        </w:rPr>
      </w:pPr>
      <w:bookmarkStart w:id="0" w:name="_GoBack"/>
      <w:bookmarkEnd w:id="0"/>
      <w:r>
        <w:rPr>
          <w:rFonts w:ascii="Calibri" w:eastAsia="Times New Roman" w:hAnsi="Calibri" w:cs="Tahoma"/>
          <w:iCs/>
          <w:color w:val="556062"/>
          <w:sz w:val="20"/>
          <w:szCs w:val="20"/>
          <w:lang w:val="en-US"/>
        </w:rPr>
        <w:t>Moreover, t</w:t>
      </w:r>
      <w:r w:rsidR="00D40B70" w:rsidRPr="00D40B70">
        <w:rPr>
          <w:rFonts w:ascii="Calibri" w:eastAsia="Times New Roman" w:hAnsi="Calibri" w:cs="Tahoma"/>
          <w:iCs/>
          <w:color w:val="556062"/>
          <w:sz w:val="20"/>
          <w:szCs w:val="20"/>
          <w:lang w:val="en-US"/>
        </w:rPr>
        <w:t>he Steering Committee on Financial Markets, during today's session, approved</w:t>
      </w:r>
      <w:r w:rsidR="00D40B70">
        <w:rPr>
          <w:rFonts w:ascii="Calibri" w:eastAsia="Times New Roman" w:hAnsi="Calibri" w:cs="Tahoma"/>
          <w:iCs/>
          <w:color w:val="556062"/>
          <w:sz w:val="20"/>
          <w:szCs w:val="20"/>
          <w:lang w:val="en-US"/>
        </w:rPr>
        <w:t xml:space="preserve"> </w:t>
      </w:r>
      <w:r w:rsidR="00D40B70" w:rsidRPr="00D40B70">
        <w:rPr>
          <w:rFonts w:ascii="Calibri" w:eastAsia="Times New Roman" w:hAnsi="Calibri" w:cs="Tahoma"/>
          <w:iCs/>
          <w:color w:val="556062"/>
          <w:sz w:val="20"/>
          <w:szCs w:val="20"/>
          <w:lang w:val="en-US"/>
        </w:rPr>
        <w:t xml:space="preserve">The acquisition of a market making license for the ΗELEX Member </w:t>
      </w:r>
      <w:r w:rsidR="00D40B70" w:rsidRPr="00D40B70">
        <w:rPr>
          <w:rFonts w:ascii="Calibri" w:eastAsia="Times New Roman" w:hAnsi="Calibri" w:cs="Tahoma"/>
          <w:b/>
          <w:iCs/>
          <w:color w:val="556062"/>
          <w:sz w:val="20"/>
          <w:szCs w:val="20"/>
          <w:lang w:val="en-US"/>
        </w:rPr>
        <w:t>«EUROBANK EQUITIES S.A.»,</w:t>
      </w:r>
      <w:r w:rsidR="00D40B70" w:rsidRPr="00D40B70">
        <w:rPr>
          <w:rFonts w:ascii="Calibri" w:eastAsia="Times New Roman" w:hAnsi="Calibri" w:cs="Tahoma"/>
          <w:iCs/>
          <w:color w:val="556062"/>
          <w:sz w:val="20"/>
          <w:szCs w:val="20"/>
          <w:lang w:val="en-US"/>
        </w:rPr>
        <w:t xml:space="preserve"> for market making on the shares of the listed company </w:t>
      </w:r>
      <w:r w:rsidR="00D40B70" w:rsidRPr="00D40B70">
        <w:rPr>
          <w:rFonts w:ascii="Calibri" w:eastAsia="Times New Roman" w:hAnsi="Calibri" w:cs="Tahoma"/>
          <w:b/>
          <w:iCs/>
          <w:color w:val="556062"/>
          <w:sz w:val="20"/>
          <w:szCs w:val="20"/>
          <w:lang w:val="en-US"/>
        </w:rPr>
        <w:t>«PROFILE SYSTEMS &amp; SOFTWARE SA»</w:t>
      </w:r>
      <w:r w:rsidR="00D40B70" w:rsidRPr="00D40B70">
        <w:rPr>
          <w:rFonts w:ascii="Calibri" w:eastAsia="Times New Roman" w:hAnsi="Calibri" w:cs="Tahoma"/>
          <w:iCs/>
          <w:color w:val="556062"/>
          <w:sz w:val="20"/>
          <w:szCs w:val="20"/>
          <w:lang w:val="en-US"/>
        </w:rPr>
        <w:t xml:space="preserve"> and set of the start date of market making on the aforementioned shares for Monday, June 23rd 2014.</w:t>
      </w:r>
    </w:p>
    <w:p w:rsidR="00D40B70" w:rsidRPr="00D40B70" w:rsidRDefault="00D40B70" w:rsidP="00D40B70">
      <w:pPr>
        <w:spacing w:before="100" w:beforeAutospacing="1" w:after="240" w:line="360" w:lineRule="auto"/>
        <w:jc w:val="both"/>
        <w:rPr>
          <w:rFonts w:ascii="Calibri" w:eastAsia="Times New Roman" w:hAnsi="Calibri" w:cs="Tahoma"/>
          <w:iCs/>
          <w:color w:val="556062"/>
          <w:sz w:val="20"/>
          <w:szCs w:val="20"/>
          <w:lang w:val="en-GB"/>
        </w:rPr>
      </w:pPr>
    </w:p>
    <w:sectPr w:rsidR="00D40B70" w:rsidRPr="00D40B70" w:rsidSect="000C5940">
      <w:headerReference w:type="default" r:id="rId8"/>
      <w:footerReference w:type="default" r:id="rId9"/>
      <w:pgSz w:w="11906" w:h="16838"/>
      <w:pgMar w:top="993" w:right="1800" w:bottom="1440" w:left="1800" w:header="993" w:footer="5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09FE" w:rsidRDefault="004D09FE" w:rsidP="00B534BE">
      <w:pPr>
        <w:spacing w:after="0" w:line="240" w:lineRule="auto"/>
      </w:pPr>
      <w:r>
        <w:separator/>
      </w:r>
    </w:p>
  </w:endnote>
  <w:endnote w:type="continuationSeparator" w:id="0">
    <w:p w:rsidR="004D09FE" w:rsidRDefault="004D09FE" w:rsidP="00B534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4BE" w:rsidRDefault="00E87722" w:rsidP="00B534BE">
    <w:pPr>
      <w:pStyle w:val="Footer"/>
      <w:jc w:val="center"/>
    </w:pPr>
    <w:r>
      <w:rPr>
        <w:noProof/>
        <w:lang w:eastAsia="el-GR"/>
      </w:rPr>
      <w:drawing>
        <wp:inline distT="0" distB="0" distL="0" distR="0" wp14:anchorId="33B8F974" wp14:editId="5A46A0B8">
          <wp:extent cx="4224528" cy="146304"/>
          <wp:effectExtent l="0" t="0" r="0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 - FOOTER - EN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24528" cy="1463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09FE" w:rsidRDefault="004D09FE" w:rsidP="00B534BE">
      <w:pPr>
        <w:spacing w:after="0" w:line="240" w:lineRule="auto"/>
      </w:pPr>
      <w:r>
        <w:separator/>
      </w:r>
    </w:p>
  </w:footnote>
  <w:footnote w:type="continuationSeparator" w:id="0">
    <w:p w:rsidR="004D09FE" w:rsidRDefault="004D09FE" w:rsidP="00B534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4BE" w:rsidRDefault="00E87722" w:rsidP="00B534BE">
    <w:pPr>
      <w:pStyle w:val="Header"/>
      <w:jc w:val="center"/>
    </w:pPr>
    <w:r>
      <w:rPr>
        <w:noProof/>
        <w:lang w:eastAsia="el-GR"/>
      </w:rPr>
      <w:drawing>
        <wp:inline distT="0" distB="0" distL="0" distR="0" wp14:anchorId="1FFB7F52" wp14:editId="0E502570">
          <wp:extent cx="1091184" cy="1072896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 -ATHEX-Header-EN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1184" cy="10728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0541E8"/>
    <w:multiLevelType w:val="multilevel"/>
    <w:tmpl w:val="A0E88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F103502"/>
    <w:multiLevelType w:val="hybridMultilevel"/>
    <w:tmpl w:val="B9E04AA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4BE"/>
    <w:rsid w:val="00034BC8"/>
    <w:rsid w:val="000350AB"/>
    <w:rsid w:val="00080A2B"/>
    <w:rsid w:val="000C5940"/>
    <w:rsid w:val="001577D7"/>
    <w:rsid w:val="001E4D86"/>
    <w:rsid w:val="00260059"/>
    <w:rsid w:val="00287B17"/>
    <w:rsid w:val="002910CE"/>
    <w:rsid w:val="00303EA2"/>
    <w:rsid w:val="003310D1"/>
    <w:rsid w:val="00347FBE"/>
    <w:rsid w:val="00393AE7"/>
    <w:rsid w:val="00396B4E"/>
    <w:rsid w:val="00423F2B"/>
    <w:rsid w:val="004640AE"/>
    <w:rsid w:val="004D09FE"/>
    <w:rsid w:val="00513414"/>
    <w:rsid w:val="0059678B"/>
    <w:rsid w:val="0060285D"/>
    <w:rsid w:val="00644DF6"/>
    <w:rsid w:val="006778A6"/>
    <w:rsid w:val="006E1CE0"/>
    <w:rsid w:val="00700D68"/>
    <w:rsid w:val="00723C39"/>
    <w:rsid w:val="00731EFB"/>
    <w:rsid w:val="00751CEB"/>
    <w:rsid w:val="007804B0"/>
    <w:rsid w:val="007A35B4"/>
    <w:rsid w:val="00843D25"/>
    <w:rsid w:val="00893BC1"/>
    <w:rsid w:val="008C5862"/>
    <w:rsid w:val="008F234E"/>
    <w:rsid w:val="00935E60"/>
    <w:rsid w:val="00960F46"/>
    <w:rsid w:val="00972192"/>
    <w:rsid w:val="009A22C2"/>
    <w:rsid w:val="00A4776C"/>
    <w:rsid w:val="00AF7DB1"/>
    <w:rsid w:val="00B32682"/>
    <w:rsid w:val="00B40A17"/>
    <w:rsid w:val="00B534BE"/>
    <w:rsid w:val="00BB7C19"/>
    <w:rsid w:val="00C07DA4"/>
    <w:rsid w:val="00C324D4"/>
    <w:rsid w:val="00C55359"/>
    <w:rsid w:val="00CB0A32"/>
    <w:rsid w:val="00D40B70"/>
    <w:rsid w:val="00D850F3"/>
    <w:rsid w:val="00D961C5"/>
    <w:rsid w:val="00DB19F8"/>
    <w:rsid w:val="00E15AE0"/>
    <w:rsid w:val="00E31A2A"/>
    <w:rsid w:val="00E87722"/>
    <w:rsid w:val="00E977C6"/>
    <w:rsid w:val="00F138D2"/>
    <w:rsid w:val="00F870A7"/>
    <w:rsid w:val="00FA1902"/>
    <w:rsid w:val="00FB5728"/>
    <w:rsid w:val="00FD1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34B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34BE"/>
  </w:style>
  <w:style w:type="paragraph" w:styleId="Footer">
    <w:name w:val="footer"/>
    <w:basedOn w:val="Normal"/>
    <w:link w:val="FooterChar"/>
    <w:uiPriority w:val="99"/>
    <w:unhideWhenUsed/>
    <w:rsid w:val="00B534B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34BE"/>
  </w:style>
  <w:style w:type="paragraph" w:styleId="BalloonText">
    <w:name w:val="Balloon Text"/>
    <w:basedOn w:val="Normal"/>
    <w:link w:val="BalloonTextChar"/>
    <w:uiPriority w:val="99"/>
    <w:semiHidden/>
    <w:unhideWhenUsed/>
    <w:rsid w:val="00B534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4B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87B17"/>
    <w:pPr>
      <w:ind w:left="720"/>
      <w:contextualSpacing/>
    </w:pPr>
  </w:style>
  <w:style w:type="paragraph" w:styleId="NormalWeb">
    <w:name w:val="Normal (Web)"/>
    <w:basedOn w:val="Normal"/>
    <w:rsid w:val="00D40B70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34B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34BE"/>
  </w:style>
  <w:style w:type="paragraph" w:styleId="Footer">
    <w:name w:val="footer"/>
    <w:basedOn w:val="Normal"/>
    <w:link w:val="FooterChar"/>
    <w:uiPriority w:val="99"/>
    <w:unhideWhenUsed/>
    <w:rsid w:val="00B534B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34BE"/>
  </w:style>
  <w:style w:type="paragraph" w:styleId="BalloonText">
    <w:name w:val="Balloon Text"/>
    <w:basedOn w:val="Normal"/>
    <w:link w:val="BalloonTextChar"/>
    <w:uiPriority w:val="99"/>
    <w:semiHidden/>
    <w:unhideWhenUsed/>
    <w:rsid w:val="00B534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4B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87B17"/>
    <w:pPr>
      <w:ind w:left="720"/>
      <w:contextualSpacing/>
    </w:pPr>
  </w:style>
  <w:style w:type="paragraph" w:styleId="NormalWeb">
    <w:name w:val="Normal (Web)"/>
    <w:basedOn w:val="Normal"/>
    <w:rsid w:val="00D40B70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260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Xenos, Aggelos</dc:creator>
  <cp:lastModifiedBy>I.Tsaga</cp:lastModifiedBy>
  <cp:revision>3</cp:revision>
  <cp:lastPrinted>2014-06-19T11:43:00Z</cp:lastPrinted>
  <dcterms:created xsi:type="dcterms:W3CDTF">2014-06-19T15:15:00Z</dcterms:created>
  <dcterms:modified xsi:type="dcterms:W3CDTF">2014-06-19T15:18:00Z</dcterms:modified>
</cp:coreProperties>
</file>