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40" w:rsidRPr="00001E40" w:rsidRDefault="00001E40" w:rsidP="00001E40">
      <w:pPr>
        <w:jc w:val="center"/>
        <w:rPr>
          <w:rFonts w:ascii="Calibri" w:hAnsi="Calibri"/>
          <w:b/>
          <w:bCs/>
          <w:color w:val="0000A0"/>
          <w:sz w:val="28"/>
          <w:szCs w:val="28"/>
          <w:lang w:val="en-US"/>
        </w:rPr>
      </w:pPr>
      <w:proofErr w:type="gramStart"/>
      <w:r w:rsidRPr="00001E40">
        <w:rPr>
          <w:rFonts w:ascii="Calibri" w:hAnsi="Calibri"/>
          <w:b/>
          <w:bCs/>
          <w:color w:val="0000A0"/>
          <w:sz w:val="28"/>
          <w:szCs w:val="28"/>
          <w:lang w:val="en-US"/>
        </w:rPr>
        <w:t>HELLENIC EXCHANGES – ATHENS STOCK EXCHANGE S.A.</w:t>
      </w:r>
      <w:proofErr w:type="gramEnd"/>
      <w:r w:rsidRPr="00001E40">
        <w:rPr>
          <w:rFonts w:ascii="Calibri" w:hAnsi="Calibri"/>
          <w:b/>
          <w:bCs/>
          <w:color w:val="0000A0"/>
          <w:sz w:val="28"/>
          <w:szCs w:val="28"/>
          <w:lang w:val="en-US"/>
        </w:rPr>
        <w:t xml:space="preserve"> </w:t>
      </w:r>
    </w:p>
    <w:p w:rsidR="00693DAF" w:rsidRDefault="00693DAF" w:rsidP="00693DAF">
      <w:pPr>
        <w:spacing w:line="360" w:lineRule="auto"/>
        <w:jc w:val="both"/>
        <w:rPr>
          <w:rFonts w:ascii="Verdana" w:hAnsi="Verdana"/>
          <w:color w:val="000000"/>
          <w:sz w:val="20"/>
          <w:szCs w:val="20"/>
          <w:lang w:val="en-US"/>
        </w:rPr>
      </w:pPr>
    </w:p>
    <w:p w:rsidR="00001E40" w:rsidRDefault="00001E40" w:rsidP="00693DAF">
      <w:pPr>
        <w:spacing w:line="360" w:lineRule="auto"/>
        <w:jc w:val="both"/>
        <w:rPr>
          <w:rFonts w:ascii="Verdana" w:hAnsi="Verdana"/>
          <w:color w:val="000000"/>
          <w:sz w:val="20"/>
          <w:szCs w:val="20"/>
          <w:lang w:val="en-US"/>
        </w:rPr>
      </w:pPr>
    </w:p>
    <w:p w:rsidR="00630088" w:rsidRPr="00BD53C8" w:rsidRDefault="00630088" w:rsidP="002918CE">
      <w:pPr>
        <w:pStyle w:val="Normal2"/>
        <w:overflowPunct/>
        <w:autoSpaceDE/>
        <w:autoSpaceDN/>
        <w:adjustRightInd/>
        <w:spacing w:before="0" w:after="0" w:line="360" w:lineRule="auto"/>
        <w:ind w:left="6480"/>
        <w:jc w:val="right"/>
        <w:textAlignment w:val="auto"/>
        <w:rPr>
          <w:color w:val="000000"/>
          <w:lang w:val="en-GB" w:eastAsia="el-GR"/>
        </w:rPr>
      </w:pPr>
      <w:r w:rsidRPr="00BD53C8">
        <w:rPr>
          <w:color w:val="000000"/>
          <w:lang w:val="en-GB" w:eastAsia="el-GR"/>
        </w:rPr>
        <w:t xml:space="preserve">Athens, </w:t>
      </w:r>
      <w:r w:rsidR="00977CEA" w:rsidRPr="00BD53C8">
        <w:rPr>
          <w:color w:val="000000"/>
          <w:lang w:val="en-US" w:eastAsia="el-GR"/>
        </w:rPr>
        <w:t>March</w:t>
      </w:r>
      <w:r w:rsidRPr="00BD53C8">
        <w:rPr>
          <w:color w:val="000000"/>
          <w:lang w:val="en-GB" w:eastAsia="el-GR"/>
        </w:rPr>
        <w:t xml:space="preserve"> </w:t>
      </w:r>
      <w:r w:rsidR="007D74FA" w:rsidRPr="00BD53C8">
        <w:rPr>
          <w:color w:val="000000"/>
          <w:lang w:val="en-US" w:eastAsia="el-GR"/>
        </w:rPr>
        <w:t>2</w:t>
      </w:r>
      <w:r w:rsidR="00977CEA" w:rsidRPr="00BD53C8">
        <w:rPr>
          <w:color w:val="000000"/>
          <w:lang w:val="en-US" w:eastAsia="el-GR"/>
        </w:rPr>
        <w:t>6</w:t>
      </w:r>
      <w:r w:rsidR="0068499F" w:rsidRPr="00BD53C8">
        <w:rPr>
          <w:color w:val="000000"/>
          <w:vertAlign w:val="superscript"/>
          <w:lang w:val="en-US" w:eastAsia="el-GR"/>
        </w:rPr>
        <w:t>th</w:t>
      </w:r>
      <w:r w:rsidRPr="00BD53C8">
        <w:rPr>
          <w:color w:val="000000"/>
          <w:lang w:val="en-US" w:eastAsia="el-GR"/>
        </w:rPr>
        <w:t xml:space="preserve">, </w:t>
      </w:r>
      <w:r w:rsidRPr="00BD53C8">
        <w:rPr>
          <w:color w:val="000000"/>
          <w:lang w:val="en-GB" w:eastAsia="el-GR"/>
        </w:rPr>
        <w:t>20</w:t>
      </w:r>
      <w:r w:rsidR="00480953" w:rsidRPr="00BD53C8">
        <w:rPr>
          <w:color w:val="000000"/>
          <w:lang w:val="en-GB" w:eastAsia="el-GR"/>
        </w:rPr>
        <w:t>1</w:t>
      </w:r>
      <w:r w:rsidR="00001E40" w:rsidRPr="00BD53C8">
        <w:rPr>
          <w:color w:val="000000"/>
          <w:lang w:val="en-GB" w:eastAsia="el-GR"/>
        </w:rPr>
        <w:t>4</w:t>
      </w:r>
    </w:p>
    <w:p w:rsidR="00630088" w:rsidRPr="00BD53C8" w:rsidRDefault="00630088" w:rsidP="00630088">
      <w:pPr>
        <w:pStyle w:val="Normal2"/>
        <w:overflowPunct/>
        <w:autoSpaceDE/>
        <w:autoSpaceDN/>
        <w:adjustRightInd/>
        <w:spacing w:before="0" w:after="0" w:line="360" w:lineRule="auto"/>
        <w:ind w:left="6480"/>
        <w:textAlignment w:val="auto"/>
        <w:rPr>
          <w:rFonts w:cs="Tahoma"/>
          <w:szCs w:val="24"/>
          <w:lang w:val="en-GB"/>
        </w:rPr>
      </w:pPr>
    </w:p>
    <w:p w:rsidR="000C47D3" w:rsidRDefault="000C47D3" w:rsidP="00FA231D">
      <w:pPr>
        <w:pStyle w:val="Heading1"/>
        <w:spacing w:line="360" w:lineRule="auto"/>
        <w:rPr>
          <w:rFonts w:ascii="Verdana" w:hAnsi="Verdana"/>
          <w:sz w:val="22"/>
          <w:szCs w:val="22"/>
          <w:lang w:val="en-GB"/>
        </w:rPr>
      </w:pPr>
    </w:p>
    <w:p w:rsidR="00F8667A" w:rsidRPr="000C47D3" w:rsidRDefault="00DB6D6A" w:rsidP="00FA231D">
      <w:pPr>
        <w:pStyle w:val="Heading1"/>
        <w:spacing w:line="360" w:lineRule="auto"/>
        <w:rPr>
          <w:rFonts w:ascii="Verdana" w:hAnsi="Verdana"/>
          <w:sz w:val="24"/>
          <w:lang w:val="en-GB"/>
        </w:rPr>
      </w:pPr>
      <w:r w:rsidRPr="000C47D3">
        <w:rPr>
          <w:rFonts w:ascii="Verdana" w:hAnsi="Verdana"/>
          <w:sz w:val="24"/>
          <w:lang w:val="en-GB"/>
        </w:rPr>
        <w:t xml:space="preserve">Press Release </w:t>
      </w:r>
    </w:p>
    <w:p w:rsidR="00FA231D" w:rsidRPr="00BD53C8" w:rsidRDefault="00FA231D" w:rsidP="00FA231D"/>
    <w:p w:rsidR="00977CEA" w:rsidRPr="00BD53C8" w:rsidRDefault="00977CEA" w:rsidP="00FA231D"/>
    <w:p w:rsidR="005B6418" w:rsidRPr="00BD53C8" w:rsidRDefault="000C47D3" w:rsidP="000C47D3">
      <w:pPr>
        <w:tabs>
          <w:tab w:val="right" w:pos="9978"/>
        </w:tabs>
        <w:spacing w:before="100" w:beforeAutospacing="1" w:after="100" w:afterAutospacing="1" w:line="360" w:lineRule="auto"/>
        <w:jc w:val="both"/>
        <w:rPr>
          <w:rFonts w:ascii="Verdana" w:hAnsi="Verdana"/>
          <w:sz w:val="20"/>
          <w:szCs w:val="20"/>
          <w:lang w:val="en-US"/>
        </w:rPr>
      </w:pPr>
      <w:r>
        <w:rPr>
          <w:rFonts w:ascii="Verdana" w:hAnsi="Verdana"/>
          <w:sz w:val="20"/>
          <w:szCs w:val="20"/>
          <w:lang w:val="en-US"/>
        </w:rPr>
        <w:t xml:space="preserve">The </w:t>
      </w:r>
      <w:r>
        <w:rPr>
          <w:rFonts w:ascii="Verdana" w:hAnsi="Verdana"/>
          <w:sz w:val="20"/>
          <w:szCs w:val="20"/>
          <w:lang w:val="en-US"/>
        </w:rPr>
        <w:t>Steering Committee of Hellenic Exchanges – Athens Stock Exchange</w:t>
      </w:r>
      <w:r w:rsidR="005B6418" w:rsidRPr="00BD53C8">
        <w:rPr>
          <w:rFonts w:ascii="Verdana" w:hAnsi="Verdana"/>
          <w:sz w:val="20"/>
          <w:szCs w:val="20"/>
          <w:lang w:val="en-US" w:eastAsia="el-GR"/>
        </w:rPr>
        <w:t>, during its session on March 26</w:t>
      </w:r>
      <w:r w:rsidR="005B6418" w:rsidRPr="00A64795">
        <w:rPr>
          <w:rFonts w:ascii="Verdana" w:hAnsi="Verdana"/>
          <w:sz w:val="20"/>
          <w:szCs w:val="20"/>
          <w:vertAlign w:val="superscript"/>
          <w:lang w:val="en-US" w:eastAsia="el-GR"/>
        </w:rPr>
        <w:t>th</w:t>
      </w:r>
      <w:r w:rsidR="005B6418" w:rsidRPr="00BD53C8">
        <w:rPr>
          <w:rFonts w:ascii="Verdana" w:hAnsi="Verdana"/>
          <w:sz w:val="20"/>
          <w:szCs w:val="20"/>
          <w:lang w:val="en-US" w:eastAsia="el-GR"/>
        </w:rPr>
        <w:t xml:space="preserve">, </w:t>
      </w:r>
      <w:r w:rsidR="005B6418" w:rsidRPr="00BD53C8">
        <w:rPr>
          <w:rFonts w:ascii="Verdana" w:hAnsi="Verdana"/>
          <w:color w:val="000000"/>
          <w:sz w:val="20"/>
          <w:szCs w:val="20"/>
          <w:lang w:val="en-US" w:eastAsia="el-GR"/>
        </w:rPr>
        <w:t xml:space="preserve">2014, </w:t>
      </w:r>
      <w:r w:rsidR="005B6418" w:rsidRPr="00BD53C8">
        <w:rPr>
          <w:rFonts w:ascii="Verdana" w:hAnsi="Verdana"/>
          <w:sz w:val="20"/>
          <w:szCs w:val="20"/>
          <w:lang w:val="en-US"/>
        </w:rPr>
        <w:t>approved the admission to trading of</w:t>
      </w:r>
      <w:r w:rsidR="008866EE">
        <w:rPr>
          <w:rFonts w:ascii="Verdana" w:hAnsi="Verdana"/>
          <w:sz w:val="20"/>
          <w:szCs w:val="20"/>
          <w:lang w:val="en-US"/>
        </w:rPr>
        <w:t xml:space="preserve"> </w:t>
      </w:r>
      <w:r w:rsidR="00131375" w:rsidRPr="00BD53C8">
        <w:rPr>
          <w:rFonts w:ascii="Verdana" w:hAnsi="Verdana"/>
          <w:b/>
          <w:sz w:val="20"/>
          <w:szCs w:val="20"/>
          <w:lang w:val="en-US"/>
        </w:rPr>
        <w:t>27,2</w:t>
      </w:r>
      <w:r w:rsidR="005B6418" w:rsidRPr="00BD53C8">
        <w:rPr>
          <w:rFonts w:ascii="Verdana" w:hAnsi="Verdana"/>
          <w:b/>
          <w:sz w:val="20"/>
          <w:szCs w:val="20"/>
          <w:lang w:val="en-US"/>
        </w:rPr>
        <w:t>00,000</w:t>
      </w:r>
      <w:r w:rsidR="00131375" w:rsidRPr="00BD53C8">
        <w:rPr>
          <w:rFonts w:ascii="Verdana" w:hAnsi="Verdana"/>
          <w:sz w:val="20"/>
          <w:szCs w:val="20"/>
          <w:lang w:val="en-US"/>
        </w:rPr>
        <w:t xml:space="preserve"> </w:t>
      </w:r>
      <w:r w:rsidR="005B6418" w:rsidRPr="00BD53C8">
        <w:rPr>
          <w:rFonts w:ascii="Verdana" w:hAnsi="Verdana"/>
          <w:sz w:val="20"/>
          <w:szCs w:val="20"/>
          <w:lang w:val="en-US"/>
        </w:rPr>
        <w:t xml:space="preserve">new common registered shares of the company </w:t>
      </w:r>
      <w:r w:rsidR="005B6418" w:rsidRPr="00BD53C8">
        <w:rPr>
          <w:rFonts w:ascii="Verdana" w:hAnsi="Verdana"/>
          <w:b/>
          <w:sz w:val="20"/>
          <w:szCs w:val="20"/>
          <w:lang w:val="en-US"/>
        </w:rPr>
        <w:t>"KATHIMERINI PUBLISHING S.A."</w:t>
      </w:r>
      <w:r w:rsidR="005B6418" w:rsidRPr="00BD53C8">
        <w:rPr>
          <w:rFonts w:ascii="Verdana" w:hAnsi="Verdana"/>
          <w:sz w:val="20"/>
          <w:szCs w:val="20"/>
          <w:lang w:val="en-US"/>
        </w:rPr>
        <w:t xml:space="preserve">, following the share capital increase carried out through a rights issue. The start date of trading of the new shares is set on </w:t>
      </w:r>
      <w:r w:rsidR="005B6418" w:rsidRPr="00BD53C8">
        <w:rPr>
          <w:rFonts w:ascii="Verdana" w:hAnsi="Verdana"/>
          <w:b/>
          <w:sz w:val="20"/>
          <w:szCs w:val="20"/>
          <w:lang w:val="en-US"/>
        </w:rPr>
        <w:t>March 28</w:t>
      </w:r>
      <w:r w:rsidR="005B6418" w:rsidRPr="00A64795">
        <w:rPr>
          <w:rFonts w:ascii="Verdana" w:hAnsi="Verdana"/>
          <w:b/>
          <w:sz w:val="20"/>
          <w:szCs w:val="20"/>
          <w:vertAlign w:val="superscript"/>
          <w:lang w:val="en-US"/>
        </w:rPr>
        <w:t>th</w:t>
      </w:r>
      <w:r w:rsidR="005B6418" w:rsidRPr="00BD53C8">
        <w:rPr>
          <w:rFonts w:ascii="Verdana" w:hAnsi="Verdana"/>
          <w:b/>
          <w:sz w:val="20"/>
          <w:szCs w:val="20"/>
          <w:lang w:val="en-US"/>
        </w:rPr>
        <w:t>, 2014.</w:t>
      </w:r>
    </w:p>
    <w:p w:rsidR="009205DF" w:rsidRDefault="00977CEA" w:rsidP="000C47D3">
      <w:pPr>
        <w:tabs>
          <w:tab w:val="right" w:pos="9978"/>
        </w:tabs>
        <w:spacing w:before="100" w:beforeAutospacing="1" w:after="100" w:afterAutospacing="1" w:line="360" w:lineRule="auto"/>
        <w:jc w:val="both"/>
        <w:rPr>
          <w:rFonts w:ascii="Verdana" w:hAnsi="Verdana"/>
          <w:sz w:val="20"/>
          <w:szCs w:val="20"/>
          <w:lang w:val="en-US"/>
        </w:rPr>
      </w:pPr>
      <w:r w:rsidRPr="00BD53C8">
        <w:rPr>
          <w:rFonts w:ascii="Verdana" w:hAnsi="Verdana"/>
          <w:sz w:val="20"/>
          <w:szCs w:val="20"/>
          <w:lang w:val="en-US" w:eastAsia="el-GR"/>
        </w:rPr>
        <w:t xml:space="preserve">Moreover, </w:t>
      </w:r>
      <w:r w:rsidR="000C47D3">
        <w:rPr>
          <w:rFonts w:ascii="Verdana" w:hAnsi="Verdana"/>
          <w:sz w:val="20"/>
          <w:szCs w:val="20"/>
          <w:lang w:val="en-US" w:eastAsia="el-GR"/>
        </w:rPr>
        <w:t xml:space="preserve">the Committee </w:t>
      </w:r>
      <w:r w:rsidR="00920101" w:rsidRPr="00BD53C8">
        <w:rPr>
          <w:rFonts w:ascii="Verdana" w:hAnsi="Verdana"/>
          <w:sz w:val="20"/>
          <w:szCs w:val="20"/>
          <w:lang w:val="en-US" w:eastAsia="el-GR"/>
        </w:rPr>
        <w:t xml:space="preserve">during </w:t>
      </w:r>
      <w:r w:rsidRPr="00BD53C8">
        <w:rPr>
          <w:rFonts w:ascii="Verdana" w:hAnsi="Verdana"/>
          <w:sz w:val="20"/>
          <w:szCs w:val="20"/>
          <w:lang w:val="en-US" w:eastAsia="el-GR"/>
        </w:rPr>
        <w:t xml:space="preserve">today’s session, was also informed </w:t>
      </w:r>
      <w:r w:rsidR="00920101" w:rsidRPr="00BD53C8">
        <w:rPr>
          <w:rFonts w:ascii="Verdana" w:hAnsi="Verdana"/>
          <w:sz w:val="20"/>
          <w:szCs w:val="20"/>
          <w:lang w:val="en-US"/>
        </w:rPr>
        <w:t>of</w:t>
      </w:r>
      <w:r w:rsidR="000C47D3">
        <w:rPr>
          <w:rFonts w:ascii="Verdana" w:hAnsi="Verdana"/>
          <w:sz w:val="20"/>
          <w:szCs w:val="20"/>
          <w:lang w:val="en-US"/>
        </w:rPr>
        <w:t xml:space="preserve"> </w:t>
      </w:r>
      <w:r w:rsidR="005B6418" w:rsidRPr="00BD53C8">
        <w:rPr>
          <w:rFonts w:ascii="Verdana" w:hAnsi="Verdana"/>
          <w:sz w:val="20"/>
          <w:szCs w:val="20"/>
          <w:lang w:val="en-US"/>
        </w:rPr>
        <w:t>t</w:t>
      </w:r>
      <w:r w:rsidRPr="00BD53C8">
        <w:rPr>
          <w:rFonts w:ascii="Verdana" w:hAnsi="Verdana"/>
          <w:sz w:val="20"/>
          <w:szCs w:val="20"/>
          <w:lang w:val="en-US"/>
        </w:rPr>
        <w:t>he increase in the par value of the shares of the company</w:t>
      </w:r>
      <w:r w:rsidR="00920101" w:rsidRPr="00BD53C8">
        <w:rPr>
          <w:rFonts w:ascii="Verdana" w:hAnsi="Verdana"/>
          <w:sz w:val="20"/>
          <w:szCs w:val="20"/>
          <w:lang w:val="en-US"/>
        </w:rPr>
        <w:t xml:space="preserve"> </w:t>
      </w:r>
      <w:r w:rsidR="00920101" w:rsidRPr="00BD53C8">
        <w:rPr>
          <w:rFonts w:ascii="Verdana" w:hAnsi="Verdana"/>
          <w:b/>
          <w:sz w:val="20"/>
          <w:szCs w:val="20"/>
          <w:lang w:val="en-US"/>
        </w:rPr>
        <w:t>"</w:t>
      </w:r>
      <w:r w:rsidRPr="00BD53C8">
        <w:rPr>
          <w:rFonts w:ascii="Verdana" w:hAnsi="Verdana"/>
          <w:b/>
          <w:sz w:val="20"/>
          <w:szCs w:val="20"/>
          <w:lang w:val="en-US"/>
        </w:rPr>
        <w:t>GR.SARANTIS S.A.</w:t>
      </w:r>
      <w:r w:rsidR="00920101" w:rsidRPr="00BD53C8">
        <w:rPr>
          <w:rFonts w:ascii="Verdana" w:hAnsi="Verdana"/>
          <w:b/>
          <w:sz w:val="20"/>
          <w:szCs w:val="20"/>
          <w:lang w:val="en-US"/>
        </w:rPr>
        <w:t>"</w:t>
      </w:r>
      <w:r w:rsidRPr="00BD53C8">
        <w:rPr>
          <w:rFonts w:ascii="Verdana" w:hAnsi="Verdana"/>
          <w:sz w:val="20"/>
          <w:szCs w:val="20"/>
          <w:lang w:val="en-US"/>
        </w:rPr>
        <w:t xml:space="preserve"> </w:t>
      </w:r>
      <w:bookmarkStart w:id="0" w:name="_GoBack"/>
      <w:bookmarkEnd w:id="0"/>
      <w:r w:rsidR="008866EE" w:rsidRPr="00BD53C8">
        <w:rPr>
          <w:rFonts w:ascii="Verdana" w:hAnsi="Verdana"/>
          <w:sz w:val="20"/>
          <w:szCs w:val="20"/>
          <w:lang w:val="en-US"/>
        </w:rPr>
        <w:t>from €</w:t>
      </w:r>
      <w:r w:rsidRPr="00BD53C8">
        <w:rPr>
          <w:rFonts w:ascii="Verdana" w:hAnsi="Verdana"/>
          <w:sz w:val="20"/>
          <w:szCs w:val="20"/>
          <w:lang w:val="en-US"/>
        </w:rPr>
        <w:t xml:space="preserve"> 1</w:t>
      </w:r>
      <w:r w:rsidR="005B6418" w:rsidRPr="00BD53C8">
        <w:rPr>
          <w:rFonts w:ascii="Verdana" w:hAnsi="Verdana"/>
          <w:sz w:val="20"/>
          <w:szCs w:val="20"/>
          <w:lang w:val="en-US"/>
        </w:rPr>
        <w:t>.</w:t>
      </w:r>
      <w:r w:rsidRPr="00BD53C8">
        <w:rPr>
          <w:rFonts w:ascii="Verdana" w:hAnsi="Verdana"/>
          <w:sz w:val="20"/>
          <w:szCs w:val="20"/>
          <w:lang w:val="en-US"/>
        </w:rPr>
        <w:t xml:space="preserve">54 </w:t>
      </w:r>
      <w:r w:rsidRPr="00BD53C8">
        <w:rPr>
          <w:rFonts w:ascii="Verdana" w:hAnsi="Verdana"/>
          <w:sz w:val="20"/>
          <w:szCs w:val="20"/>
          <w:lang w:val="el-GR"/>
        </w:rPr>
        <w:t>το</w:t>
      </w:r>
      <w:r w:rsidRPr="00BD53C8">
        <w:rPr>
          <w:rFonts w:ascii="Verdana" w:hAnsi="Verdana"/>
          <w:sz w:val="20"/>
          <w:szCs w:val="20"/>
          <w:lang w:val="en-US"/>
        </w:rPr>
        <w:t xml:space="preserve"> </w:t>
      </w:r>
      <w:r w:rsidRPr="00BD53C8">
        <w:rPr>
          <w:rFonts w:ascii="Verdana" w:hAnsi="Verdana"/>
          <w:b/>
          <w:sz w:val="20"/>
          <w:szCs w:val="20"/>
          <w:lang w:val="en-US"/>
        </w:rPr>
        <w:t>€ 1</w:t>
      </w:r>
      <w:r w:rsidR="005B6418" w:rsidRPr="00BD53C8">
        <w:rPr>
          <w:rFonts w:ascii="Verdana" w:hAnsi="Verdana"/>
          <w:b/>
          <w:sz w:val="20"/>
          <w:szCs w:val="20"/>
          <w:lang w:val="en-US"/>
        </w:rPr>
        <w:t>.</w:t>
      </w:r>
      <w:r w:rsidRPr="00BD53C8">
        <w:rPr>
          <w:rFonts w:ascii="Verdana" w:hAnsi="Verdana"/>
          <w:b/>
          <w:sz w:val="20"/>
          <w:szCs w:val="20"/>
          <w:lang w:val="en-US"/>
        </w:rPr>
        <w:t>55</w:t>
      </w:r>
      <w:r w:rsidRPr="00BD53C8">
        <w:rPr>
          <w:rFonts w:ascii="Verdana" w:hAnsi="Verdana"/>
          <w:sz w:val="20"/>
          <w:szCs w:val="20"/>
          <w:lang w:val="en-US"/>
        </w:rPr>
        <w:t xml:space="preserve"> per share. The start date of trading of the existing shares under their new par value of € 1</w:t>
      </w:r>
      <w:r w:rsidR="005B6418" w:rsidRPr="00BD53C8">
        <w:rPr>
          <w:rFonts w:ascii="Verdana" w:hAnsi="Verdana"/>
          <w:sz w:val="20"/>
          <w:szCs w:val="20"/>
          <w:lang w:val="en-US"/>
        </w:rPr>
        <w:t>.</w:t>
      </w:r>
      <w:r w:rsidRPr="00BD53C8">
        <w:rPr>
          <w:rFonts w:ascii="Verdana" w:hAnsi="Verdana"/>
          <w:sz w:val="20"/>
          <w:szCs w:val="20"/>
          <w:lang w:val="en-US"/>
        </w:rPr>
        <w:t xml:space="preserve">55 per share is set on </w:t>
      </w:r>
      <w:r w:rsidRPr="00BD53C8">
        <w:rPr>
          <w:rFonts w:ascii="Verdana" w:hAnsi="Verdana"/>
          <w:b/>
          <w:sz w:val="20"/>
          <w:szCs w:val="20"/>
          <w:lang w:val="en-US"/>
        </w:rPr>
        <w:t>April 1</w:t>
      </w:r>
      <w:r w:rsidR="005B6418" w:rsidRPr="00A64795">
        <w:rPr>
          <w:rFonts w:ascii="Verdana" w:hAnsi="Verdana"/>
          <w:b/>
          <w:sz w:val="20"/>
          <w:szCs w:val="20"/>
          <w:vertAlign w:val="superscript"/>
          <w:lang w:val="en-US"/>
        </w:rPr>
        <w:t>st</w:t>
      </w:r>
      <w:r w:rsidRPr="00BD53C8">
        <w:rPr>
          <w:rFonts w:ascii="Verdana" w:hAnsi="Verdana"/>
          <w:b/>
          <w:sz w:val="20"/>
          <w:szCs w:val="20"/>
          <w:lang w:val="en-US"/>
        </w:rPr>
        <w:t>, 2014</w:t>
      </w:r>
      <w:r w:rsidRPr="00BD53C8">
        <w:rPr>
          <w:rFonts w:ascii="Verdana" w:hAnsi="Verdana"/>
          <w:sz w:val="20"/>
          <w:szCs w:val="20"/>
          <w:lang w:val="en-US"/>
        </w:rPr>
        <w:t>.</w:t>
      </w:r>
    </w:p>
    <w:p w:rsidR="000C47D3" w:rsidRDefault="000C47D3" w:rsidP="000C47D3">
      <w:pPr>
        <w:spacing w:afterLines="200" w:after="480" w:line="360" w:lineRule="auto"/>
        <w:jc w:val="both"/>
        <w:rPr>
          <w:rFonts w:ascii="Verdana" w:hAnsi="Verdana"/>
          <w:sz w:val="20"/>
          <w:szCs w:val="20"/>
          <w:lang w:val="en-US"/>
        </w:rPr>
      </w:pPr>
      <w:r>
        <w:rPr>
          <w:rFonts w:ascii="Verdana" w:hAnsi="Verdana"/>
          <w:sz w:val="20"/>
          <w:szCs w:val="20"/>
          <w:lang w:eastAsia="el-GR"/>
        </w:rPr>
        <w:t>Finally</w:t>
      </w:r>
      <w:r>
        <w:rPr>
          <w:rFonts w:ascii="Verdana" w:hAnsi="Verdana"/>
          <w:sz w:val="20"/>
          <w:szCs w:val="20"/>
          <w:lang w:eastAsia="el-GR"/>
        </w:rPr>
        <w:t xml:space="preserve">, </w:t>
      </w:r>
      <w:r>
        <w:rPr>
          <w:rFonts w:ascii="Verdana" w:hAnsi="Verdana"/>
          <w:sz w:val="20"/>
          <w:szCs w:val="20"/>
          <w:lang w:val="en-US" w:eastAsia="el-GR"/>
        </w:rPr>
        <w:t>the Steering Committee of HELEX</w:t>
      </w:r>
      <w:r>
        <w:rPr>
          <w:rFonts w:ascii="Verdana" w:hAnsi="Verdana"/>
          <w:sz w:val="20"/>
          <w:szCs w:val="20"/>
          <w:lang w:val="en-US" w:eastAsia="el-GR"/>
        </w:rPr>
        <w:t>, during today’s session</w:t>
      </w:r>
      <w:r>
        <w:rPr>
          <w:rFonts w:ascii="Verdana" w:hAnsi="Verdana"/>
          <w:color w:val="000000"/>
          <w:sz w:val="20"/>
          <w:szCs w:val="20"/>
          <w:lang w:val="en-US" w:eastAsia="el-GR"/>
        </w:rPr>
        <w:t xml:space="preserve">, </w:t>
      </w:r>
      <w:r>
        <w:rPr>
          <w:rFonts w:ascii="Verdana" w:hAnsi="Verdana"/>
          <w:sz w:val="20"/>
          <w:szCs w:val="20"/>
          <w:lang w:val="en-US"/>
        </w:rPr>
        <w:t xml:space="preserve">taking into consideration the needs of </w:t>
      </w:r>
      <w:r>
        <w:rPr>
          <w:rFonts w:ascii="Verdana" w:hAnsi="Verdana"/>
          <w:sz w:val="20"/>
          <w:szCs w:val="20"/>
          <w:lang w:val="en-US"/>
        </w:rPr>
        <w:t xml:space="preserve">the stock exchange market, the </w:t>
      </w:r>
      <w:r>
        <w:rPr>
          <w:rFonts w:ascii="Verdana" w:hAnsi="Verdana"/>
          <w:sz w:val="20"/>
          <w:szCs w:val="20"/>
        </w:rPr>
        <w:t>impact</w:t>
      </w:r>
      <w:r>
        <w:rPr>
          <w:rFonts w:ascii="Verdana" w:hAnsi="Verdana"/>
          <w:sz w:val="20"/>
          <w:szCs w:val="20"/>
          <w:lang w:val="en-US"/>
        </w:rPr>
        <w:t xml:space="preserve"> of the share price adjustment rules on the adjustment of stock exchange indices and related products, as well as, the international practice, approved the erasure of share price adjustments for all kinds of share capital increases through a private placement from the relevant standing resolution No. 26 of the ATHEX </w:t>
      </w:r>
      <w:proofErr w:type="spellStart"/>
      <w:r>
        <w:rPr>
          <w:rFonts w:ascii="Verdana" w:hAnsi="Verdana"/>
          <w:sz w:val="20"/>
          <w:szCs w:val="20"/>
          <w:lang w:val="en-US"/>
        </w:rPr>
        <w:t>BoD</w:t>
      </w:r>
      <w:proofErr w:type="spellEnd"/>
      <w:r>
        <w:rPr>
          <w:rFonts w:ascii="Verdana" w:hAnsi="Verdana"/>
          <w:sz w:val="20"/>
          <w:szCs w:val="20"/>
          <w:lang w:val="en-US"/>
        </w:rPr>
        <w:t>.</w:t>
      </w:r>
    </w:p>
    <w:p w:rsidR="000C47D3" w:rsidRPr="00BD53C8" w:rsidRDefault="000C47D3" w:rsidP="000C47D3">
      <w:pPr>
        <w:tabs>
          <w:tab w:val="right" w:pos="9978"/>
        </w:tabs>
        <w:spacing w:before="100" w:beforeAutospacing="1" w:after="100" w:afterAutospacing="1" w:line="360" w:lineRule="auto"/>
        <w:jc w:val="both"/>
        <w:rPr>
          <w:rFonts w:ascii="Verdana" w:hAnsi="Verdana"/>
          <w:sz w:val="20"/>
          <w:szCs w:val="20"/>
          <w:lang w:val="en-US"/>
        </w:rPr>
      </w:pPr>
    </w:p>
    <w:p w:rsidR="00726D8B" w:rsidRPr="00A64795" w:rsidRDefault="00726D8B" w:rsidP="00726D8B">
      <w:pPr>
        <w:spacing w:line="360" w:lineRule="auto"/>
        <w:jc w:val="both"/>
        <w:rPr>
          <w:rFonts w:ascii="Verdana" w:hAnsi="Verdana"/>
          <w:sz w:val="20"/>
          <w:szCs w:val="20"/>
          <w:lang w:val="en-US"/>
        </w:rPr>
      </w:pPr>
    </w:p>
    <w:p w:rsidR="00726D8B" w:rsidRPr="00A64795" w:rsidRDefault="00726D8B" w:rsidP="00726D8B">
      <w:pPr>
        <w:spacing w:line="360" w:lineRule="auto"/>
        <w:jc w:val="both"/>
        <w:rPr>
          <w:rFonts w:ascii="Verdana" w:hAnsi="Verdana"/>
          <w:sz w:val="20"/>
          <w:szCs w:val="20"/>
          <w:lang w:val="en-US"/>
        </w:rPr>
      </w:pPr>
    </w:p>
    <w:sectPr w:rsidR="00726D8B" w:rsidRPr="00A64795" w:rsidSect="00E90C5D">
      <w:headerReference w:type="default" r:id="rId8"/>
      <w:footerReference w:type="default" r:id="rId9"/>
      <w:pgSz w:w="11906" w:h="16838"/>
      <w:pgMar w:top="-1276" w:right="964" w:bottom="851" w:left="964" w:header="567"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3F" w:rsidRDefault="00AA253F">
      <w:r>
        <w:separator/>
      </w:r>
    </w:p>
  </w:endnote>
  <w:endnote w:type="continuationSeparator" w:id="0">
    <w:p w:rsidR="00AA253F" w:rsidRDefault="00AA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A1"/>
    <w:family w:val="swiss"/>
    <w:pitch w:val="variable"/>
    <w:sig w:usb0="A1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09" w:rsidRDefault="00D83F09">
    <w:pPr>
      <w:pStyle w:val="Footer"/>
      <w:rPr>
        <w:lang w:val="el-GR"/>
      </w:rPr>
    </w:pPr>
    <w:r>
      <w:rPr>
        <w:lang w:val="el-GR"/>
      </w:rPr>
      <w:tab/>
    </w:r>
    <w:r>
      <w:rPr>
        <w:lang w:val="el-GR"/>
      </w:rPr>
      <w:tab/>
    </w:r>
    <w:r>
      <w:rPr>
        <w:lang w:val="el-GR"/>
      </w:rPr>
      <w:tab/>
    </w:r>
    <w:r>
      <w:rPr>
        <w:rStyle w:val="PageNumber"/>
      </w:rPr>
      <w:fldChar w:fldCharType="begin"/>
    </w:r>
    <w:r>
      <w:rPr>
        <w:rStyle w:val="PageNumber"/>
      </w:rPr>
      <w:instrText xml:space="preserve"> PAGE </w:instrText>
    </w:r>
    <w:r>
      <w:rPr>
        <w:rStyle w:val="PageNumber"/>
      </w:rPr>
      <w:fldChar w:fldCharType="separate"/>
    </w:r>
    <w:r w:rsidR="008866E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3F" w:rsidRDefault="00AA253F">
      <w:r>
        <w:separator/>
      </w:r>
    </w:p>
  </w:footnote>
  <w:footnote w:type="continuationSeparator" w:id="0">
    <w:p w:rsidR="00AA253F" w:rsidRDefault="00AA2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F09" w:rsidRDefault="00D83F09">
    <w:pPr>
      <w:pStyle w:val="Header"/>
      <w:rPr>
        <w:lang w:val="el-GR"/>
      </w:rPr>
    </w:pPr>
  </w:p>
  <w:p w:rsidR="00D83F09" w:rsidRDefault="00D83F09">
    <w:pPr>
      <w:pStyle w:val="Header"/>
      <w:rPr>
        <w:rFonts w:ascii="Tahoma" w:hAnsi="Tahoma" w:cs="Tahoma"/>
        <w:b/>
        <w:bCs/>
        <w:sz w:val="28"/>
        <w:lang w:val="el-GR"/>
      </w:rPr>
    </w:pPr>
  </w:p>
  <w:p w:rsidR="00D83F09" w:rsidRDefault="00D83F09">
    <w:pPr>
      <w:pStyle w:val="Header"/>
      <w:rPr>
        <w:rFonts w:ascii="Tahoma" w:hAnsi="Tahoma" w:cs="Tahoma"/>
        <w:b/>
        <w:bCs/>
        <w:sz w:val="28"/>
        <w:lang w:val="el-GR"/>
      </w:rPr>
    </w:pPr>
  </w:p>
  <w:p w:rsidR="00D83F09" w:rsidRDefault="00D83F09">
    <w:pPr>
      <w:pStyle w:val="Header"/>
      <w:rPr>
        <w:rFonts w:ascii="Tahoma" w:hAnsi="Tahoma" w:cs="Tahoma"/>
        <w:b/>
        <w:bCs/>
        <w:sz w:val="28"/>
        <w:lang w:val="el-GR"/>
      </w:rPr>
    </w:pPr>
  </w:p>
  <w:p w:rsidR="00D83F09" w:rsidRDefault="00D83F09">
    <w:pPr>
      <w:pStyle w:val="Header"/>
      <w:rPr>
        <w:rFonts w:ascii="Tahoma" w:hAnsi="Tahoma" w:cs="Tahoma"/>
        <w:b/>
        <w:bCs/>
        <w:sz w:val="28"/>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BC2"/>
    <w:multiLevelType w:val="hybridMultilevel"/>
    <w:tmpl w:val="9724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0541E8"/>
    <w:multiLevelType w:val="multilevel"/>
    <w:tmpl w:val="A0E88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7759F"/>
    <w:multiLevelType w:val="hybridMultilevel"/>
    <w:tmpl w:val="1A988A26"/>
    <w:lvl w:ilvl="0" w:tplc="62CE124A">
      <w:start w:val="1"/>
      <w:numFmt w:val="bullet"/>
      <w:pStyle w:val="ListBullet3"/>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
    <w:nsid w:val="484A7BDA"/>
    <w:multiLevelType w:val="hybridMultilevel"/>
    <w:tmpl w:val="41A4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22"/>
    <w:rsid w:val="00000C28"/>
    <w:rsid w:val="00001E40"/>
    <w:rsid w:val="00001F79"/>
    <w:rsid w:val="00004575"/>
    <w:rsid w:val="00014D7C"/>
    <w:rsid w:val="0001606D"/>
    <w:rsid w:val="00020306"/>
    <w:rsid w:val="00020B61"/>
    <w:rsid w:val="00020C45"/>
    <w:rsid w:val="00021367"/>
    <w:rsid w:val="00021C1B"/>
    <w:rsid w:val="00023105"/>
    <w:rsid w:val="00023986"/>
    <w:rsid w:val="0002518E"/>
    <w:rsid w:val="000255C8"/>
    <w:rsid w:val="00026FB2"/>
    <w:rsid w:val="000304C6"/>
    <w:rsid w:val="00033588"/>
    <w:rsid w:val="00035CEB"/>
    <w:rsid w:val="00035F3E"/>
    <w:rsid w:val="00042E8B"/>
    <w:rsid w:val="00042F18"/>
    <w:rsid w:val="000457B2"/>
    <w:rsid w:val="00046499"/>
    <w:rsid w:val="00046668"/>
    <w:rsid w:val="00047700"/>
    <w:rsid w:val="00047AEE"/>
    <w:rsid w:val="00050E2F"/>
    <w:rsid w:val="00051786"/>
    <w:rsid w:val="00051D64"/>
    <w:rsid w:val="00052B6E"/>
    <w:rsid w:val="00053F2F"/>
    <w:rsid w:val="000572DD"/>
    <w:rsid w:val="0006029F"/>
    <w:rsid w:val="0006221E"/>
    <w:rsid w:val="00062E1D"/>
    <w:rsid w:val="00065C1A"/>
    <w:rsid w:val="0006616F"/>
    <w:rsid w:val="00070950"/>
    <w:rsid w:val="0007146D"/>
    <w:rsid w:val="00072AAE"/>
    <w:rsid w:val="000768FC"/>
    <w:rsid w:val="00076C96"/>
    <w:rsid w:val="00077F5C"/>
    <w:rsid w:val="00080063"/>
    <w:rsid w:val="00080EF7"/>
    <w:rsid w:val="000812C9"/>
    <w:rsid w:val="0009280D"/>
    <w:rsid w:val="0009365D"/>
    <w:rsid w:val="0009434D"/>
    <w:rsid w:val="000962F7"/>
    <w:rsid w:val="000965F7"/>
    <w:rsid w:val="00097590"/>
    <w:rsid w:val="000A065F"/>
    <w:rsid w:val="000A13B9"/>
    <w:rsid w:val="000A19E2"/>
    <w:rsid w:val="000A22C8"/>
    <w:rsid w:val="000A28AC"/>
    <w:rsid w:val="000A604B"/>
    <w:rsid w:val="000A7133"/>
    <w:rsid w:val="000A786C"/>
    <w:rsid w:val="000B0217"/>
    <w:rsid w:val="000B0D45"/>
    <w:rsid w:val="000B16D4"/>
    <w:rsid w:val="000B1BF0"/>
    <w:rsid w:val="000B70E8"/>
    <w:rsid w:val="000C00D2"/>
    <w:rsid w:val="000C06C0"/>
    <w:rsid w:val="000C372C"/>
    <w:rsid w:val="000C3AE7"/>
    <w:rsid w:val="000C478F"/>
    <w:rsid w:val="000C47D3"/>
    <w:rsid w:val="000C724E"/>
    <w:rsid w:val="000C7521"/>
    <w:rsid w:val="000D1027"/>
    <w:rsid w:val="000D14AA"/>
    <w:rsid w:val="000D1782"/>
    <w:rsid w:val="000D1A37"/>
    <w:rsid w:val="000D2FA2"/>
    <w:rsid w:val="000D3095"/>
    <w:rsid w:val="000D411A"/>
    <w:rsid w:val="000D4EA6"/>
    <w:rsid w:val="000D66BC"/>
    <w:rsid w:val="000D7123"/>
    <w:rsid w:val="000E07E1"/>
    <w:rsid w:val="000E20A7"/>
    <w:rsid w:val="000E43AF"/>
    <w:rsid w:val="000F0B22"/>
    <w:rsid w:val="000F3D2E"/>
    <w:rsid w:val="000F4F3F"/>
    <w:rsid w:val="000F557C"/>
    <w:rsid w:val="000F55BE"/>
    <w:rsid w:val="00104852"/>
    <w:rsid w:val="001050F2"/>
    <w:rsid w:val="0010739E"/>
    <w:rsid w:val="001074B7"/>
    <w:rsid w:val="0011476D"/>
    <w:rsid w:val="00114D17"/>
    <w:rsid w:val="00115881"/>
    <w:rsid w:val="00116D05"/>
    <w:rsid w:val="00121115"/>
    <w:rsid w:val="00121402"/>
    <w:rsid w:val="0012154F"/>
    <w:rsid w:val="001217AB"/>
    <w:rsid w:val="00121881"/>
    <w:rsid w:val="00122630"/>
    <w:rsid w:val="00122FB6"/>
    <w:rsid w:val="001236FC"/>
    <w:rsid w:val="00123CA8"/>
    <w:rsid w:val="0012548D"/>
    <w:rsid w:val="00130128"/>
    <w:rsid w:val="00131375"/>
    <w:rsid w:val="001319D5"/>
    <w:rsid w:val="00131C5C"/>
    <w:rsid w:val="00134F18"/>
    <w:rsid w:val="00134FCB"/>
    <w:rsid w:val="00136954"/>
    <w:rsid w:val="00136BF1"/>
    <w:rsid w:val="00136C9A"/>
    <w:rsid w:val="001372E8"/>
    <w:rsid w:val="001405F0"/>
    <w:rsid w:val="0014216B"/>
    <w:rsid w:val="00144568"/>
    <w:rsid w:val="00144B4D"/>
    <w:rsid w:val="001454BE"/>
    <w:rsid w:val="001456A9"/>
    <w:rsid w:val="001512DF"/>
    <w:rsid w:val="001520B9"/>
    <w:rsid w:val="00153894"/>
    <w:rsid w:val="001544C1"/>
    <w:rsid w:val="0015557C"/>
    <w:rsid w:val="00156429"/>
    <w:rsid w:val="001564E0"/>
    <w:rsid w:val="00157C79"/>
    <w:rsid w:val="001604E3"/>
    <w:rsid w:val="0016312F"/>
    <w:rsid w:val="00166667"/>
    <w:rsid w:val="00166C7D"/>
    <w:rsid w:val="00167C6E"/>
    <w:rsid w:val="00167CDC"/>
    <w:rsid w:val="001700C8"/>
    <w:rsid w:val="0017029C"/>
    <w:rsid w:val="00173930"/>
    <w:rsid w:val="00173E04"/>
    <w:rsid w:val="001740BE"/>
    <w:rsid w:val="00181C27"/>
    <w:rsid w:val="00187051"/>
    <w:rsid w:val="00187C7C"/>
    <w:rsid w:val="00192A44"/>
    <w:rsid w:val="0019342F"/>
    <w:rsid w:val="00194952"/>
    <w:rsid w:val="00195422"/>
    <w:rsid w:val="001972CD"/>
    <w:rsid w:val="001A00A1"/>
    <w:rsid w:val="001A03BA"/>
    <w:rsid w:val="001A052C"/>
    <w:rsid w:val="001A174B"/>
    <w:rsid w:val="001A1A3C"/>
    <w:rsid w:val="001A208D"/>
    <w:rsid w:val="001A23C0"/>
    <w:rsid w:val="001A2D74"/>
    <w:rsid w:val="001A5CD9"/>
    <w:rsid w:val="001A7077"/>
    <w:rsid w:val="001A790B"/>
    <w:rsid w:val="001B29B5"/>
    <w:rsid w:val="001B2CEE"/>
    <w:rsid w:val="001B5954"/>
    <w:rsid w:val="001C16B0"/>
    <w:rsid w:val="001C2DC2"/>
    <w:rsid w:val="001C3219"/>
    <w:rsid w:val="001C392F"/>
    <w:rsid w:val="001C5836"/>
    <w:rsid w:val="001C5C07"/>
    <w:rsid w:val="001C6F6D"/>
    <w:rsid w:val="001C7214"/>
    <w:rsid w:val="001C7EF6"/>
    <w:rsid w:val="001D446A"/>
    <w:rsid w:val="001D5433"/>
    <w:rsid w:val="001E272A"/>
    <w:rsid w:val="001E5644"/>
    <w:rsid w:val="001E60EC"/>
    <w:rsid w:val="001E69D7"/>
    <w:rsid w:val="001F04E9"/>
    <w:rsid w:val="001F08F4"/>
    <w:rsid w:val="001F13A2"/>
    <w:rsid w:val="001F24F0"/>
    <w:rsid w:val="001F32DC"/>
    <w:rsid w:val="001F3866"/>
    <w:rsid w:val="001F7B12"/>
    <w:rsid w:val="0020132B"/>
    <w:rsid w:val="0020289F"/>
    <w:rsid w:val="00204F58"/>
    <w:rsid w:val="00207BE0"/>
    <w:rsid w:val="00214BF6"/>
    <w:rsid w:val="00214DC6"/>
    <w:rsid w:val="00214F1A"/>
    <w:rsid w:val="0021588B"/>
    <w:rsid w:val="002161CF"/>
    <w:rsid w:val="00221C26"/>
    <w:rsid w:val="0022207E"/>
    <w:rsid w:val="0022423A"/>
    <w:rsid w:val="0022476A"/>
    <w:rsid w:val="00230282"/>
    <w:rsid w:val="00230847"/>
    <w:rsid w:val="00230BE6"/>
    <w:rsid w:val="00231AC3"/>
    <w:rsid w:val="002322E8"/>
    <w:rsid w:val="00234CAC"/>
    <w:rsid w:val="00235BBA"/>
    <w:rsid w:val="002368DE"/>
    <w:rsid w:val="002373F1"/>
    <w:rsid w:val="0024379C"/>
    <w:rsid w:val="0024446B"/>
    <w:rsid w:val="00245734"/>
    <w:rsid w:val="002501E9"/>
    <w:rsid w:val="00252359"/>
    <w:rsid w:val="002527C7"/>
    <w:rsid w:val="00253EF6"/>
    <w:rsid w:val="00254DA6"/>
    <w:rsid w:val="00257049"/>
    <w:rsid w:val="00257648"/>
    <w:rsid w:val="00260D80"/>
    <w:rsid w:val="002651A8"/>
    <w:rsid w:val="002652D8"/>
    <w:rsid w:val="002663C6"/>
    <w:rsid w:val="0027005F"/>
    <w:rsid w:val="002762E3"/>
    <w:rsid w:val="002819DA"/>
    <w:rsid w:val="00282A2A"/>
    <w:rsid w:val="00282DA4"/>
    <w:rsid w:val="00283FF2"/>
    <w:rsid w:val="002877B3"/>
    <w:rsid w:val="00290913"/>
    <w:rsid w:val="00291505"/>
    <w:rsid w:val="002918CE"/>
    <w:rsid w:val="002922C9"/>
    <w:rsid w:val="00292D5A"/>
    <w:rsid w:val="00293CE9"/>
    <w:rsid w:val="0029536F"/>
    <w:rsid w:val="002957C1"/>
    <w:rsid w:val="002A0DD1"/>
    <w:rsid w:val="002A18D9"/>
    <w:rsid w:val="002A4F88"/>
    <w:rsid w:val="002A74C1"/>
    <w:rsid w:val="002B0476"/>
    <w:rsid w:val="002B1A61"/>
    <w:rsid w:val="002B1DA3"/>
    <w:rsid w:val="002B51E1"/>
    <w:rsid w:val="002B6673"/>
    <w:rsid w:val="002C152F"/>
    <w:rsid w:val="002C270D"/>
    <w:rsid w:val="002C301F"/>
    <w:rsid w:val="002C6634"/>
    <w:rsid w:val="002C79E1"/>
    <w:rsid w:val="002D0E9A"/>
    <w:rsid w:val="002D136A"/>
    <w:rsid w:val="002D3697"/>
    <w:rsid w:val="002D36D5"/>
    <w:rsid w:val="002D530B"/>
    <w:rsid w:val="002D5B93"/>
    <w:rsid w:val="002D5F48"/>
    <w:rsid w:val="002D709D"/>
    <w:rsid w:val="002E14B3"/>
    <w:rsid w:val="002E17FE"/>
    <w:rsid w:val="002E1D3D"/>
    <w:rsid w:val="002F50D1"/>
    <w:rsid w:val="00300CDE"/>
    <w:rsid w:val="00304274"/>
    <w:rsid w:val="00304F55"/>
    <w:rsid w:val="00305570"/>
    <w:rsid w:val="00307BEB"/>
    <w:rsid w:val="00307E5E"/>
    <w:rsid w:val="00310255"/>
    <w:rsid w:val="00312999"/>
    <w:rsid w:val="00314C4C"/>
    <w:rsid w:val="00316B44"/>
    <w:rsid w:val="00320F32"/>
    <w:rsid w:val="00321625"/>
    <w:rsid w:val="00321FEB"/>
    <w:rsid w:val="003231AC"/>
    <w:rsid w:val="003235CA"/>
    <w:rsid w:val="00325C43"/>
    <w:rsid w:val="003263E2"/>
    <w:rsid w:val="003332D6"/>
    <w:rsid w:val="003348D7"/>
    <w:rsid w:val="0033518E"/>
    <w:rsid w:val="003354C7"/>
    <w:rsid w:val="00335630"/>
    <w:rsid w:val="00335F99"/>
    <w:rsid w:val="003360D4"/>
    <w:rsid w:val="00336AF7"/>
    <w:rsid w:val="00340B5C"/>
    <w:rsid w:val="0034154D"/>
    <w:rsid w:val="00343AEF"/>
    <w:rsid w:val="00344C73"/>
    <w:rsid w:val="00345E10"/>
    <w:rsid w:val="0034777C"/>
    <w:rsid w:val="00350AE0"/>
    <w:rsid w:val="003515E5"/>
    <w:rsid w:val="00351E3E"/>
    <w:rsid w:val="0035288A"/>
    <w:rsid w:val="00352D03"/>
    <w:rsid w:val="00354140"/>
    <w:rsid w:val="00361733"/>
    <w:rsid w:val="0036184D"/>
    <w:rsid w:val="00363AAA"/>
    <w:rsid w:val="003643BE"/>
    <w:rsid w:val="00365556"/>
    <w:rsid w:val="003713EB"/>
    <w:rsid w:val="00372334"/>
    <w:rsid w:val="00373FA8"/>
    <w:rsid w:val="0037420C"/>
    <w:rsid w:val="003752D4"/>
    <w:rsid w:val="00375B0D"/>
    <w:rsid w:val="00375BEE"/>
    <w:rsid w:val="00376832"/>
    <w:rsid w:val="003774AD"/>
    <w:rsid w:val="0037769B"/>
    <w:rsid w:val="00380E63"/>
    <w:rsid w:val="00385E7E"/>
    <w:rsid w:val="00387261"/>
    <w:rsid w:val="003909F8"/>
    <w:rsid w:val="003922C5"/>
    <w:rsid w:val="003937B5"/>
    <w:rsid w:val="00394116"/>
    <w:rsid w:val="00394B84"/>
    <w:rsid w:val="00397B9B"/>
    <w:rsid w:val="003A15E8"/>
    <w:rsid w:val="003A1A54"/>
    <w:rsid w:val="003A3584"/>
    <w:rsid w:val="003A5337"/>
    <w:rsid w:val="003A57C8"/>
    <w:rsid w:val="003A5DF3"/>
    <w:rsid w:val="003A5F08"/>
    <w:rsid w:val="003A6553"/>
    <w:rsid w:val="003B02F0"/>
    <w:rsid w:val="003B05A8"/>
    <w:rsid w:val="003B0DA3"/>
    <w:rsid w:val="003B2F98"/>
    <w:rsid w:val="003B3E68"/>
    <w:rsid w:val="003B5469"/>
    <w:rsid w:val="003B6CEF"/>
    <w:rsid w:val="003B7B58"/>
    <w:rsid w:val="003C06BE"/>
    <w:rsid w:val="003C15A0"/>
    <w:rsid w:val="003C1E14"/>
    <w:rsid w:val="003C5194"/>
    <w:rsid w:val="003C575F"/>
    <w:rsid w:val="003C717F"/>
    <w:rsid w:val="003C7AC7"/>
    <w:rsid w:val="003D1062"/>
    <w:rsid w:val="003D2908"/>
    <w:rsid w:val="003D2A76"/>
    <w:rsid w:val="003D2FD7"/>
    <w:rsid w:val="003D37D0"/>
    <w:rsid w:val="003D450C"/>
    <w:rsid w:val="003D7243"/>
    <w:rsid w:val="003E4799"/>
    <w:rsid w:val="003E4B93"/>
    <w:rsid w:val="003E72A9"/>
    <w:rsid w:val="003F100C"/>
    <w:rsid w:val="003F4A9C"/>
    <w:rsid w:val="003F4AB7"/>
    <w:rsid w:val="003F5F57"/>
    <w:rsid w:val="003F6FB1"/>
    <w:rsid w:val="003F742E"/>
    <w:rsid w:val="003F7DDD"/>
    <w:rsid w:val="00400683"/>
    <w:rsid w:val="004009AB"/>
    <w:rsid w:val="00400F61"/>
    <w:rsid w:val="00401159"/>
    <w:rsid w:val="0040259B"/>
    <w:rsid w:val="004027C7"/>
    <w:rsid w:val="0040303E"/>
    <w:rsid w:val="0040618D"/>
    <w:rsid w:val="004210C4"/>
    <w:rsid w:val="00423D4B"/>
    <w:rsid w:val="00423F5A"/>
    <w:rsid w:val="0042492F"/>
    <w:rsid w:val="00426C2F"/>
    <w:rsid w:val="00431636"/>
    <w:rsid w:val="004319D0"/>
    <w:rsid w:val="004367B8"/>
    <w:rsid w:val="00441870"/>
    <w:rsid w:val="00442FFF"/>
    <w:rsid w:val="0044597E"/>
    <w:rsid w:val="00446C89"/>
    <w:rsid w:val="00450441"/>
    <w:rsid w:val="00450A83"/>
    <w:rsid w:val="00455529"/>
    <w:rsid w:val="00457613"/>
    <w:rsid w:val="00461474"/>
    <w:rsid w:val="00462B21"/>
    <w:rsid w:val="00463DF1"/>
    <w:rsid w:val="00464C8F"/>
    <w:rsid w:val="00465419"/>
    <w:rsid w:val="00466F9B"/>
    <w:rsid w:val="00467619"/>
    <w:rsid w:val="00471DB8"/>
    <w:rsid w:val="00474556"/>
    <w:rsid w:val="00474567"/>
    <w:rsid w:val="0047537D"/>
    <w:rsid w:val="0047612C"/>
    <w:rsid w:val="00480953"/>
    <w:rsid w:val="00481534"/>
    <w:rsid w:val="00481EFD"/>
    <w:rsid w:val="004833AC"/>
    <w:rsid w:val="004848EA"/>
    <w:rsid w:val="004901F1"/>
    <w:rsid w:val="004945BB"/>
    <w:rsid w:val="00494970"/>
    <w:rsid w:val="00495B3F"/>
    <w:rsid w:val="004969FA"/>
    <w:rsid w:val="00497732"/>
    <w:rsid w:val="004A392E"/>
    <w:rsid w:val="004A418C"/>
    <w:rsid w:val="004A5367"/>
    <w:rsid w:val="004A7593"/>
    <w:rsid w:val="004B063F"/>
    <w:rsid w:val="004B0EFA"/>
    <w:rsid w:val="004B421F"/>
    <w:rsid w:val="004B4673"/>
    <w:rsid w:val="004C1141"/>
    <w:rsid w:val="004C1FA2"/>
    <w:rsid w:val="004C2C09"/>
    <w:rsid w:val="004C6309"/>
    <w:rsid w:val="004D09A9"/>
    <w:rsid w:val="004D105A"/>
    <w:rsid w:val="004D1308"/>
    <w:rsid w:val="004D2402"/>
    <w:rsid w:val="004D3085"/>
    <w:rsid w:val="004D496D"/>
    <w:rsid w:val="004E3085"/>
    <w:rsid w:val="004E4C31"/>
    <w:rsid w:val="004E5320"/>
    <w:rsid w:val="004E759B"/>
    <w:rsid w:val="004F1119"/>
    <w:rsid w:val="004F2960"/>
    <w:rsid w:val="004F2CD2"/>
    <w:rsid w:val="004F41D2"/>
    <w:rsid w:val="004F74D3"/>
    <w:rsid w:val="0050060C"/>
    <w:rsid w:val="00501D34"/>
    <w:rsid w:val="005057AD"/>
    <w:rsid w:val="00505F92"/>
    <w:rsid w:val="00507182"/>
    <w:rsid w:val="00511721"/>
    <w:rsid w:val="00512AC1"/>
    <w:rsid w:val="00512BE6"/>
    <w:rsid w:val="0051346D"/>
    <w:rsid w:val="005143AF"/>
    <w:rsid w:val="005171BF"/>
    <w:rsid w:val="00521802"/>
    <w:rsid w:val="00521A3F"/>
    <w:rsid w:val="00521FC4"/>
    <w:rsid w:val="00523B1E"/>
    <w:rsid w:val="00523F42"/>
    <w:rsid w:val="0052486A"/>
    <w:rsid w:val="005250CC"/>
    <w:rsid w:val="0052564F"/>
    <w:rsid w:val="00530264"/>
    <w:rsid w:val="0053309E"/>
    <w:rsid w:val="00533ED9"/>
    <w:rsid w:val="0053787B"/>
    <w:rsid w:val="00543422"/>
    <w:rsid w:val="0054460F"/>
    <w:rsid w:val="00545808"/>
    <w:rsid w:val="00550123"/>
    <w:rsid w:val="005509D6"/>
    <w:rsid w:val="00550D75"/>
    <w:rsid w:val="00550F43"/>
    <w:rsid w:val="005517EE"/>
    <w:rsid w:val="00551CCD"/>
    <w:rsid w:val="005531D5"/>
    <w:rsid w:val="00556181"/>
    <w:rsid w:val="00557E5C"/>
    <w:rsid w:val="0056063E"/>
    <w:rsid w:val="00560B54"/>
    <w:rsid w:val="005657BE"/>
    <w:rsid w:val="005665DA"/>
    <w:rsid w:val="00572B04"/>
    <w:rsid w:val="00573D88"/>
    <w:rsid w:val="0057443D"/>
    <w:rsid w:val="00575376"/>
    <w:rsid w:val="00576B17"/>
    <w:rsid w:val="00577CC6"/>
    <w:rsid w:val="005802E5"/>
    <w:rsid w:val="0058252A"/>
    <w:rsid w:val="00583311"/>
    <w:rsid w:val="00585F0D"/>
    <w:rsid w:val="00586D4C"/>
    <w:rsid w:val="0058712F"/>
    <w:rsid w:val="0059124D"/>
    <w:rsid w:val="00593D84"/>
    <w:rsid w:val="00593EF6"/>
    <w:rsid w:val="00595039"/>
    <w:rsid w:val="00596403"/>
    <w:rsid w:val="00596D24"/>
    <w:rsid w:val="005977A9"/>
    <w:rsid w:val="00597D2D"/>
    <w:rsid w:val="005A03B4"/>
    <w:rsid w:val="005A0E8F"/>
    <w:rsid w:val="005B04D4"/>
    <w:rsid w:val="005B162D"/>
    <w:rsid w:val="005B26D1"/>
    <w:rsid w:val="005B2A33"/>
    <w:rsid w:val="005B36A0"/>
    <w:rsid w:val="005B60D4"/>
    <w:rsid w:val="005B6418"/>
    <w:rsid w:val="005B68A6"/>
    <w:rsid w:val="005B7BC8"/>
    <w:rsid w:val="005C7186"/>
    <w:rsid w:val="005C7240"/>
    <w:rsid w:val="005D2931"/>
    <w:rsid w:val="005D2B91"/>
    <w:rsid w:val="005D3C75"/>
    <w:rsid w:val="005D4751"/>
    <w:rsid w:val="005D5323"/>
    <w:rsid w:val="005D64DB"/>
    <w:rsid w:val="005D712D"/>
    <w:rsid w:val="005E23F4"/>
    <w:rsid w:val="005E4F26"/>
    <w:rsid w:val="005E58E9"/>
    <w:rsid w:val="005E5953"/>
    <w:rsid w:val="005F20C7"/>
    <w:rsid w:val="005F2E05"/>
    <w:rsid w:val="005F2F5D"/>
    <w:rsid w:val="005F3D3E"/>
    <w:rsid w:val="005F435A"/>
    <w:rsid w:val="005F4A9F"/>
    <w:rsid w:val="005F4DCC"/>
    <w:rsid w:val="005F6819"/>
    <w:rsid w:val="005F70C7"/>
    <w:rsid w:val="00600659"/>
    <w:rsid w:val="00602408"/>
    <w:rsid w:val="00602F81"/>
    <w:rsid w:val="00603E0D"/>
    <w:rsid w:val="0060423C"/>
    <w:rsid w:val="006057F5"/>
    <w:rsid w:val="00605CC5"/>
    <w:rsid w:val="00606354"/>
    <w:rsid w:val="00606A2D"/>
    <w:rsid w:val="00607FB5"/>
    <w:rsid w:val="00611A0E"/>
    <w:rsid w:val="006127F1"/>
    <w:rsid w:val="006139E2"/>
    <w:rsid w:val="00614BC2"/>
    <w:rsid w:val="006157AF"/>
    <w:rsid w:val="00617BE6"/>
    <w:rsid w:val="00623247"/>
    <w:rsid w:val="00623253"/>
    <w:rsid w:val="00623E43"/>
    <w:rsid w:val="00627F5B"/>
    <w:rsid w:val="00630088"/>
    <w:rsid w:val="0063190B"/>
    <w:rsid w:val="006319B9"/>
    <w:rsid w:val="00633581"/>
    <w:rsid w:val="00633B54"/>
    <w:rsid w:val="00634572"/>
    <w:rsid w:val="00637193"/>
    <w:rsid w:val="00640D72"/>
    <w:rsid w:val="00641462"/>
    <w:rsid w:val="00642AA0"/>
    <w:rsid w:val="0064641F"/>
    <w:rsid w:val="00647AB7"/>
    <w:rsid w:val="00650101"/>
    <w:rsid w:val="006530BF"/>
    <w:rsid w:val="00654666"/>
    <w:rsid w:val="00656403"/>
    <w:rsid w:val="00656A50"/>
    <w:rsid w:val="00657C2A"/>
    <w:rsid w:val="00665B3D"/>
    <w:rsid w:val="00665D51"/>
    <w:rsid w:val="006703F6"/>
    <w:rsid w:val="006728FA"/>
    <w:rsid w:val="00673A50"/>
    <w:rsid w:val="006744A6"/>
    <w:rsid w:val="006751F3"/>
    <w:rsid w:val="0067546E"/>
    <w:rsid w:val="006759AF"/>
    <w:rsid w:val="00675EB5"/>
    <w:rsid w:val="0068140B"/>
    <w:rsid w:val="006848BD"/>
    <w:rsid w:val="0068499F"/>
    <w:rsid w:val="006853DA"/>
    <w:rsid w:val="00686C5D"/>
    <w:rsid w:val="00692998"/>
    <w:rsid w:val="00693150"/>
    <w:rsid w:val="00693DAF"/>
    <w:rsid w:val="00694001"/>
    <w:rsid w:val="00694A03"/>
    <w:rsid w:val="0069698D"/>
    <w:rsid w:val="00697C5C"/>
    <w:rsid w:val="006A07A0"/>
    <w:rsid w:val="006A1B6E"/>
    <w:rsid w:val="006A2CBF"/>
    <w:rsid w:val="006A2F57"/>
    <w:rsid w:val="006A3069"/>
    <w:rsid w:val="006A314C"/>
    <w:rsid w:val="006A39D9"/>
    <w:rsid w:val="006A67A1"/>
    <w:rsid w:val="006B2662"/>
    <w:rsid w:val="006B38C0"/>
    <w:rsid w:val="006B71E2"/>
    <w:rsid w:val="006B7CE9"/>
    <w:rsid w:val="006C02AC"/>
    <w:rsid w:val="006C3550"/>
    <w:rsid w:val="006C4E7F"/>
    <w:rsid w:val="006D129A"/>
    <w:rsid w:val="006D1A12"/>
    <w:rsid w:val="006D1E51"/>
    <w:rsid w:val="006D2B00"/>
    <w:rsid w:val="006D3485"/>
    <w:rsid w:val="006D4313"/>
    <w:rsid w:val="006D4A60"/>
    <w:rsid w:val="006D4E8A"/>
    <w:rsid w:val="006D5126"/>
    <w:rsid w:val="006D520A"/>
    <w:rsid w:val="006D574B"/>
    <w:rsid w:val="006D614E"/>
    <w:rsid w:val="006D637D"/>
    <w:rsid w:val="006D7661"/>
    <w:rsid w:val="006E07B9"/>
    <w:rsid w:val="006E21E5"/>
    <w:rsid w:val="006E49C9"/>
    <w:rsid w:val="006E54A0"/>
    <w:rsid w:val="006E5B60"/>
    <w:rsid w:val="006E5BFE"/>
    <w:rsid w:val="006E5DF8"/>
    <w:rsid w:val="006E743F"/>
    <w:rsid w:val="006F085A"/>
    <w:rsid w:val="006F0988"/>
    <w:rsid w:val="006F1A3D"/>
    <w:rsid w:val="006F22AD"/>
    <w:rsid w:val="006F2753"/>
    <w:rsid w:val="006F5792"/>
    <w:rsid w:val="006F5AEF"/>
    <w:rsid w:val="006F74CB"/>
    <w:rsid w:val="006F7BA3"/>
    <w:rsid w:val="007009C1"/>
    <w:rsid w:val="007015BB"/>
    <w:rsid w:val="00701AE7"/>
    <w:rsid w:val="00703472"/>
    <w:rsid w:val="00705271"/>
    <w:rsid w:val="00705856"/>
    <w:rsid w:val="0071293A"/>
    <w:rsid w:val="007142B2"/>
    <w:rsid w:val="0071554D"/>
    <w:rsid w:val="007215A5"/>
    <w:rsid w:val="00722B61"/>
    <w:rsid w:val="00723231"/>
    <w:rsid w:val="00723E2B"/>
    <w:rsid w:val="00726D8B"/>
    <w:rsid w:val="00727C8D"/>
    <w:rsid w:val="00731344"/>
    <w:rsid w:val="0073324B"/>
    <w:rsid w:val="0073562A"/>
    <w:rsid w:val="00735768"/>
    <w:rsid w:val="00737D1F"/>
    <w:rsid w:val="00740CA9"/>
    <w:rsid w:val="00742D7A"/>
    <w:rsid w:val="0075055C"/>
    <w:rsid w:val="007559F1"/>
    <w:rsid w:val="0075666F"/>
    <w:rsid w:val="00756AE8"/>
    <w:rsid w:val="007576FD"/>
    <w:rsid w:val="007641C1"/>
    <w:rsid w:val="007668C7"/>
    <w:rsid w:val="007672B9"/>
    <w:rsid w:val="00770630"/>
    <w:rsid w:val="007730F4"/>
    <w:rsid w:val="007740C6"/>
    <w:rsid w:val="0077419C"/>
    <w:rsid w:val="007742C9"/>
    <w:rsid w:val="007748C4"/>
    <w:rsid w:val="0077550D"/>
    <w:rsid w:val="00780565"/>
    <w:rsid w:val="00783E3D"/>
    <w:rsid w:val="00785AB1"/>
    <w:rsid w:val="007866B4"/>
    <w:rsid w:val="00790F93"/>
    <w:rsid w:val="007919C9"/>
    <w:rsid w:val="00793B8D"/>
    <w:rsid w:val="00795312"/>
    <w:rsid w:val="007A0661"/>
    <w:rsid w:val="007A0B26"/>
    <w:rsid w:val="007A1332"/>
    <w:rsid w:val="007A1E92"/>
    <w:rsid w:val="007A1F4A"/>
    <w:rsid w:val="007A30CD"/>
    <w:rsid w:val="007A313D"/>
    <w:rsid w:val="007A4BC3"/>
    <w:rsid w:val="007A4CAF"/>
    <w:rsid w:val="007A7153"/>
    <w:rsid w:val="007A7986"/>
    <w:rsid w:val="007B157C"/>
    <w:rsid w:val="007B1D00"/>
    <w:rsid w:val="007B2CD1"/>
    <w:rsid w:val="007B5BA8"/>
    <w:rsid w:val="007B6259"/>
    <w:rsid w:val="007C0099"/>
    <w:rsid w:val="007C101F"/>
    <w:rsid w:val="007C2EC9"/>
    <w:rsid w:val="007C520B"/>
    <w:rsid w:val="007C5BA4"/>
    <w:rsid w:val="007C6709"/>
    <w:rsid w:val="007C6F33"/>
    <w:rsid w:val="007C7639"/>
    <w:rsid w:val="007D0B3F"/>
    <w:rsid w:val="007D1DE3"/>
    <w:rsid w:val="007D2DC1"/>
    <w:rsid w:val="007D36A5"/>
    <w:rsid w:val="007D3D20"/>
    <w:rsid w:val="007D587F"/>
    <w:rsid w:val="007D74FA"/>
    <w:rsid w:val="007D77E0"/>
    <w:rsid w:val="007D7A00"/>
    <w:rsid w:val="007E0C8B"/>
    <w:rsid w:val="007E3ED9"/>
    <w:rsid w:val="007F2F55"/>
    <w:rsid w:val="007F495A"/>
    <w:rsid w:val="007F5B7C"/>
    <w:rsid w:val="007F655F"/>
    <w:rsid w:val="007F6F13"/>
    <w:rsid w:val="00801B41"/>
    <w:rsid w:val="00811536"/>
    <w:rsid w:val="008131AB"/>
    <w:rsid w:val="00815D90"/>
    <w:rsid w:val="00815EB0"/>
    <w:rsid w:val="008166C1"/>
    <w:rsid w:val="008207A2"/>
    <w:rsid w:val="00821C97"/>
    <w:rsid w:val="00823A4B"/>
    <w:rsid w:val="0082645F"/>
    <w:rsid w:val="00826977"/>
    <w:rsid w:val="008312DB"/>
    <w:rsid w:val="00831320"/>
    <w:rsid w:val="008314F6"/>
    <w:rsid w:val="008328C8"/>
    <w:rsid w:val="00833AFB"/>
    <w:rsid w:val="00834908"/>
    <w:rsid w:val="008349E8"/>
    <w:rsid w:val="00835D67"/>
    <w:rsid w:val="008377F1"/>
    <w:rsid w:val="00837D82"/>
    <w:rsid w:val="008406E7"/>
    <w:rsid w:val="00840AA4"/>
    <w:rsid w:val="00840C69"/>
    <w:rsid w:val="00842B1D"/>
    <w:rsid w:val="00846AEA"/>
    <w:rsid w:val="00850416"/>
    <w:rsid w:val="008531CD"/>
    <w:rsid w:val="00853E5F"/>
    <w:rsid w:val="00854AEA"/>
    <w:rsid w:val="008553BC"/>
    <w:rsid w:val="0085546E"/>
    <w:rsid w:val="00855C2D"/>
    <w:rsid w:val="00855D21"/>
    <w:rsid w:val="00856339"/>
    <w:rsid w:val="008565A0"/>
    <w:rsid w:val="00862570"/>
    <w:rsid w:val="00862D51"/>
    <w:rsid w:val="00863365"/>
    <w:rsid w:val="00863A98"/>
    <w:rsid w:val="008702A4"/>
    <w:rsid w:val="008709CC"/>
    <w:rsid w:val="00871356"/>
    <w:rsid w:val="00873842"/>
    <w:rsid w:val="008745E7"/>
    <w:rsid w:val="00875D9A"/>
    <w:rsid w:val="008767C9"/>
    <w:rsid w:val="008776E5"/>
    <w:rsid w:val="00877739"/>
    <w:rsid w:val="008866EE"/>
    <w:rsid w:val="0088730E"/>
    <w:rsid w:val="00887DD5"/>
    <w:rsid w:val="00890983"/>
    <w:rsid w:val="00891D79"/>
    <w:rsid w:val="008929CA"/>
    <w:rsid w:val="00895513"/>
    <w:rsid w:val="00895A79"/>
    <w:rsid w:val="008975C5"/>
    <w:rsid w:val="008A1F25"/>
    <w:rsid w:val="008A3A2F"/>
    <w:rsid w:val="008A5086"/>
    <w:rsid w:val="008A664B"/>
    <w:rsid w:val="008A74AF"/>
    <w:rsid w:val="008B1F95"/>
    <w:rsid w:val="008B4C35"/>
    <w:rsid w:val="008B5B25"/>
    <w:rsid w:val="008B5EBB"/>
    <w:rsid w:val="008B73AB"/>
    <w:rsid w:val="008B7DB7"/>
    <w:rsid w:val="008C00E9"/>
    <w:rsid w:val="008C04CD"/>
    <w:rsid w:val="008C1CE8"/>
    <w:rsid w:val="008C1DC1"/>
    <w:rsid w:val="008C316D"/>
    <w:rsid w:val="008C3459"/>
    <w:rsid w:val="008C37E8"/>
    <w:rsid w:val="008C4BBD"/>
    <w:rsid w:val="008C58FF"/>
    <w:rsid w:val="008C5EF1"/>
    <w:rsid w:val="008C664A"/>
    <w:rsid w:val="008C73C7"/>
    <w:rsid w:val="008D29D2"/>
    <w:rsid w:val="008D7C16"/>
    <w:rsid w:val="008E20D1"/>
    <w:rsid w:val="008E3384"/>
    <w:rsid w:val="008E4057"/>
    <w:rsid w:val="008E4409"/>
    <w:rsid w:val="008E4EF8"/>
    <w:rsid w:val="008E7931"/>
    <w:rsid w:val="008E79AC"/>
    <w:rsid w:val="008F129A"/>
    <w:rsid w:val="008F18ED"/>
    <w:rsid w:val="008F49D8"/>
    <w:rsid w:val="008F5EFF"/>
    <w:rsid w:val="008F6D5E"/>
    <w:rsid w:val="00903058"/>
    <w:rsid w:val="009035B0"/>
    <w:rsid w:val="009046CC"/>
    <w:rsid w:val="00907845"/>
    <w:rsid w:val="0091034A"/>
    <w:rsid w:val="009105B7"/>
    <w:rsid w:val="00910BFB"/>
    <w:rsid w:val="009119B5"/>
    <w:rsid w:val="00913BDE"/>
    <w:rsid w:val="00913CBE"/>
    <w:rsid w:val="00913FF8"/>
    <w:rsid w:val="00917917"/>
    <w:rsid w:val="00920101"/>
    <w:rsid w:val="0092015F"/>
    <w:rsid w:val="009205DF"/>
    <w:rsid w:val="00920FA6"/>
    <w:rsid w:val="00922926"/>
    <w:rsid w:val="00924CA6"/>
    <w:rsid w:val="00925A6B"/>
    <w:rsid w:val="009334E8"/>
    <w:rsid w:val="00933AE8"/>
    <w:rsid w:val="00933F76"/>
    <w:rsid w:val="009341AD"/>
    <w:rsid w:val="009362F2"/>
    <w:rsid w:val="00936B39"/>
    <w:rsid w:val="0093739C"/>
    <w:rsid w:val="0094077C"/>
    <w:rsid w:val="00940856"/>
    <w:rsid w:val="00944725"/>
    <w:rsid w:val="009448CF"/>
    <w:rsid w:val="009449F7"/>
    <w:rsid w:val="00944F6B"/>
    <w:rsid w:val="00945699"/>
    <w:rsid w:val="009463E3"/>
    <w:rsid w:val="00946786"/>
    <w:rsid w:val="00946857"/>
    <w:rsid w:val="00951F96"/>
    <w:rsid w:val="00952474"/>
    <w:rsid w:val="0095543C"/>
    <w:rsid w:val="00956B9B"/>
    <w:rsid w:val="00956F9E"/>
    <w:rsid w:val="00957D3D"/>
    <w:rsid w:val="009616B9"/>
    <w:rsid w:val="0096251A"/>
    <w:rsid w:val="0096282D"/>
    <w:rsid w:val="00963DFA"/>
    <w:rsid w:val="0096768C"/>
    <w:rsid w:val="00967A10"/>
    <w:rsid w:val="00967F03"/>
    <w:rsid w:val="00972BF9"/>
    <w:rsid w:val="00975457"/>
    <w:rsid w:val="00977CEA"/>
    <w:rsid w:val="0098135F"/>
    <w:rsid w:val="00981E13"/>
    <w:rsid w:val="00985D8B"/>
    <w:rsid w:val="009862BB"/>
    <w:rsid w:val="0098750D"/>
    <w:rsid w:val="00990018"/>
    <w:rsid w:val="00993600"/>
    <w:rsid w:val="00993D33"/>
    <w:rsid w:val="009A27CE"/>
    <w:rsid w:val="009A4E6E"/>
    <w:rsid w:val="009A518E"/>
    <w:rsid w:val="009A550B"/>
    <w:rsid w:val="009B49DA"/>
    <w:rsid w:val="009B585F"/>
    <w:rsid w:val="009B612B"/>
    <w:rsid w:val="009C600E"/>
    <w:rsid w:val="009C6A2B"/>
    <w:rsid w:val="009D02A1"/>
    <w:rsid w:val="009D0BEC"/>
    <w:rsid w:val="009D1816"/>
    <w:rsid w:val="009D1895"/>
    <w:rsid w:val="009D22D4"/>
    <w:rsid w:val="009D3E2A"/>
    <w:rsid w:val="009D6DD4"/>
    <w:rsid w:val="009E0296"/>
    <w:rsid w:val="009E25FB"/>
    <w:rsid w:val="009E5EAC"/>
    <w:rsid w:val="009E78A6"/>
    <w:rsid w:val="009F0663"/>
    <w:rsid w:val="009F26BD"/>
    <w:rsid w:val="009F3A1D"/>
    <w:rsid w:val="009F43A4"/>
    <w:rsid w:val="009F476B"/>
    <w:rsid w:val="009F4AE2"/>
    <w:rsid w:val="009F4B39"/>
    <w:rsid w:val="009F5650"/>
    <w:rsid w:val="009F5BA0"/>
    <w:rsid w:val="009F5DE6"/>
    <w:rsid w:val="009F6FE2"/>
    <w:rsid w:val="009F7F2B"/>
    <w:rsid w:val="00A00EA9"/>
    <w:rsid w:val="00A02110"/>
    <w:rsid w:val="00A03CEB"/>
    <w:rsid w:val="00A04A8E"/>
    <w:rsid w:val="00A05FB9"/>
    <w:rsid w:val="00A06934"/>
    <w:rsid w:val="00A12842"/>
    <w:rsid w:val="00A1303C"/>
    <w:rsid w:val="00A13301"/>
    <w:rsid w:val="00A14321"/>
    <w:rsid w:val="00A14C6C"/>
    <w:rsid w:val="00A15D2F"/>
    <w:rsid w:val="00A16D1A"/>
    <w:rsid w:val="00A2030E"/>
    <w:rsid w:val="00A20C85"/>
    <w:rsid w:val="00A2114E"/>
    <w:rsid w:val="00A226BB"/>
    <w:rsid w:val="00A233A7"/>
    <w:rsid w:val="00A2624D"/>
    <w:rsid w:val="00A27CEE"/>
    <w:rsid w:val="00A310CE"/>
    <w:rsid w:val="00A3364D"/>
    <w:rsid w:val="00A33661"/>
    <w:rsid w:val="00A347A5"/>
    <w:rsid w:val="00A34B4F"/>
    <w:rsid w:val="00A368EF"/>
    <w:rsid w:val="00A409B9"/>
    <w:rsid w:val="00A4170E"/>
    <w:rsid w:val="00A4293B"/>
    <w:rsid w:val="00A4349F"/>
    <w:rsid w:val="00A4654C"/>
    <w:rsid w:val="00A4663A"/>
    <w:rsid w:val="00A514B5"/>
    <w:rsid w:val="00A517CC"/>
    <w:rsid w:val="00A529A5"/>
    <w:rsid w:val="00A55E3A"/>
    <w:rsid w:val="00A566D1"/>
    <w:rsid w:val="00A64795"/>
    <w:rsid w:val="00A6538B"/>
    <w:rsid w:val="00A67D57"/>
    <w:rsid w:val="00A70A69"/>
    <w:rsid w:val="00A72E53"/>
    <w:rsid w:val="00A7325D"/>
    <w:rsid w:val="00A73BF2"/>
    <w:rsid w:val="00A74C82"/>
    <w:rsid w:val="00A755B6"/>
    <w:rsid w:val="00A7606A"/>
    <w:rsid w:val="00A7622A"/>
    <w:rsid w:val="00A77D23"/>
    <w:rsid w:val="00A80D67"/>
    <w:rsid w:val="00A81F7D"/>
    <w:rsid w:val="00A82065"/>
    <w:rsid w:val="00A82701"/>
    <w:rsid w:val="00A85AC0"/>
    <w:rsid w:val="00A86512"/>
    <w:rsid w:val="00A87986"/>
    <w:rsid w:val="00A90FE3"/>
    <w:rsid w:val="00A95D7C"/>
    <w:rsid w:val="00AA134B"/>
    <w:rsid w:val="00AA253F"/>
    <w:rsid w:val="00AA4604"/>
    <w:rsid w:val="00AA56AC"/>
    <w:rsid w:val="00AA764F"/>
    <w:rsid w:val="00AB6B34"/>
    <w:rsid w:val="00AB7EAF"/>
    <w:rsid w:val="00AC2B08"/>
    <w:rsid w:val="00AC5DD4"/>
    <w:rsid w:val="00AC7723"/>
    <w:rsid w:val="00AD1B9C"/>
    <w:rsid w:val="00AD3D11"/>
    <w:rsid w:val="00AD5120"/>
    <w:rsid w:val="00AD539B"/>
    <w:rsid w:val="00AD5B7C"/>
    <w:rsid w:val="00AD6A64"/>
    <w:rsid w:val="00AD6B07"/>
    <w:rsid w:val="00AD6CC7"/>
    <w:rsid w:val="00AE1C85"/>
    <w:rsid w:val="00AE1ECC"/>
    <w:rsid w:val="00AE254D"/>
    <w:rsid w:val="00AE2B46"/>
    <w:rsid w:val="00AE5B3F"/>
    <w:rsid w:val="00AE6A15"/>
    <w:rsid w:val="00AF0C91"/>
    <w:rsid w:val="00AF0F2A"/>
    <w:rsid w:val="00AF307C"/>
    <w:rsid w:val="00AF369E"/>
    <w:rsid w:val="00B00708"/>
    <w:rsid w:val="00B01D77"/>
    <w:rsid w:val="00B03529"/>
    <w:rsid w:val="00B043A5"/>
    <w:rsid w:val="00B0589B"/>
    <w:rsid w:val="00B05D48"/>
    <w:rsid w:val="00B07EAB"/>
    <w:rsid w:val="00B111E2"/>
    <w:rsid w:val="00B12CBA"/>
    <w:rsid w:val="00B14835"/>
    <w:rsid w:val="00B14D8D"/>
    <w:rsid w:val="00B154EC"/>
    <w:rsid w:val="00B20102"/>
    <w:rsid w:val="00B202D7"/>
    <w:rsid w:val="00B2100B"/>
    <w:rsid w:val="00B22544"/>
    <w:rsid w:val="00B23B99"/>
    <w:rsid w:val="00B269E5"/>
    <w:rsid w:val="00B26BD5"/>
    <w:rsid w:val="00B27484"/>
    <w:rsid w:val="00B27F6F"/>
    <w:rsid w:val="00B30DA2"/>
    <w:rsid w:val="00B30F16"/>
    <w:rsid w:val="00B313FE"/>
    <w:rsid w:val="00B325EB"/>
    <w:rsid w:val="00B330B8"/>
    <w:rsid w:val="00B330CF"/>
    <w:rsid w:val="00B346F3"/>
    <w:rsid w:val="00B34C81"/>
    <w:rsid w:val="00B35F59"/>
    <w:rsid w:val="00B37360"/>
    <w:rsid w:val="00B41636"/>
    <w:rsid w:val="00B41AD0"/>
    <w:rsid w:val="00B43F89"/>
    <w:rsid w:val="00B46B0B"/>
    <w:rsid w:val="00B52088"/>
    <w:rsid w:val="00B5265B"/>
    <w:rsid w:val="00B5295E"/>
    <w:rsid w:val="00B556DE"/>
    <w:rsid w:val="00B57365"/>
    <w:rsid w:val="00B62E52"/>
    <w:rsid w:val="00B62F2E"/>
    <w:rsid w:val="00B63684"/>
    <w:rsid w:val="00B64BA1"/>
    <w:rsid w:val="00B657B4"/>
    <w:rsid w:val="00B71EEE"/>
    <w:rsid w:val="00B763D9"/>
    <w:rsid w:val="00B778A9"/>
    <w:rsid w:val="00B81518"/>
    <w:rsid w:val="00B81A4A"/>
    <w:rsid w:val="00B82D52"/>
    <w:rsid w:val="00B8333D"/>
    <w:rsid w:val="00B838A8"/>
    <w:rsid w:val="00B8434F"/>
    <w:rsid w:val="00B859B4"/>
    <w:rsid w:val="00B85C3B"/>
    <w:rsid w:val="00B86552"/>
    <w:rsid w:val="00B86B9D"/>
    <w:rsid w:val="00B940F6"/>
    <w:rsid w:val="00B9433E"/>
    <w:rsid w:val="00B94A12"/>
    <w:rsid w:val="00BA140D"/>
    <w:rsid w:val="00BA20C9"/>
    <w:rsid w:val="00BA5959"/>
    <w:rsid w:val="00BA70F9"/>
    <w:rsid w:val="00BB01AA"/>
    <w:rsid w:val="00BB0268"/>
    <w:rsid w:val="00BB1826"/>
    <w:rsid w:val="00BB203A"/>
    <w:rsid w:val="00BB2C4F"/>
    <w:rsid w:val="00BB4D6F"/>
    <w:rsid w:val="00BB522C"/>
    <w:rsid w:val="00BC19B3"/>
    <w:rsid w:val="00BD0376"/>
    <w:rsid w:val="00BD4938"/>
    <w:rsid w:val="00BD51A7"/>
    <w:rsid w:val="00BD53C8"/>
    <w:rsid w:val="00BE077D"/>
    <w:rsid w:val="00BE08A3"/>
    <w:rsid w:val="00BE1734"/>
    <w:rsid w:val="00BE1CE5"/>
    <w:rsid w:val="00BE3CA7"/>
    <w:rsid w:val="00BE5DEE"/>
    <w:rsid w:val="00BE669F"/>
    <w:rsid w:val="00BE7275"/>
    <w:rsid w:val="00BF01A8"/>
    <w:rsid w:val="00BF1143"/>
    <w:rsid w:val="00BF1E5D"/>
    <w:rsid w:val="00BF26BF"/>
    <w:rsid w:val="00BF27DA"/>
    <w:rsid w:val="00BF4312"/>
    <w:rsid w:val="00BF48EC"/>
    <w:rsid w:val="00BF5D3F"/>
    <w:rsid w:val="00BF613B"/>
    <w:rsid w:val="00BF6B47"/>
    <w:rsid w:val="00C0250B"/>
    <w:rsid w:val="00C02B1B"/>
    <w:rsid w:val="00C031F0"/>
    <w:rsid w:val="00C03B7F"/>
    <w:rsid w:val="00C068C9"/>
    <w:rsid w:val="00C07406"/>
    <w:rsid w:val="00C07D1D"/>
    <w:rsid w:val="00C1123C"/>
    <w:rsid w:val="00C12FA0"/>
    <w:rsid w:val="00C14DD4"/>
    <w:rsid w:val="00C1580C"/>
    <w:rsid w:val="00C16194"/>
    <w:rsid w:val="00C16AA0"/>
    <w:rsid w:val="00C17EDB"/>
    <w:rsid w:val="00C209B0"/>
    <w:rsid w:val="00C22C0D"/>
    <w:rsid w:val="00C24285"/>
    <w:rsid w:val="00C26AAB"/>
    <w:rsid w:val="00C30828"/>
    <w:rsid w:val="00C32896"/>
    <w:rsid w:val="00C32C0E"/>
    <w:rsid w:val="00C338F9"/>
    <w:rsid w:val="00C33F84"/>
    <w:rsid w:val="00C34641"/>
    <w:rsid w:val="00C34EEA"/>
    <w:rsid w:val="00C37496"/>
    <w:rsid w:val="00C423C3"/>
    <w:rsid w:val="00C44131"/>
    <w:rsid w:val="00C47196"/>
    <w:rsid w:val="00C47770"/>
    <w:rsid w:val="00C50F03"/>
    <w:rsid w:val="00C51AA0"/>
    <w:rsid w:val="00C52688"/>
    <w:rsid w:val="00C52BB6"/>
    <w:rsid w:val="00C62AAF"/>
    <w:rsid w:val="00C6339F"/>
    <w:rsid w:val="00C65E16"/>
    <w:rsid w:val="00C65E51"/>
    <w:rsid w:val="00C66241"/>
    <w:rsid w:val="00C706A4"/>
    <w:rsid w:val="00C74646"/>
    <w:rsid w:val="00C77AF6"/>
    <w:rsid w:val="00C8122A"/>
    <w:rsid w:val="00C8133A"/>
    <w:rsid w:val="00C81BD0"/>
    <w:rsid w:val="00C82FCF"/>
    <w:rsid w:val="00C8335C"/>
    <w:rsid w:val="00C837DF"/>
    <w:rsid w:val="00C85BC3"/>
    <w:rsid w:val="00C86648"/>
    <w:rsid w:val="00C903A4"/>
    <w:rsid w:val="00C91DDE"/>
    <w:rsid w:val="00C939AA"/>
    <w:rsid w:val="00C964A1"/>
    <w:rsid w:val="00C974ED"/>
    <w:rsid w:val="00CA140F"/>
    <w:rsid w:val="00CA1874"/>
    <w:rsid w:val="00CA21B4"/>
    <w:rsid w:val="00CA5DC3"/>
    <w:rsid w:val="00CA64F7"/>
    <w:rsid w:val="00CA707D"/>
    <w:rsid w:val="00CA771B"/>
    <w:rsid w:val="00CA7F41"/>
    <w:rsid w:val="00CB1489"/>
    <w:rsid w:val="00CB2734"/>
    <w:rsid w:val="00CB7AF3"/>
    <w:rsid w:val="00CC0722"/>
    <w:rsid w:val="00CC1371"/>
    <w:rsid w:val="00CC16A9"/>
    <w:rsid w:val="00CC3AE7"/>
    <w:rsid w:val="00CC4D81"/>
    <w:rsid w:val="00CC5B09"/>
    <w:rsid w:val="00CC7CDE"/>
    <w:rsid w:val="00CC7F2F"/>
    <w:rsid w:val="00CD04CE"/>
    <w:rsid w:val="00CD28DE"/>
    <w:rsid w:val="00CD30A5"/>
    <w:rsid w:val="00CD3964"/>
    <w:rsid w:val="00CD3A46"/>
    <w:rsid w:val="00CD667A"/>
    <w:rsid w:val="00CE0B71"/>
    <w:rsid w:val="00CE21CF"/>
    <w:rsid w:val="00CE425B"/>
    <w:rsid w:val="00CE51F4"/>
    <w:rsid w:val="00CE540F"/>
    <w:rsid w:val="00CE681E"/>
    <w:rsid w:val="00CF07A0"/>
    <w:rsid w:val="00CF2368"/>
    <w:rsid w:val="00CF44C5"/>
    <w:rsid w:val="00CF58E2"/>
    <w:rsid w:val="00CF6010"/>
    <w:rsid w:val="00CF7641"/>
    <w:rsid w:val="00D00C8F"/>
    <w:rsid w:val="00D00FB9"/>
    <w:rsid w:val="00D031A4"/>
    <w:rsid w:val="00D037A0"/>
    <w:rsid w:val="00D03AC2"/>
    <w:rsid w:val="00D104B6"/>
    <w:rsid w:val="00D11315"/>
    <w:rsid w:val="00D11D4E"/>
    <w:rsid w:val="00D16314"/>
    <w:rsid w:val="00D16DC9"/>
    <w:rsid w:val="00D22BCC"/>
    <w:rsid w:val="00D23DE8"/>
    <w:rsid w:val="00D26A88"/>
    <w:rsid w:val="00D27B44"/>
    <w:rsid w:val="00D321DC"/>
    <w:rsid w:val="00D32844"/>
    <w:rsid w:val="00D32E07"/>
    <w:rsid w:val="00D33C46"/>
    <w:rsid w:val="00D34341"/>
    <w:rsid w:val="00D35466"/>
    <w:rsid w:val="00D35576"/>
    <w:rsid w:val="00D40DCB"/>
    <w:rsid w:val="00D41C33"/>
    <w:rsid w:val="00D422F5"/>
    <w:rsid w:val="00D429AC"/>
    <w:rsid w:val="00D44752"/>
    <w:rsid w:val="00D44764"/>
    <w:rsid w:val="00D46495"/>
    <w:rsid w:val="00D4704F"/>
    <w:rsid w:val="00D50162"/>
    <w:rsid w:val="00D51646"/>
    <w:rsid w:val="00D51716"/>
    <w:rsid w:val="00D52239"/>
    <w:rsid w:val="00D52EAA"/>
    <w:rsid w:val="00D64A2C"/>
    <w:rsid w:val="00D6529F"/>
    <w:rsid w:val="00D6548A"/>
    <w:rsid w:val="00D661B4"/>
    <w:rsid w:val="00D71F2B"/>
    <w:rsid w:val="00D747CF"/>
    <w:rsid w:val="00D74BF5"/>
    <w:rsid w:val="00D760F8"/>
    <w:rsid w:val="00D772F4"/>
    <w:rsid w:val="00D77886"/>
    <w:rsid w:val="00D8146D"/>
    <w:rsid w:val="00D82743"/>
    <w:rsid w:val="00D83F09"/>
    <w:rsid w:val="00D84C6F"/>
    <w:rsid w:val="00D85A54"/>
    <w:rsid w:val="00D860FE"/>
    <w:rsid w:val="00D867A1"/>
    <w:rsid w:val="00D86C35"/>
    <w:rsid w:val="00D870FB"/>
    <w:rsid w:val="00D90365"/>
    <w:rsid w:val="00D925C9"/>
    <w:rsid w:val="00D931C1"/>
    <w:rsid w:val="00D9560E"/>
    <w:rsid w:val="00DA38C0"/>
    <w:rsid w:val="00DA3FB2"/>
    <w:rsid w:val="00DA427E"/>
    <w:rsid w:val="00DA5B97"/>
    <w:rsid w:val="00DA64C9"/>
    <w:rsid w:val="00DA6D10"/>
    <w:rsid w:val="00DA74BE"/>
    <w:rsid w:val="00DA7F7C"/>
    <w:rsid w:val="00DB0D91"/>
    <w:rsid w:val="00DB1B2F"/>
    <w:rsid w:val="00DB5287"/>
    <w:rsid w:val="00DB6D6A"/>
    <w:rsid w:val="00DC1608"/>
    <w:rsid w:val="00DC3DB5"/>
    <w:rsid w:val="00DC4E2F"/>
    <w:rsid w:val="00DC53F3"/>
    <w:rsid w:val="00DC5AC1"/>
    <w:rsid w:val="00DC7356"/>
    <w:rsid w:val="00DC7390"/>
    <w:rsid w:val="00DD0B50"/>
    <w:rsid w:val="00DD265C"/>
    <w:rsid w:val="00DD38A7"/>
    <w:rsid w:val="00DD3AA4"/>
    <w:rsid w:val="00DD7053"/>
    <w:rsid w:val="00DD7C66"/>
    <w:rsid w:val="00DE1191"/>
    <w:rsid w:val="00DE3F21"/>
    <w:rsid w:val="00DE4304"/>
    <w:rsid w:val="00DE568D"/>
    <w:rsid w:val="00DE5A95"/>
    <w:rsid w:val="00DE67FE"/>
    <w:rsid w:val="00DE6AA6"/>
    <w:rsid w:val="00DE72FB"/>
    <w:rsid w:val="00DE7574"/>
    <w:rsid w:val="00DF0076"/>
    <w:rsid w:val="00DF0927"/>
    <w:rsid w:val="00DF0CBB"/>
    <w:rsid w:val="00DF2DB2"/>
    <w:rsid w:val="00DF3632"/>
    <w:rsid w:val="00DF4EC9"/>
    <w:rsid w:val="00DF5157"/>
    <w:rsid w:val="00DF5AC6"/>
    <w:rsid w:val="00DF77D3"/>
    <w:rsid w:val="00DF7F73"/>
    <w:rsid w:val="00E034CE"/>
    <w:rsid w:val="00E060C6"/>
    <w:rsid w:val="00E06268"/>
    <w:rsid w:val="00E07F82"/>
    <w:rsid w:val="00E11108"/>
    <w:rsid w:val="00E1175A"/>
    <w:rsid w:val="00E15A0F"/>
    <w:rsid w:val="00E15CB9"/>
    <w:rsid w:val="00E16A80"/>
    <w:rsid w:val="00E1705B"/>
    <w:rsid w:val="00E2087F"/>
    <w:rsid w:val="00E3004F"/>
    <w:rsid w:val="00E31A14"/>
    <w:rsid w:val="00E320EC"/>
    <w:rsid w:val="00E3325A"/>
    <w:rsid w:val="00E34E99"/>
    <w:rsid w:val="00E35894"/>
    <w:rsid w:val="00E40325"/>
    <w:rsid w:val="00E4152F"/>
    <w:rsid w:val="00E43583"/>
    <w:rsid w:val="00E446F0"/>
    <w:rsid w:val="00E461A7"/>
    <w:rsid w:val="00E46FF7"/>
    <w:rsid w:val="00E5012A"/>
    <w:rsid w:val="00E50813"/>
    <w:rsid w:val="00E50D25"/>
    <w:rsid w:val="00E56358"/>
    <w:rsid w:val="00E56A0D"/>
    <w:rsid w:val="00E56F6D"/>
    <w:rsid w:val="00E61904"/>
    <w:rsid w:val="00E61B39"/>
    <w:rsid w:val="00E62EF8"/>
    <w:rsid w:val="00E632D9"/>
    <w:rsid w:val="00E6331E"/>
    <w:rsid w:val="00E66257"/>
    <w:rsid w:val="00E668F4"/>
    <w:rsid w:val="00E718CC"/>
    <w:rsid w:val="00E72AB9"/>
    <w:rsid w:val="00E764E5"/>
    <w:rsid w:val="00E76EAC"/>
    <w:rsid w:val="00E826B0"/>
    <w:rsid w:val="00E82F3A"/>
    <w:rsid w:val="00E82F85"/>
    <w:rsid w:val="00E8339A"/>
    <w:rsid w:val="00E83A65"/>
    <w:rsid w:val="00E847FA"/>
    <w:rsid w:val="00E864A7"/>
    <w:rsid w:val="00E86FCF"/>
    <w:rsid w:val="00E90C5D"/>
    <w:rsid w:val="00E92AE7"/>
    <w:rsid w:val="00E936E8"/>
    <w:rsid w:val="00E93DD1"/>
    <w:rsid w:val="00E95283"/>
    <w:rsid w:val="00E96123"/>
    <w:rsid w:val="00E973FB"/>
    <w:rsid w:val="00EA195E"/>
    <w:rsid w:val="00EA1CC7"/>
    <w:rsid w:val="00EA3676"/>
    <w:rsid w:val="00EA4369"/>
    <w:rsid w:val="00EA510B"/>
    <w:rsid w:val="00EB178C"/>
    <w:rsid w:val="00EB1DFB"/>
    <w:rsid w:val="00EB2338"/>
    <w:rsid w:val="00EB384C"/>
    <w:rsid w:val="00EB3FFD"/>
    <w:rsid w:val="00EB64DD"/>
    <w:rsid w:val="00EB72CF"/>
    <w:rsid w:val="00EC036B"/>
    <w:rsid w:val="00EC0531"/>
    <w:rsid w:val="00EC15CC"/>
    <w:rsid w:val="00EC1823"/>
    <w:rsid w:val="00EC4A77"/>
    <w:rsid w:val="00EC5098"/>
    <w:rsid w:val="00EC5A7A"/>
    <w:rsid w:val="00EC7009"/>
    <w:rsid w:val="00EC71D7"/>
    <w:rsid w:val="00EC7BB4"/>
    <w:rsid w:val="00EC7C4D"/>
    <w:rsid w:val="00ED1A9B"/>
    <w:rsid w:val="00ED1CEE"/>
    <w:rsid w:val="00ED299E"/>
    <w:rsid w:val="00ED2DE1"/>
    <w:rsid w:val="00ED5F7A"/>
    <w:rsid w:val="00ED63AD"/>
    <w:rsid w:val="00ED6BA4"/>
    <w:rsid w:val="00ED711C"/>
    <w:rsid w:val="00ED75DE"/>
    <w:rsid w:val="00EE14D6"/>
    <w:rsid w:val="00EE45F3"/>
    <w:rsid w:val="00EE594D"/>
    <w:rsid w:val="00EE5B9A"/>
    <w:rsid w:val="00EE6439"/>
    <w:rsid w:val="00EE64F3"/>
    <w:rsid w:val="00EE7B27"/>
    <w:rsid w:val="00EE7B51"/>
    <w:rsid w:val="00EF4356"/>
    <w:rsid w:val="00F0117F"/>
    <w:rsid w:val="00F0409F"/>
    <w:rsid w:val="00F106B4"/>
    <w:rsid w:val="00F10DD9"/>
    <w:rsid w:val="00F11045"/>
    <w:rsid w:val="00F11849"/>
    <w:rsid w:val="00F13B75"/>
    <w:rsid w:val="00F14751"/>
    <w:rsid w:val="00F14C51"/>
    <w:rsid w:val="00F159E4"/>
    <w:rsid w:val="00F165B1"/>
    <w:rsid w:val="00F201CA"/>
    <w:rsid w:val="00F2364B"/>
    <w:rsid w:val="00F259D1"/>
    <w:rsid w:val="00F272A2"/>
    <w:rsid w:val="00F2789E"/>
    <w:rsid w:val="00F27EF9"/>
    <w:rsid w:val="00F302EF"/>
    <w:rsid w:val="00F30423"/>
    <w:rsid w:val="00F30C83"/>
    <w:rsid w:val="00F320DB"/>
    <w:rsid w:val="00F323B4"/>
    <w:rsid w:val="00F32E1E"/>
    <w:rsid w:val="00F41539"/>
    <w:rsid w:val="00F41FC5"/>
    <w:rsid w:val="00F440A4"/>
    <w:rsid w:val="00F44A5A"/>
    <w:rsid w:val="00F47353"/>
    <w:rsid w:val="00F50490"/>
    <w:rsid w:val="00F52BFA"/>
    <w:rsid w:val="00F52F3E"/>
    <w:rsid w:val="00F53915"/>
    <w:rsid w:val="00F53AD0"/>
    <w:rsid w:val="00F53F08"/>
    <w:rsid w:val="00F627B1"/>
    <w:rsid w:val="00F648B2"/>
    <w:rsid w:val="00F651BD"/>
    <w:rsid w:val="00F66C44"/>
    <w:rsid w:val="00F706FE"/>
    <w:rsid w:val="00F70AFF"/>
    <w:rsid w:val="00F714D6"/>
    <w:rsid w:val="00F7448B"/>
    <w:rsid w:val="00F74B0F"/>
    <w:rsid w:val="00F778E5"/>
    <w:rsid w:val="00F77908"/>
    <w:rsid w:val="00F8112B"/>
    <w:rsid w:val="00F812C1"/>
    <w:rsid w:val="00F82DC5"/>
    <w:rsid w:val="00F8316E"/>
    <w:rsid w:val="00F8667A"/>
    <w:rsid w:val="00F86C81"/>
    <w:rsid w:val="00F8771C"/>
    <w:rsid w:val="00F91B7D"/>
    <w:rsid w:val="00F92942"/>
    <w:rsid w:val="00F938C8"/>
    <w:rsid w:val="00F967DC"/>
    <w:rsid w:val="00F96978"/>
    <w:rsid w:val="00F96EC1"/>
    <w:rsid w:val="00FA231D"/>
    <w:rsid w:val="00FA2B83"/>
    <w:rsid w:val="00FA31E9"/>
    <w:rsid w:val="00FA3752"/>
    <w:rsid w:val="00FA3B4F"/>
    <w:rsid w:val="00FB3397"/>
    <w:rsid w:val="00FB5EDD"/>
    <w:rsid w:val="00FB6777"/>
    <w:rsid w:val="00FB6C54"/>
    <w:rsid w:val="00FC079B"/>
    <w:rsid w:val="00FC1973"/>
    <w:rsid w:val="00FC3AF3"/>
    <w:rsid w:val="00FC3E32"/>
    <w:rsid w:val="00FC3EE0"/>
    <w:rsid w:val="00FC555F"/>
    <w:rsid w:val="00FC6396"/>
    <w:rsid w:val="00FC68C0"/>
    <w:rsid w:val="00FD05AD"/>
    <w:rsid w:val="00FD1172"/>
    <w:rsid w:val="00FD453F"/>
    <w:rsid w:val="00FD486D"/>
    <w:rsid w:val="00FD4E4B"/>
    <w:rsid w:val="00FD608D"/>
    <w:rsid w:val="00FD6093"/>
    <w:rsid w:val="00FE1460"/>
    <w:rsid w:val="00FE27B5"/>
    <w:rsid w:val="00FE58A1"/>
    <w:rsid w:val="00FE5E0D"/>
    <w:rsid w:val="00FE619C"/>
    <w:rsid w:val="00FE65E0"/>
    <w:rsid w:val="00FF0AC1"/>
    <w:rsid w:val="00FF0CB4"/>
    <w:rsid w:val="00FF2739"/>
    <w:rsid w:val="00FF347D"/>
    <w:rsid w:val="00FF442C"/>
    <w:rsid w:val="00FF4DF9"/>
    <w:rsid w:val="00FF562B"/>
    <w:rsid w:val="00FF5D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BBA"/>
    <w:rPr>
      <w:sz w:val="24"/>
      <w:szCs w:val="24"/>
      <w:lang w:val="en-GB" w:eastAsia="en-US"/>
    </w:rPr>
  </w:style>
  <w:style w:type="paragraph" w:styleId="Heading1">
    <w:name w:val="heading 1"/>
    <w:basedOn w:val="Normal"/>
    <w:next w:val="Normal"/>
    <w:link w:val="Heading1Char"/>
    <w:qFormat/>
    <w:pPr>
      <w:keepNext/>
      <w:jc w:val="center"/>
      <w:outlineLvl w:val="0"/>
    </w:pPr>
    <w:rPr>
      <w:rFonts w:ascii="Tahoma" w:hAnsi="Tahoma" w:cs="Tahoma"/>
      <w:b/>
      <w:bCs/>
      <w:sz w:val="26"/>
      <w:lang w:val="el-GR"/>
    </w:rPr>
  </w:style>
  <w:style w:type="paragraph" w:styleId="Heading2">
    <w:name w:val="heading 2"/>
    <w:basedOn w:val="Normal"/>
    <w:next w:val="Normal"/>
    <w:qFormat/>
    <w:rsid w:val="000255C8"/>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styleId="Hyperlink">
    <w:name w:val="Hyperlink"/>
    <w:rPr>
      <w:color w:val="0000FF"/>
      <w:u w:val="single"/>
    </w:rPr>
  </w:style>
  <w:style w:type="character" w:styleId="Strong">
    <w:name w:val="Strong"/>
    <w:uiPriority w:val="22"/>
    <w:qFormat/>
    <w:rPr>
      <w:b/>
      <w:bCs/>
    </w:rPr>
  </w:style>
  <w:style w:type="paragraph" w:styleId="BodyText">
    <w:name w:val="Body Text"/>
    <w:aliases w:val="b,Τίτλος Μελέτης,bt,Starbucks Body Text,heading3,body text,3 indent,heading31,body text1,3 indent1,heading32,body text2,3 indent2,heading33,body text3,3 indent3,heading34,body text4,3 indent4,!head1,Resume Text,NCDOT Body Text,Bodytext"/>
    <w:basedOn w:val="Normal"/>
    <w:pPr>
      <w:spacing w:line="360" w:lineRule="auto"/>
      <w:jc w:val="both"/>
    </w:pPr>
    <w:rPr>
      <w:rFonts w:ascii="Tahoma" w:hAnsi="Tahoma" w:cs="Tahoma"/>
      <w:sz w:val="22"/>
      <w:lang w:val="el-G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Verdana" w:hAnsi="Verdana"/>
      <w:b/>
      <w:bCs/>
      <w:lang w:val="el-GR"/>
    </w:rPr>
  </w:style>
  <w:style w:type="paragraph" w:styleId="ListBullet3">
    <w:name w:val="List Bullet 3"/>
    <w:basedOn w:val="Normal"/>
    <w:autoRedefine/>
    <w:pPr>
      <w:numPr>
        <w:numId w:val="1"/>
      </w:numPr>
      <w:spacing w:line="360" w:lineRule="auto"/>
      <w:jc w:val="both"/>
    </w:pPr>
    <w:rPr>
      <w:rFonts w:ascii="Tahoma" w:hAnsi="Tahoma" w:cs="Tahoma"/>
      <w:iCs/>
      <w:sz w:val="20"/>
      <w:szCs w:val="17"/>
      <w:lang w:val="el-GR"/>
    </w:rPr>
  </w:style>
  <w:style w:type="paragraph" w:customStyle="1" w:styleId="Normal2">
    <w:name w:val="Normal 2"/>
    <w:basedOn w:val="Normal"/>
    <w:pPr>
      <w:overflowPunct w:val="0"/>
      <w:autoSpaceDE w:val="0"/>
      <w:autoSpaceDN w:val="0"/>
      <w:adjustRightInd w:val="0"/>
      <w:spacing w:before="40" w:after="40"/>
      <w:textAlignment w:val="baseline"/>
    </w:pPr>
    <w:rPr>
      <w:rFonts w:ascii="Verdana" w:hAnsi="Verdana"/>
      <w:sz w:val="20"/>
      <w:szCs w:val="20"/>
      <w:lang w:val="el-GR"/>
    </w:rPr>
  </w:style>
  <w:style w:type="paragraph" w:styleId="BodyText2">
    <w:name w:val="Body Text 2"/>
    <w:basedOn w:val="Normal"/>
    <w:pPr>
      <w:jc w:val="both"/>
    </w:pPr>
    <w:rPr>
      <w:lang w:val="el-GR"/>
    </w:rPr>
  </w:style>
  <w:style w:type="paragraph" w:styleId="BodyText3">
    <w:name w:val="Body Text 3"/>
    <w:basedOn w:val="Normal"/>
    <w:pPr>
      <w:spacing w:line="360" w:lineRule="auto"/>
      <w:jc w:val="both"/>
    </w:pPr>
    <w:rPr>
      <w:rFonts w:ascii="Bookman Old Style" w:hAnsi="Bookman Old Style" w:cs="Arial"/>
      <w:sz w:val="22"/>
      <w:szCs w:val="20"/>
      <w:lang w:val="el-GR"/>
    </w:rPr>
  </w:style>
  <w:style w:type="character" w:styleId="PageNumber">
    <w:name w:val="page number"/>
    <w:basedOn w:val="DefaultParagraphFont"/>
  </w:style>
  <w:style w:type="paragraph" w:styleId="BodyTextIndent">
    <w:name w:val="Body Text Indent"/>
    <w:basedOn w:val="Normal"/>
    <w:pPr>
      <w:jc w:val="both"/>
    </w:pPr>
    <w:rPr>
      <w:snapToGrid w:val="0"/>
      <w:szCs w:val="20"/>
      <w:lang w:val="en-US"/>
    </w:rPr>
  </w:style>
  <w:style w:type="paragraph" w:styleId="BodyTextIndent2">
    <w:name w:val="Body Text Indent 2"/>
    <w:basedOn w:val="Normal"/>
    <w:pPr>
      <w:spacing w:before="100" w:beforeAutospacing="1" w:after="100" w:afterAutospacing="1"/>
      <w:ind w:left="360"/>
      <w:jc w:val="both"/>
    </w:pPr>
    <w:rPr>
      <w:rFonts w:ascii="Verdana" w:hAnsi="Verdana"/>
      <w:sz w:val="17"/>
      <w:szCs w:val="17"/>
      <w:lang w:val="el-GR"/>
    </w:rPr>
  </w:style>
  <w:style w:type="paragraph" w:styleId="BodyTextIndent3">
    <w:name w:val="Body Text Indent 3"/>
    <w:basedOn w:val="Normal"/>
    <w:pPr>
      <w:spacing w:line="360" w:lineRule="auto"/>
      <w:ind w:left="720" w:hanging="360"/>
      <w:jc w:val="both"/>
    </w:pPr>
    <w:rPr>
      <w:rFonts w:ascii="Tahoma" w:hAnsi="Tahoma" w:cs="Tahoma"/>
      <w:sz w:val="20"/>
      <w:lang w:val="el-GR"/>
    </w:rPr>
  </w:style>
  <w:style w:type="paragraph" w:styleId="BalloonText">
    <w:name w:val="Balloon Text"/>
    <w:basedOn w:val="Normal"/>
    <w:semiHidden/>
    <w:rsid w:val="00A310CE"/>
    <w:rPr>
      <w:rFonts w:ascii="Tahoma" w:hAnsi="Tahoma" w:cs="Tahoma"/>
      <w:sz w:val="16"/>
      <w:szCs w:val="16"/>
    </w:rPr>
  </w:style>
  <w:style w:type="character" w:customStyle="1" w:styleId="idelatolas">
    <w:name w:val="i.delatolas"/>
    <w:semiHidden/>
    <w:rsid w:val="00E50813"/>
    <w:rPr>
      <w:rFonts w:ascii="Arial" w:hAnsi="Arial" w:cs="Arial"/>
      <w:color w:val="auto"/>
      <w:sz w:val="20"/>
      <w:szCs w:val="20"/>
    </w:rPr>
  </w:style>
  <w:style w:type="character" w:customStyle="1" w:styleId="mzaga">
    <w:name w:val="m.zaga"/>
    <w:semiHidden/>
    <w:rsid w:val="00235BBA"/>
    <w:rPr>
      <w:rFonts w:ascii="Arial" w:hAnsi="Arial" w:cs="Arial"/>
      <w:color w:val="auto"/>
      <w:sz w:val="20"/>
      <w:szCs w:val="20"/>
    </w:rPr>
  </w:style>
  <w:style w:type="paragraph" w:styleId="ListParagraph">
    <w:name w:val="List Paragraph"/>
    <w:basedOn w:val="Normal"/>
    <w:uiPriority w:val="34"/>
    <w:qFormat/>
    <w:rsid w:val="00993600"/>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DB6D6A"/>
    <w:rPr>
      <w:rFonts w:ascii="Tahoma" w:hAnsi="Tahoma" w:cs="Tahoma"/>
      <w:b/>
      <w:bCs/>
      <w:sz w:val="26"/>
      <w:szCs w:val="24"/>
      <w:lang w:val="el-GR" w:eastAsia="en-US"/>
    </w:rPr>
  </w:style>
  <w:style w:type="character" w:customStyle="1" w:styleId="hps">
    <w:name w:val="hps"/>
    <w:rsid w:val="00512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BBA"/>
    <w:rPr>
      <w:sz w:val="24"/>
      <w:szCs w:val="24"/>
      <w:lang w:val="en-GB" w:eastAsia="en-US"/>
    </w:rPr>
  </w:style>
  <w:style w:type="paragraph" w:styleId="Heading1">
    <w:name w:val="heading 1"/>
    <w:basedOn w:val="Normal"/>
    <w:next w:val="Normal"/>
    <w:link w:val="Heading1Char"/>
    <w:qFormat/>
    <w:pPr>
      <w:keepNext/>
      <w:jc w:val="center"/>
      <w:outlineLvl w:val="0"/>
    </w:pPr>
    <w:rPr>
      <w:rFonts w:ascii="Tahoma" w:hAnsi="Tahoma" w:cs="Tahoma"/>
      <w:b/>
      <w:bCs/>
      <w:sz w:val="26"/>
      <w:lang w:val="el-GR"/>
    </w:rPr>
  </w:style>
  <w:style w:type="paragraph" w:styleId="Heading2">
    <w:name w:val="heading 2"/>
    <w:basedOn w:val="Normal"/>
    <w:next w:val="Normal"/>
    <w:qFormat/>
    <w:rsid w:val="000255C8"/>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styleId="Hyperlink">
    <w:name w:val="Hyperlink"/>
    <w:rPr>
      <w:color w:val="0000FF"/>
      <w:u w:val="single"/>
    </w:rPr>
  </w:style>
  <w:style w:type="character" w:styleId="Strong">
    <w:name w:val="Strong"/>
    <w:uiPriority w:val="22"/>
    <w:qFormat/>
    <w:rPr>
      <w:b/>
      <w:bCs/>
    </w:rPr>
  </w:style>
  <w:style w:type="paragraph" w:styleId="BodyText">
    <w:name w:val="Body Text"/>
    <w:aliases w:val="b,Τίτλος Μελέτης,bt,Starbucks Body Text,heading3,body text,3 indent,heading31,body text1,3 indent1,heading32,body text2,3 indent2,heading33,body text3,3 indent3,heading34,body text4,3 indent4,!head1,Resume Text,NCDOT Body Text,Bodytext"/>
    <w:basedOn w:val="Normal"/>
    <w:pPr>
      <w:spacing w:line="360" w:lineRule="auto"/>
      <w:jc w:val="both"/>
    </w:pPr>
    <w:rPr>
      <w:rFonts w:ascii="Tahoma" w:hAnsi="Tahoma" w:cs="Tahoma"/>
      <w:sz w:val="22"/>
      <w:lang w:val="el-G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Verdana" w:hAnsi="Verdana"/>
      <w:b/>
      <w:bCs/>
      <w:lang w:val="el-GR"/>
    </w:rPr>
  </w:style>
  <w:style w:type="paragraph" w:styleId="ListBullet3">
    <w:name w:val="List Bullet 3"/>
    <w:basedOn w:val="Normal"/>
    <w:autoRedefine/>
    <w:pPr>
      <w:numPr>
        <w:numId w:val="1"/>
      </w:numPr>
      <w:spacing w:line="360" w:lineRule="auto"/>
      <w:jc w:val="both"/>
    </w:pPr>
    <w:rPr>
      <w:rFonts w:ascii="Tahoma" w:hAnsi="Tahoma" w:cs="Tahoma"/>
      <w:iCs/>
      <w:sz w:val="20"/>
      <w:szCs w:val="17"/>
      <w:lang w:val="el-GR"/>
    </w:rPr>
  </w:style>
  <w:style w:type="paragraph" w:customStyle="1" w:styleId="Normal2">
    <w:name w:val="Normal 2"/>
    <w:basedOn w:val="Normal"/>
    <w:pPr>
      <w:overflowPunct w:val="0"/>
      <w:autoSpaceDE w:val="0"/>
      <w:autoSpaceDN w:val="0"/>
      <w:adjustRightInd w:val="0"/>
      <w:spacing w:before="40" w:after="40"/>
      <w:textAlignment w:val="baseline"/>
    </w:pPr>
    <w:rPr>
      <w:rFonts w:ascii="Verdana" w:hAnsi="Verdana"/>
      <w:sz w:val="20"/>
      <w:szCs w:val="20"/>
      <w:lang w:val="el-GR"/>
    </w:rPr>
  </w:style>
  <w:style w:type="paragraph" w:styleId="BodyText2">
    <w:name w:val="Body Text 2"/>
    <w:basedOn w:val="Normal"/>
    <w:pPr>
      <w:jc w:val="both"/>
    </w:pPr>
    <w:rPr>
      <w:lang w:val="el-GR"/>
    </w:rPr>
  </w:style>
  <w:style w:type="paragraph" w:styleId="BodyText3">
    <w:name w:val="Body Text 3"/>
    <w:basedOn w:val="Normal"/>
    <w:pPr>
      <w:spacing w:line="360" w:lineRule="auto"/>
      <w:jc w:val="both"/>
    </w:pPr>
    <w:rPr>
      <w:rFonts w:ascii="Bookman Old Style" w:hAnsi="Bookman Old Style" w:cs="Arial"/>
      <w:sz w:val="22"/>
      <w:szCs w:val="20"/>
      <w:lang w:val="el-GR"/>
    </w:rPr>
  </w:style>
  <w:style w:type="character" w:styleId="PageNumber">
    <w:name w:val="page number"/>
    <w:basedOn w:val="DefaultParagraphFont"/>
  </w:style>
  <w:style w:type="paragraph" w:styleId="BodyTextIndent">
    <w:name w:val="Body Text Indent"/>
    <w:basedOn w:val="Normal"/>
    <w:pPr>
      <w:jc w:val="both"/>
    </w:pPr>
    <w:rPr>
      <w:snapToGrid w:val="0"/>
      <w:szCs w:val="20"/>
      <w:lang w:val="en-US"/>
    </w:rPr>
  </w:style>
  <w:style w:type="paragraph" w:styleId="BodyTextIndent2">
    <w:name w:val="Body Text Indent 2"/>
    <w:basedOn w:val="Normal"/>
    <w:pPr>
      <w:spacing w:before="100" w:beforeAutospacing="1" w:after="100" w:afterAutospacing="1"/>
      <w:ind w:left="360"/>
      <w:jc w:val="both"/>
    </w:pPr>
    <w:rPr>
      <w:rFonts w:ascii="Verdana" w:hAnsi="Verdana"/>
      <w:sz w:val="17"/>
      <w:szCs w:val="17"/>
      <w:lang w:val="el-GR"/>
    </w:rPr>
  </w:style>
  <w:style w:type="paragraph" w:styleId="BodyTextIndent3">
    <w:name w:val="Body Text Indent 3"/>
    <w:basedOn w:val="Normal"/>
    <w:pPr>
      <w:spacing w:line="360" w:lineRule="auto"/>
      <w:ind w:left="720" w:hanging="360"/>
      <w:jc w:val="both"/>
    </w:pPr>
    <w:rPr>
      <w:rFonts w:ascii="Tahoma" w:hAnsi="Tahoma" w:cs="Tahoma"/>
      <w:sz w:val="20"/>
      <w:lang w:val="el-GR"/>
    </w:rPr>
  </w:style>
  <w:style w:type="paragraph" w:styleId="BalloonText">
    <w:name w:val="Balloon Text"/>
    <w:basedOn w:val="Normal"/>
    <w:semiHidden/>
    <w:rsid w:val="00A310CE"/>
    <w:rPr>
      <w:rFonts w:ascii="Tahoma" w:hAnsi="Tahoma" w:cs="Tahoma"/>
      <w:sz w:val="16"/>
      <w:szCs w:val="16"/>
    </w:rPr>
  </w:style>
  <w:style w:type="character" w:customStyle="1" w:styleId="idelatolas">
    <w:name w:val="i.delatolas"/>
    <w:semiHidden/>
    <w:rsid w:val="00E50813"/>
    <w:rPr>
      <w:rFonts w:ascii="Arial" w:hAnsi="Arial" w:cs="Arial"/>
      <w:color w:val="auto"/>
      <w:sz w:val="20"/>
      <w:szCs w:val="20"/>
    </w:rPr>
  </w:style>
  <w:style w:type="character" w:customStyle="1" w:styleId="mzaga">
    <w:name w:val="m.zaga"/>
    <w:semiHidden/>
    <w:rsid w:val="00235BBA"/>
    <w:rPr>
      <w:rFonts w:ascii="Arial" w:hAnsi="Arial" w:cs="Arial"/>
      <w:color w:val="auto"/>
      <w:sz w:val="20"/>
      <w:szCs w:val="20"/>
    </w:rPr>
  </w:style>
  <w:style w:type="paragraph" w:styleId="ListParagraph">
    <w:name w:val="List Paragraph"/>
    <w:basedOn w:val="Normal"/>
    <w:uiPriority w:val="34"/>
    <w:qFormat/>
    <w:rsid w:val="00993600"/>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DB6D6A"/>
    <w:rPr>
      <w:rFonts w:ascii="Tahoma" w:hAnsi="Tahoma" w:cs="Tahoma"/>
      <w:b/>
      <w:bCs/>
      <w:sz w:val="26"/>
      <w:szCs w:val="24"/>
      <w:lang w:val="el-GR" w:eastAsia="en-US"/>
    </w:rPr>
  </w:style>
  <w:style w:type="character" w:customStyle="1" w:styleId="hps">
    <w:name w:val="hps"/>
    <w:rsid w:val="0051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1712">
      <w:bodyDiv w:val="1"/>
      <w:marLeft w:val="0"/>
      <w:marRight w:val="0"/>
      <w:marTop w:val="0"/>
      <w:marBottom w:val="0"/>
      <w:divBdr>
        <w:top w:val="none" w:sz="0" w:space="0" w:color="auto"/>
        <w:left w:val="none" w:sz="0" w:space="0" w:color="auto"/>
        <w:bottom w:val="none" w:sz="0" w:space="0" w:color="auto"/>
        <w:right w:val="none" w:sz="0" w:space="0" w:color="auto"/>
      </w:divBdr>
    </w:div>
    <w:div w:id="119107949">
      <w:bodyDiv w:val="1"/>
      <w:marLeft w:val="750"/>
      <w:marRight w:val="0"/>
      <w:marTop w:val="300"/>
      <w:marBottom w:val="0"/>
      <w:divBdr>
        <w:top w:val="none" w:sz="0" w:space="0" w:color="auto"/>
        <w:left w:val="none" w:sz="0" w:space="0" w:color="auto"/>
        <w:bottom w:val="none" w:sz="0" w:space="0" w:color="auto"/>
        <w:right w:val="none" w:sz="0" w:space="0" w:color="auto"/>
      </w:divBdr>
    </w:div>
    <w:div w:id="199824528">
      <w:bodyDiv w:val="1"/>
      <w:marLeft w:val="0"/>
      <w:marRight w:val="0"/>
      <w:marTop w:val="0"/>
      <w:marBottom w:val="0"/>
      <w:divBdr>
        <w:top w:val="none" w:sz="0" w:space="0" w:color="auto"/>
        <w:left w:val="none" w:sz="0" w:space="0" w:color="auto"/>
        <w:bottom w:val="none" w:sz="0" w:space="0" w:color="auto"/>
        <w:right w:val="none" w:sz="0" w:space="0" w:color="auto"/>
      </w:divBdr>
    </w:div>
    <w:div w:id="201215352">
      <w:bodyDiv w:val="1"/>
      <w:marLeft w:val="0"/>
      <w:marRight w:val="0"/>
      <w:marTop w:val="0"/>
      <w:marBottom w:val="0"/>
      <w:divBdr>
        <w:top w:val="none" w:sz="0" w:space="0" w:color="auto"/>
        <w:left w:val="none" w:sz="0" w:space="0" w:color="auto"/>
        <w:bottom w:val="none" w:sz="0" w:space="0" w:color="auto"/>
        <w:right w:val="none" w:sz="0" w:space="0" w:color="auto"/>
      </w:divBdr>
    </w:div>
    <w:div w:id="281420591">
      <w:bodyDiv w:val="1"/>
      <w:marLeft w:val="0"/>
      <w:marRight w:val="0"/>
      <w:marTop w:val="0"/>
      <w:marBottom w:val="0"/>
      <w:divBdr>
        <w:top w:val="none" w:sz="0" w:space="0" w:color="auto"/>
        <w:left w:val="none" w:sz="0" w:space="0" w:color="auto"/>
        <w:bottom w:val="none" w:sz="0" w:space="0" w:color="auto"/>
        <w:right w:val="none" w:sz="0" w:space="0" w:color="auto"/>
      </w:divBdr>
    </w:div>
    <w:div w:id="287053378">
      <w:bodyDiv w:val="1"/>
      <w:marLeft w:val="0"/>
      <w:marRight w:val="0"/>
      <w:marTop w:val="0"/>
      <w:marBottom w:val="0"/>
      <w:divBdr>
        <w:top w:val="none" w:sz="0" w:space="0" w:color="auto"/>
        <w:left w:val="none" w:sz="0" w:space="0" w:color="auto"/>
        <w:bottom w:val="none" w:sz="0" w:space="0" w:color="auto"/>
        <w:right w:val="none" w:sz="0" w:space="0" w:color="auto"/>
      </w:divBdr>
    </w:div>
    <w:div w:id="299464053">
      <w:bodyDiv w:val="1"/>
      <w:marLeft w:val="0"/>
      <w:marRight w:val="0"/>
      <w:marTop w:val="0"/>
      <w:marBottom w:val="0"/>
      <w:divBdr>
        <w:top w:val="none" w:sz="0" w:space="0" w:color="auto"/>
        <w:left w:val="none" w:sz="0" w:space="0" w:color="auto"/>
        <w:bottom w:val="none" w:sz="0" w:space="0" w:color="auto"/>
        <w:right w:val="none" w:sz="0" w:space="0" w:color="auto"/>
      </w:divBdr>
    </w:div>
    <w:div w:id="417143203">
      <w:bodyDiv w:val="1"/>
      <w:marLeft w:val="0"/>
      <w:marRight w:val="0"/>
      <w:marTop w:val="0"/>
      <w:marBottom w:val="0"/>
      <w:divBdr>
        <w:top w:val="none" w:sz="0" w:space="0" w:color="auto"/>
        <w:left w:val="none" w:sz="0" w:space="0" w:color="auto"/>
        <w:bottom w:val="none" w:sz="0" w:space="0" w:color="auto"/>
        <w:right w:val="none" w:sz="0" w:space="0" w:color="auto"/>
      </w:divBdr>
    </w:div>
    <w:div w:id="429551005">
      <w:bodyDiv w:val="1"/>
      <w:marLeft w:val="0"/>
      <w:marRight w:val="0"/>
      <w:marTop w:val="0"/>
      <w:marBottom w:val="0"/>
      <w:divBdr>
        <w:top w:val="none" w:sz="0" w:space="0" w:color="auto"/>
        <w:left w:val="none" w:sz="0" w:space="0" w:color="auto"/>
        <w:bottom w:val="none" w:sz="0" w:space="0" w:color="auto"/>
        <w:right w:val="none" w:sz="0" w:space="0" w:color="auto"/>
      </w:divBdr>
    </w:div>
    <w:div w:id="460155474">
      <w:bodyDiv w:val="1"/>
      <w:marLeft w:val="0"/>
      <w:marRight w:val="0"/>
      <w:marTop w:val="0"/>
      <w:marBottom w:val="0"/>
      <w:divBdr>
        <w:top w:val="none" w:sz="0" w:space="0" w:color="auto"/>
        <w:left w:val="none" w:sz="0" w:space="0" w:color="auto"/>
        <w:bottom w:val="none" w:sz="0" w:space="0" w:color="auto"/>
        <w:right w:val="none" w:sz="0" w:space="0" w:color="auto"/>
      </w:divBdr>
    </w:div>
    <w:div w:id="604968013">
      <w:bodyDiv w:val="1"/>
      <w:marLeft w:val="0"/>
      <w:marRight w:val="0"/>
      <w:marTop w:val="0"/>
      <w:marBottom w:val="0"/>
      <w:divBdr>
        <w:top w:val="none" w:sz="0" w:space="0" w:color="auto"/>
        <w:left w:val="none" w:sz="0" w:space="0" w:color="auto"/>
        <w:bottom w:val="none" w:sz="0" w:space="0" w:color="auto"/>
        <w:right w:val="none" w:sz="0" w:space="0" w:color="auto"/>
      </w:divBdr>
    </w:div>
    <w:div w:id="611210997">
      <w:bodyDiv w:val="1"/>
      <w:marLeft w:val="0"/>
      <w:marRight w:val="0"/>
      <w:marTop w:val="0"/>
      <w:marBottom w:val="0"/>
      <w:divBdr>
        <w:top w:val="none" w:sz="0" w:space="0" w:color="auto"/>
        <w:left w:val="none" w:sz="0" w:space="0" w:color="auto"/>
        <w:bottom w:val="none" w:sz="0" w:space="0" w:color="auto"/>
        <w:right w:val="none" w:sz="0" w:space="0" w:color="auto"/>
      </w:divBdr>
    </w:div>
    <w:div w:id="676344085">
      <w:bodyDiv w:val="1"/>
      <w:marLeft w:val="0"/>
      <w:marRight w:val="0"/>
      <w:marTop w:val="0"/>
      <w:marBottom w:val="0"/>
      <w:divBdr>
        <w:top w:val="none" w:sz="0" w:space="0" w:color="auto"/>
        <w:left w:val="none" w:sz="0" w:space="0" w:color="auto"/>
        <w:bottom w:val="none" w:sz="0" w:space="0" w:color="auto"/>
        <w:right w:val="none" w:sz="0" w:space="0" w:color="auto"/>
      </w:divBdr>
    </w:div>
    <w:div w:id="872614972">
      <w:bodyDiv w:val="1"/>
      <w:marLeft w:val="0"/>
      <w:marRight w:val="0"/>
      <w:marTop w:val="0"/>
      <w:marBottom w:val="0"/>
      <w:divBdr>
        <w:top w:val="none" w:sz="0" w:space="0" w:color="auto"/>
        <w:left w:val="none" w:sz="0" w:space="0" w:color="auto"/>
        <w:bottom w:val="none" w:sz="0" w:space="0" w:color="auto"/>
        <w:right w:val="none" w:sz="0" w:space="0" w:color="auto"/>
      </w:divBdr>
    </w:div>
    <w:div w:id="996882874">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112480578">
      <w:bodyDiv w:val="1"/>
      <w:marLeft w:val="0"/>
      <w:marRight w:val="0"/>
      <w:marTop w:val="0"/>
      <w:marBottom w:val="0"/>
      <w:divBdr>
        <w:top w:val="none" w:sz="0" w:space="0" w:color="auto"/>
        <w:left w:val="none" w:sz="0" w:space="0" w:color="auto"/>
        <w:bottom w:val="none" w:sz="0" w:space="0" w:color="auto"/>
        <w:right w:val="none" w:sz="0" w:space="0" w:color="auto"/>
      </w:divBdr>
    </w:div>
    <w:div w:id="1171145065">
      <w:bodyDiv w:val="1"/>
      <w:marLeft w:val="0"/>
      <w:marRight w:val="0"/>
      <w:marTop w:val="0"/>
      <w:marBottom w:val="0"/>
      <w:divBdr>
        <w:top w:val="none" w:sz="0" w:space="0" w:color="auto"/>
        <w:left w:val="none" w:sz="0" w:space="0" w:color="auto"/>
        <w:bottom w:val="none" w:sz="0" w:space="0" w:color="auto"/>
        <w:right w:val="none" w:sz="0" w:space="0" w:color="auto"/>
      </w:divBdr>
    </w:div>
    <w:div w:id="1256549646">
      <w:bodyDiv w:val="1"/>
      <w:marLeft w:val="0"/>
      <w:marRight w:val="0"/>
      <w:marTop w:val="0"/>
      <w:marBottom w:val="0"/>
      <w:divBdr>
        <w:top w:val="none" w:sz="0" w:space="0" w:color="auto"/>
        <w:left w:val="none" w:sz="0" w:space="0" w:color="auto"/>
        <w:bottom w:val="none" w:sz="0" w:space="0" w:color="auto"/>
        <w:right w:val="none" w:sz="0" w:space="0" w:color="auto"/>
      </w:divBdr>
    </w:div>
    <w:div w:id="1298678673">
      <w:bodyDiv w:val="1"/>
      <w:marLeft w:val="750"/>
      <w:marRight w:val="0"/>
      <w:marTop w:val="300"/>
      <w:marBottom w:val="0"/>
      <w:divBdr>
        <w:top w:val="none" w:sz="0" w:space="0" w:color="auto"/>
        <w:left w:val="none" w:sz="0" w:space="0" w:color="auto"/>
        <w:bottom w:val="none" w:sz="0" w:space="0" w:color="auto"/>
        <w:right w:val="none" w:sz="0" w:space="0" w:color="auto"/>
      </w:divBdr>
    </w:div>
    <w:div w:id="1377200910">
      <w:bodyDiv w:val="1"/>
      <w:marLeft w:val="0"/>
      <w:marRight w:val="0"/>
      <w:marTop w:val="0"/>
      <w:marBottom w:val="0"/>
      <w:divBdr>
        <w:top w:val="none" w:sz="0" w:space="0" w:color="auto"/>
        <w:left w:val="none" w:sz="0" w:space="0" w:color="auto"/>
        <w:bottom w:val="none" w:sz="0" w:space="0" w:color="auto"/>
        <w:right w:val="none" w:sz="0" w:space="0" w:color="auto"/>
      </w:divBdr>
    </w:div>
    <w:div w:id="1482769750">
      <w:bodyDiv w:val="1"/>
      <w:marLeft w:val="750"/>
      <w:marRight w:val="0"/>
      <w:marTop w:val="300"/>
      <w:marBottom w:val="0"/>
      <w:divBdr>
        <w:top w:val="none" w:sz="0" w:space="0" w:color="auto"/>
        <w:left w:val="none" w:sz="0" w:space="0" w:color="auto"/>
        <w:bottom w:val="none" w:sz="0" w:space="0" w:color="auto"/>
        <w:right w:val="none" w:sz="0" w:space="0" w:color="auto"/>
      </w:divBdr>
    </w:div>
    <w:div w:id="1746537746">
      <w:bodyDiv w:val="1"/>
      <w:marLeft w:val="0"/>
      <w:marRight w:val="0"/>
      <w:marTop w:val="0"/>
      <w:marBottom w:val="0"/>
      <w:divBdr>
        <w:top w:val="none" w:sz="0" w:space="0" w:color="auto"/>
        <w:left w:val="none" w:sz="0" w:space="0" w:color="auto"/>
        <w:bottom w:val="none" w:sz="0" w:space="0" w:color="auto"/>
        <w:right w:val="none" w:sz="0" w:space="0" w:color="auto"/>
      </w:divBdr>
    </w:div>
    <w:div w:id="1844469867">
      <w:bodyDiv w:val="1"/>
      <w:marLeft w:val="0"/>
      <w:marRight w:val="0"/>
      <w:marTop w:val="0"/>
      <w:marBottom w:val="0"/>
      <w:divBdr>
        <w:top w:val="none" w:sz="0" w:space="0" w:color="auto"/>
        <w:left w:val="none" w:sz="0" w:space="0" w:color="auto"/>
        <w:bottom w:val="none" w:sz="0" w:space="0" w:color="auto"/>
        <w:right w:val="none" w:sz="0" w:space="0" w:color="auto"/>
      </w:divBdr>
    </w:div>
    <w:div w:id="1904369497">
      <w:bodyDiv w:val="1"/>
      <w:marLeft w:val="0"/>
      <w:marRight w:val="0"/>
      <w:marTop w:val="0"/>
      <w:marBottom w:val="0"/>
      <w:divBdr>
        <w:top w:val="none" w:sz="0" w:space="0" w:color="auto"/>
        <w:left w:val="none" w:sz="0" w:space="0" w:color="auto"/>
        <w:bottom w:val="none" w:sz="0" w:space="0" w:color="auto"/>
        <w:right w:val="none" w:sz="0" w:space="0" w:color="auto"/>
      </w:divBdr>
    </w:div>
    <w:div w:id="1949777826">
      <w:bodyDiv w:val="1"/>
      <w:marLeft w:val="0"/>
      <w:marRight w:val="0"/>
      <w:marTop w:val="0"/>
      <w:marBottom w:val="0"/>
      <w:divBdr>
        <w:top w:val="none" w:sz="0" w:space="0" w:color="auto"/>
        <w:left w:val="none" w:sz="0" w:space="0" w:color="auto"/>
        <w:bottom w:val="none" w:sz="0" w:space="0" w:color="auto"/>
        <w:right w:val="none" w:sz="0" w:space="0" w:color="auto"/>
      </w:divBdr>
    </w:div>
    <w:div w:id="20356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Το Διοικητικό Συμβούλιο του Χρηματιστηρίου Αθηνών, αντί των παραδοσιακών χριστουγεννιάτικων ευχητήριων καρτών, αποφάσισε φέτος</vt:lpstr>
    </vt:vector>
  </TitlesOfParts>
  <Company>XAA</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Διοικητικό Συμβούλιο του Χρηματιστηρίου Αθηνών, αντί των παραδοσιακών χριστουγεννιάτικων ευχητήριων καρτών, αποφάσισε φέτος</dc:title>
  <dc:creator>Kondylis, Anastasios</dc:creator>
  <cp:lastModifiedBy>a.grispou</cp:lastModifiedBy>
  <cp:revision>4</cp:revision>
  <cp:lastPrinted>2014-01-03T14:23:00Z</cp:lastPrinted>
  <dcterms:created xsi:type="dcterms:W3CDTF">2014-03-26T15:04:00Z</dcterms:created>
  <dcterms:modified xsi:type="dcterms:W3CDTF">2014-03-26T15:07:00Z</dcterms:modified>
</cp:coreProperties>
</file>