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4C" w:rsidRPr="00C71FDE" w:rsidRDefault="0020354B" w:rsidP="0020354B">
      <w:pPr>
        <w:pStyle w:val="NormalWeb"/>
        <w:jc w:val="center"/>
        <w:rPr>
          <w:rFonts w:ascii="Tahoma" w:hAnsi="Tahoma" w:cs="Tahoma"/>
          <w:b/>
          <w:bCs/>
          <w:noProof/>
          <w:sz w:val="28"/>
        </w:rPr>
      </w:pPr>
      <w:r w:rsidRPr="00C71FDE">
        <w:rPr>
          <w:rFonts w:ascii="Verdana" w:hAnsi="Verdana"/>
          <w:b/>
          <w:bCs/>
          <w:noProof/>
          <w:sz w:val="18"/>
          <w:szCs w:val="18"/>
        </w:rPr>
        <w:drawing>
          <wp:inline distT="0" distB="0" distL="0" distR="0" wp14:anchorId="3F0BC82D" wp14:editId="420B3579">
            <wp:extent cx="4594860" cy="297180"/>
            <wp:effectExtent l="0" t="0" r="0" b="7620"/>
            <wp:docPr id="2" name="Picture 2" descr="ET-HELEX-G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-HELEX-GR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468" w:rsidRPr="00C71FDE" w:rsidRDefault="00D14E30" w:rsidP="00A84532">
      <w:pPr>
        <w:pStyle w:val="NormalWeb"/>
        <w:jc w:val="both"/>
        <w:rPr>
          <w:rFonts w:ascii="Verdana" w:hAnsi="Verdana" w:cs="Tahoma"/>
          <w:sz w:val="20"/>
          <w:szCs w:val="20"/>
        </w:rPr>
      </w:pPr>
      <w:r w:rsidRPr="00C71FDE">
        <w:rPr>
          <w:rFonts w:ascii="Verdana" w:hAnsi="Verdana" w:cs="Tahoma"/>
        </w:rPr>
        <w:tab/>
      </w:r>
      <w:r w:rsidRPr="00C71FDE">
        <w:rPr>
          <w:rFonts w:ascii="Verdana" w:hAnsi="Verdana" w:cs="Tahoma"/>
        </w:rPr>
        <w:tab/>
      </w:r>
      <w:r w:rsidRPr="00C71FDE">
        <w:rPr>
          <w:rFonts w:ascii="Verdana" w:hAnsi="Verdana" w:cs="Tahoma"/>
        </w:rPr>
        <w:tab/>
      </w:r>
      <w:r w:rsidRPr="00C71FDE">
        <w:rPr>
          <w:rFonts w:ascii="Verdana" w:hAnsi="Verdana" w:cs="Tahoma"/>
        </w:rPr>
        <w:tab/>
      </w:r>
      <w:r w:rsidRPr="00C71FDE">
        <w:rPr>
          <w:rFonts w:ascii="Verdana" w:hAnsi="Verdana" w:cs="Tahoma"/>
        </w:rPr>
        <w:tab/>
        <w:t xml:space="preserve">   </w:t>
      </w:r>
    </w:p>
    <w:p w:rsidR="00D14E30" w:rsidRPr="004851F2" w:rsidRDefault="00D14E30" w:rsidP="00D14E30">
      <w:pPr>
        <w:pStyle w:val="NormalWeb"/>
        <w:jc w:val="right"/>
        <w:rPr>
          <w:rFonts w:ascii="Verdana" w:hAnsi="Verdana" w:cs="Tahoma"/>
          <w:sz w:val="20"/>
          <w:szCs w:val="20"/>
        </w:rPr>
      </w:pPr>
      <w:r w:rsidRPr="004851F2">
        <w:rPr>
          <w:rFonts w:ascii="Verdana" w:hAnsi="Verdana" w:cs="Tahoma"/>
          <w:sz w:val="20"/>
          <w:szCs w:val="20"/>
        </w:rPr>
        <w:t xml:space="preserve">Αθήνα, </w:t>
      </w:r>
      <w:r w:rsidR="00B956A9" w:rsidRPr="004851F2">
        <w:rPr>
          <w:rFonts w:ascii="Verdana" w:hAnsi="Verdana" w:cs="Tahoma"/>
          <w:sz w:val="20"/>
          <w:szCs w:val="20"/>
        </w:rPr>
        <w:t>2</w:t>
      </w:r>
      <w:r w:rsidR="00924ECE" w:rsidRPr="004851F2">
        <w:rPr>
          <w:rFonts w:ascii="Verdana" w:hAnsi="Verdana" w:cs="Tahoma"/>
          <w:sz w:val="20"/>
          <w:szCs w:val="20"/>
        </w:rPr>
        <w:t>6</w:t>
      </w:r>
      <w:r w:rsidRPr="004851F2">
        <w:rPr>
          <w:rFonts w:ascii="Verdana" w:hAnsi="Verdana" w:cs="Tahoma"/>
          <w:sz w:val="20"/>
          <w:szCs w:val="20"/>
        </w:rPr>
        <w:t xml:space="preserve"> </w:t>
      </w:r>
      <w:r w:rsidR="00924ECE" w:rsidRPr="004851F2">
        <w:rPr>
          <w:rFonts w:ascii="Verdana" w:hAnsi="Verdana" w:cs="Tahoma"/>
          <w:sz w:val="20"/>
          <w:szCs w:val="20"/>
        </w:rPr>
        <w:t>Μαρτίου</w:t>
      </w:r>
      <w:r w:rsidR="00E03EBA" w:rsidRPr="004851F2">
        <w:rPr>
          <w:rFonts w:ascii="Verdana" w:hAnsi="Verdana" w:cs="Tahoma"/>
          <w:sz w:val="20"/>
          <w:szCs w:val="20"/>
        </w:rPr>
        <w:t xml:space="preserve"> </w:t>
      </w:r>
      <w:r w:rsidR="00A61963" w:rsidRPr="004851F2">
        <w:rPr>
          <w:rFonts w:ascii="Verdana" w:hAnsi="Verdana" w:cs="Tahoma"/>
          <w:sz w:val="20"/>
          <w:szCs w:val="20"/>
        </w:rPr>
        <w:t>201</w:t>
      </w:r>
      <w:r w:rsidR="00311F4C" w:rsidRPr="004851F2">
        <w:rPr>
          <w:rFonts w:ascii="Verdana" w:hAnsi="Verdana" w:cs="Tahoma"/>
          <w:sz w:val="20"/>
          <w:szCs w:val="20"/>
        </w:rPr>
        <w:t>4</w:t>
      </w:r>
    </w:p>
    <w:p w:rsidR="002D46EB" w:rsidRPr="00C44AE7" w:rsidRDefault="002D46EB" w:rsidP="00D14E30">
      <w:pPr>
        <w:pStyle w:val="NormalWeb"/>
        <w:jc w:val="right"/>
        <w:rPr>
          <w:rFonts w:ascii="Verdana" w:hAnsi="Verdana" w:cs="Tahoma"/>
        </w:rPr>
      </w:pPr>
    </w:p>
    <w:p w:rsidR="0024167B" w:rsidRPr="00C44AE7" w:rsidRDefault="001804B0" w:rsidP="002D46EB">
      <w:pPr>
        <w:pStyle w:val="NormalWeb"/>
        <w:spacing w:before="0" w:beforeAutospacing="0" w:after="0" w:afterAutospacing="0"/>
        <w:jc w:val="center"/>
        <w:rPr>
          <w:rFonts w:ascii="Verdana" w:hAnsi="Verdana" w:cs="Tahoma"/>
          <w:b/>
          <w:bCs/>
          <w:color w:val="00008B"/>
          <w:sz w:val="26"/>
          <w:szCs w:val="26"/>
          <w:u w:val="single"/>
        </w:rPr>
      </w:pPr>
      <w:r w:rsidRPr="00C44AE7">
        <w:rPr>
          <w:rFonts w:ascii="Verdana" w:hAnsi="Verdana" w:cs="Tahoma"/>
          <w:b/>
          <w:bCs/>
          <w:color w:val="00008B"/>
          <w:sz w:val="26"/>
          <w:szCs w:val="26"/>
          <w:u w:val="single"/>
        </w:rPr>
        <w:t>Δε</w:t>
      </w:r>
      <w:r w:rsidR="0020354B" w:rsidRPr="00C44AE7">
        <w:rPr>
          <w:rFonts w:ascii="Verdana" w:hAnsi="Verdana" w:cs="Tahoma"/>
          <w:b/>
          <w:bCs/>
          <w:color w:val="00008B"/>
          <w:sz w:val="26"/>
          <w:szCs w:val="26"/>
          <w:u w:val="single"/>
        </w:rPr>
        <w:t xml:space="preserve">λτίο Τύπου </w:t>
      </w:r>
    </w:p>
    <w:p w:rsidR="002D46EB" w:rsidRPr="004851F2" w:rsidRDefault="002D46EB" w:rsidP="002D46EB">
      <w:pPr>
        <w:pStyle w:val="NormalWeb"/>
        <w:spacing w:before="0" w:beforeAutospacing="0" w:after="0" w:afterAutospacing="0"/>
        <w:jc w:val="center"/>
        <w:rPr>
          <w:rFonts w:ascii="Verdana" w:hAnsi="Verdana" w:cs="Tahoma"/>
          <w:b/>
          <w:bCs/>
          <w:color w:val="00008B"/>
          <w:sz w:val="20"/>
          <w:szCs w:val="20"/>
          <w:u w:val="single"/>
        </w:rPr>
      </w:pPr>
    </w:p>
    <w:p w:rsidR="002D46EB" w:rsidRPr="004851F2" w:rsidRDefault="002D46EB" w:rsidP="002D46EB">
      <w:pPr>
        <w:pStyle w:val="NormalWeb"/>
        <w:spacing w:before="0" w:beforeAutospacing="0" w:after="0" w:afterAutospacing="0"/>
        <w:jc w:val="center"/>
        <w:rPr>
          <w:rFonts w:ascii="Verdana" w:hAnsi="Verdana" w:cs="Tahoma"/>
          <w:b/>
          <w:bCs/>
          <w:color w:val="00008B"/>
          <w:sz w:val="12"/>
          <w:szCs w:val="12"/>
          <w:u w:val="single"/>
        </w:rPr>
      </w:pPr>
    </w:p>
    <w:p w:rsidR="00924ECE" w:rsidRPr="004851F2" w:rsidRDefault="00924ECE" w:rsidP="002D46E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FF0B36" w:rsidRPr="004851F2" w:rsidRDefault="00FF0B36" w:rsidP="00C44AE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851F2">
        <w:rPr>
          <w:rFonts w:ascii="Verdana" w:hAnsi="Verdana"/>
          <w:sz w:val="20"/>
          <w:szCs w:val="20"/>
        </w:rPr>
        <w:t>H Διοικούσα Επιτροπή Χρηματιστηριακών Αγορών κατά τη σημερινή της συνεδρίαση ενέκρινε την εισαγωγή προς διαπραγμάτευση των</w:t>
      </w:r>
      <w:r w:rsidR="00C44AE7" w:rsidRPr="00C44AE7">
        <w:rPr>
          <w:rFonts w:ascii="Verdana" w:hAnsi="Verdana"/>
          <w:sz w:val="20"/>
          <w:szCs w:val="20"/>
        </w:rPr>
        <w:t xml:space="preserve"> </w:t>
      </w:r>
      <w:r w:rsidRPr="004851F2">
        <w:rPr>
          <w:rFonts w:ascii="Verdana" w:hAnsi="Verdana"/>
          <w:b/>
          <w:sz w:val="20"/>
          <w:szCs w:val="20"/>
        </w:rPr>
        <w:t>27.200.000</w:t>
      </w:r>
      <w:r w:rsidRPr="004851F2">
        <w:rPr>
          <w:rFonts w:ascii="Verdana" w:hAnsi="Verdana"/>
          <w:sz w:val="20"/>
          <w:szCs w:val="20"/>
        </w:rPr>
        <w:t xml:space="preserve"> νέων κοινών ονομαστικών μετοχών της εταιρίας </w:t>
      </w:r>
      <w:r w:rsidRPr="004851F2">
        <w:rPr>
          <w:rFonts w:ascii="Verdana" w:hAnsi="Verdana"/>
          <w:b/>
          <w:sz w:val="20"/>
          <w:szCs w:val="20"/>
        </w:rPr>
        <w:t>«Η ΚΑΘΗΜΕΡΙΝΗ Α.Ε. ΕΚΔΟΣΗ ΕΝΤΥΠΩΝ ΜΕΣΑ ΜΑΖΙΚΗΣ ΕΠΙΚΟΙΝΩΝΙΑΣ»</w:t>
      </w:r>
      <w:r w:rsidRPr="004851F2">
        <w:rPr>
          <w:rFonts w:ascii="Verdana" w:hAnsi="Verdana"/>
          <w:sz w:val="20"/>
          <w:szCs w:val="20"/>
        </w:rPr>
        <w:t xml:space="preserve">, οι οποίες προέκυψαν από την </w:t>
      </w:r>
      <w:r w:rsidR="00BA2E8E" w:rsidRPr="004851F2">
        <w:rPr>
          <w:rFonts w:ascii="Verdana" w:hAnsi="Verdana"/>
          <w:sz w:val="20"/>
          <w:szCs w:val="20"/>
        </w:rPr>
        <w:t xml:space="preserve">αύξηση του μετοχικού κεφαλαίου </w:t>
      </w:r>
      <w:r w:rsidRPr="004851F2">
        <w:rPr>
          <w:rFonts w:ascii="Verdana" w:hAnsi="Verdana"/>
          <w:sz w:val="20"/>
          <w:szCs w:val="20"/>
        </w:rPr>
        <w:t xml:space="preserve">της εταιρίας με καταβολή μετρητών υπέρ των παλαιών </w:t>
      </w:r>
      <w:r w:rsidR="00BA2E8E" w:rsidRPr="004851F2">
        <w:rPr>
          <w:rFonts w:ascii="Verdana" w:hAnsi="Verdana"/>
          <w:sz w:val="20"/>
          <w:szCs w:val="20"/>
        </w:rPr>
        <w:t xml:space="preserve">μετόχων. Ως ημερομηνία έναρξης </w:t>
      </w:r>
      <w:r w:rsidRPr="004851F2">
        <w:rPr>
          <w:rFonts w:ascii="Verdana" w:hAnsi="Verdana"/>
          <w:sz w:val="20"/>
          <w:szCs w:val="20"/>
        </w:rPr>
        <w:t xml:space="preserve">διαπραγμάτευσης των νέων μετοχών ορίστηκε η </w:t>
      </w:r>
      <w:r w:rsidRPr="004851F2">
        <w:rPr>
          <w:rFonts w:ascii="Verdana" w:hAnsi="Verdana"/>
          <w:b/>
          <w:sz w:val="20"/>
          <w:szCs w:val="20"/>
        </w:rPr>
        <w:t>28η Μαρτίου 2014</w:t>
      </w:r>
      <w:r w:rsidRPr="004851F2">
        <w:rPr>
          <w:rFonts w:ascii="Verdana" w:hAnsi="Verdana"/>
          <w:sz w:val="20"/>
          <w:szCs w:val="20"/>
        </w:rPr>
        <w:t>.</w:t>
      </w:r>
    </w:p>
    <w:p w:rsidR="00FF0B36" w:rsidRPr="004851F2" w:rsidRDefault="00FF0B36" w:rsidP="002D46E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D7A09" w:rsidRPr="006E630E" w:rsidRDefault="00924ECE" w:rsidP="00C44AE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851F2">
        <w:rPr>
          <w:rFonts w:ascii="Verdana" w:hAnsi="Verdana"/>
          <w:sz w:val="20"/>
          <w:szCs w:val="20"/>
        </w:rPr>
        <w:t>Επίσης</w:t>
      </w:r>
      <w:r w:rsidR="001479D0" w:rsidRPr="004851F2">
        <w:rPr>
          <w:rFonts w:ascii="Verdana" w:hAnsi="Verdana"/>
          <w:sz w:val="20"/>
          <w:szCs w:val="20"/>
        </w:rPr>
        <w:t>,</w:t>
      </w:r>
      <w:r w:rsidRPr="004851F2">
        <w:rPr>
          <w:rFonts w:ascii="Verdana" w:hAnsi="Verdana"/>
          <w:sz w:val="20"/>
          <w:szCs w:val="20"/>
        </w:rPr>
        <w:t xml:space="preserve"> η </w:t>
      </w:r>
      <w:r w:rsidR="00551F26" w:rsidRPr="004851F2">
        <w:rPr>
          <w:rFonts w:ascii="Verdana" w:hAnsi="Verdana"/>
          <w:sz w:val="20"/>
          <w:szCs w:val="20"/>
        </w:rPr>
        <w:t>Διοικούσα Επιτροπή Χρηματιστηριακών Αγορών κατά τη σημερινή της συνεδρίαση εν</w:t>
      </w:r>
      <w:r w:rsidRPr="004851F2">
        <w:rPr>
          <w:rFonts w:ascii="Verdana" w:hAnsi="Verdana"/>
          <w:sz w:val="20"/>
          <w:szCs w:val="20"/>
        </w:rPr>
        <w:t xml:space="preserve">ημερώθηκε για την αύξηση της ονομαστικής αξίας της μετοχής της εταιρίας </w:t>
      </w:r>
      <w:r w:rsidR="00551F26" w:rsidRPr="004851F2">
        <w:rPr>
          <w:rFonts w:ascii="Verdana" w:hAnsi="Verdana"/>
          <w:b/>
          <w:sz w:val="20"/>
          <w:szCs w:val="20"/>
        </w:rPr>
        <w:t>«</w:t>
      </w:r>
      <w:r w:rsidRPr="004851F2">
        <w:rPr>
          <w:rFonts w:ascii="Verdana" w:hAnsi="Verdana" w:cs="Tahoma"/>
          <w:b/>
          <w:color w:val="000000"/>
          <w:sz w:val="20"/>
          <w:szCs w:val="20"/>
        </w:rPr>
        <w:t>ΓΡ.ΣΑΡΑΝΤΗΣ ΑΒΕΕ</w:t>
      </w:r>
      <w:r w:rsidR="00551F26" w:rsidRPr="004851F2">
        <w:rPr>
          <w:rFonts w:ascii="Verdana" w:hAnsi="Verdana"/>
          <w:b/>
          <w:sz w:val="20"/>
          <w:szCs w:val="20"/>
        </w:rPr>
        <w:t>»</w:t>
      </w:r>
      <w:r w:rsidRPr="004851F2">
        <w:rPr>
          <w:rFonts w:ascii="Verdana" w:hAnsi="Verdana"/>
          <w:b/>
          <w:sz w:val="20"/>
          <w:szCs w:val="20"/>
        </w:rPr>
        <w:t xml:space="preserve"> </w:t>
      </w:r>
      <w:r w:rsidRPr="004851F2">
        <w:rPr>
          <w:rFonts w:ascii="Verdana" w:hAnsi="Verdana"/>
          <w:sz w:val="20"/>
          <w:szCs w:val="20"/>
        </w:rPr>
        <w:t>από</w:t>
      </w:r>
      <w:r w:rsidR="00FF0B36" w:rsidRPr="004851F2">
        <w:rPr>
          <w:rFonts w:ascii="Verdana" w:hAnsi="Verdana"/>
          <w:sz w:val="20"/>
          <w:szCs w:val="20"/>
        </w:rPr>
        <w:t xml:space="preserve">  </w:t>
      </w:r>
      <w:r w:rsidRPr="004851F2">
        <w:rPr>
          <w:rFonts w:ascii="Verdana" w:hAnsi="Verdana"/>
          <w:sz w:val="20"/>
          <w:szCs w:val="20"/>
        </w:rPr>
        <w:t xml:space="preserve">€ 1,54 σε </w:t>
      </w:r>
      <w:r w:rsidRPr="004851F2">
        <w:rPr>
          <w:rFonts w:ascii="Verdana" w:hAnsi="Verdana"/>
          <w:b/>
          <w:sz w:val="20"/>
          <w:szCs w:val="20"/>
        </w:rPr>
        <w:t>€ 1,55</w:t>
      </w:r>
      <w:r w:rsidRPr="004851F2">
        <w:rPr>
          <w:rFonts w:ascii="Verdana" w:hAnsi="Verdana"/>
          <w:sz w:val="20"/>
          <w:szCs w:val="20"/>
        </w:rPr>
        <w:t xml:space="preserve">. </w:t>
      </w:r>
      <w:r w:rsidR="00551F26" w:rsidRPr="004851F2">
        <w:rPr>
          <w:rFonts w:ascii="Verdana" w:hAnsi="Verdana"/>
          <w:sz w:val="20"/>
          <w:szCs w:val="20"/>
        </w:rPr>
        <w:t xml:space="preserve">Ως ημερομηνία έναρξης διαπραγμάτευσης των </w:t>
      </w:r>
      <w:r w:rsidRPr="004851F2">
        <w:rPr>
          <w:rFonts w:ascii="Verdana" w:hAnsi="Verdana"/>
          <w:sz w:val="20"/>
          <w:szCs w:val="20"/>
        </w:rPr>
        <w:t xml:space="preserve">υφιστάμενων μετοχών με τη νέα ονομαστική αξία </w:t>
      </w:r>
      <w:r w:rsidR="00551F26" w:rsidRPr="004851F2">
        <w:rPr>
          <w:rFonts w:ascii="Verdana" w:hAnsi="Verdana"/>
          <w:sz w:val="20"/>
          <w:szCs w:val="20"/>
        </w:rPr>
        <w:t xml:space="preserve">ορίστηκε η </w:t>
      </w:r>
      <w:r w:rsidR="00551F26" w:rsidRPr="004851F2">
        <w:rPr>
          <w:rFonts w:ascii="Verdana" w:hAnsi="Verdana"/>
          <w:b/>
          <w:sz w:val="20"/>
          <w:szCs w:val="20"/>
        </w:rPr>
        <w:t>1</w:t>
      </w:r>
      <w:r w:rsidR="00FF0B36" w:rsidRPr="004851F2">
        <w:rPr>
          <w:rFonts w:ascii="Verdana" w:hAnsi="Verdana"/>
          <w:b/>
          <w:sz w:val="20"/>
          <w:szCs w:val="20"/>
        </w:rPr>
        <w:t xml:space="preserve">η </w:t>
      </w:r>
      <w:r w:rsidRPr="004851F2">
        <w:rPr>
          <w:rFonts w:ascii="Verdana" w:hAnsi="Verdana"/>
          <w:b/>
          <w:sz w:val="20"/>
          <w:szCs w:val="20"/>
        </w:rPr>
        <w:t>Απριλίου</w:t>
      </w:r>
      <w:r w:rsidR="00551F26" w:rsidRPr="004851F2">
        <w:rPr>
          <w:rFonts w:ascii="Verdana" w:hAnsi="Verdana"/>
          <w:b/>
          <w:sz w:val="20"/>
          <w:szCs w:val="20"/>
        </w:rPr>
        <w:t xml:space="preserve"> 2014</w:t>
      </w:r>
      <w:r w:rsidR="00551F26" w:rsidRPr="004851F2">
        <w:rPr>
          <w:rFonts w:ascii="Verdana" w:hAnsi="Verdana"/>
          <w:sz w:val="20"/>
          <w:szCs w:val="20"/>
        </w:rPr>
        <w:t>.</w:t>
      </w:r>
      <w:r w:rsidR="00DD7A09" w:rsidRPr="004851F2">
        <w:rPr>
          <w:rFonts w:ascii="Verdana" w:hAnsi="Verdana"/>
          <w:sz w:val="20"/>
          <w:szCs w:val="20"/>
        </w:rPr>
        <w:t xml:space="preserve"> </w:t>
      </w:r>
    </w:p>
    <w:p w:rsidR="00C44AE7" w:rsidRPr="006E630E" w:rsidRDefault="00C44AE7" w:rsidP="00C44AE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44AE7" w:rsidRDefault="00C44AE7" w:rsidP="00C44AE7">
      <w:pPr>
        <w:spacing w:afterLines="200" w:after="48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Τέλος, η Επιτροπή 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κατά τη σημερινή της συνεδρίαση, λαμβάνοντας υπόψη τις ανάγκες της αγοράς, την επίδραση των κανόνων προσαρμογής τιμών </w:t>
      </w:r>
      <w:r w:rsidRPr="003A5C19">
        <w:rPr>
          <w:rFonts w:ascii="Verdana" w:hAnsi="Verdana"/>
          <w:sz w:val="20"/>
          <w:szCs w:val="20"/>
        </w:rPr>
        <w:t>μετοχών στην διαμόρφωση</w:t>
      </w:r>
      <w:r>
        <w:rPr>
          <w:rFonts w:ascii="Verdana" w:hAnsi="Verdana"/>
          <w:sz w:val="20"/>
          <w:szCs w:val="20"/>
        </w:rPr>
        <w:t xml:space="preserve"> προσαρμογών δεικτών και σχετικών με αυτούς προϊόντων και την διεθνή πρακτική, ενέκρινε την απαλοιφή της προσαρμογής τιμής μετοχής για όλους τους τύπους</w:t>
      </w:r>
      <w:r>
        <w:rPr>
          <w:rFonts w:ascii="Verdana" w:hAnsi="Verdana"/>
          <w:color w:val="000000"/>
          <w:sz w:val="20"/>
          <w:szCs w:val="20"/>
        </w:rPr>
        <w:t xml:space="preserve"> ΑΜΚ με Ιδιωτική Τοποθέτηση από τη σχετική ισχύουσα απόφαση</w:t>
      </w:r>
      <w:r>
        <w:rPr>
          <w:rFonts w:ascii="Verdana" w:hAnsi="Verdana"/>
          <w:sz w:val="20"/>
          <w:szCs w:val="20"/>
        </w:rPr>
        <w:t xml:space="preserve"> 26 του Δ.Σ. του Χ.Α.</w:t>
      </w:r>
    </w:p>
    <w:p w:rsidR="00C44AE7" w:rsidRPr="00C44AE7" w:rsidRDefault="00C44AE7" w:rsidP="00C44AE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23374" w:rsidRPr="00924ECE" w:rsidRDefault="00E23374" w:rsidP="00E23374">
      <w:pPr>
        <w:pStyle w:val="ListParagraph"/>
        <w:rPr>
          <w:rFonts w:ascii="Verdana" w:hAnsi="Verdana" w:cs="Tahoma"/>
          <w:snapToGrid w:val="0"/>
          <w:sz w:val="20"/>
          <w:szCs w:val="20"/>
        </w:rPr>
      </w:pPr>
    </w:p>
    <w:sectPr w:rsidR="00E23374" w:rsidRPr="00924ECE" w:rsidSect="009C731D">
      <w:type w:val="continuous"/>
      <w:pgSz w:w="11906" w:h="16838" w:code="9"/>
      <w:pgMar w:top="993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9B5" w:rsidRDefault="00E179B5" w:rsidP="00874B53">
      <w:r>
        <w:separator/>
      </w:r>
    </w:p>
  </w:endnote>
  <w:endnote w:type="continuationSeparator" w:id="0">
    <w:p w:rsidR="00E179B5" w:rsidRDefault="00E179B5" w:rsidP="0087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9B5" w:rsidRDefault="00E179B5" w:rsidP="00874B53">
      <w:r>
        <w:separator/>
      </w:r>
    </w:p>
  </w:footnote>
  <w:footnote w:type="continuationSeparator" w:id="0">
    <w:p w:rsidR="00E179B5" w:rsidRDefault="00E179B5" w:rsidP="00874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70A"/>
    <w:multiLevelType w:val="multilevel"/>
    <w:tmpl w:val="30B8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57196"/>
    <w:multiLevelType w:val="multilevel"/>
    <w:tmpl w:val="A8B8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541E8"/>
    <w:multiLevelType w:val="multilevel"/>
    <w:tmpl w:val="A0E8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04F2D"/>
    <w:multiLevelType w:val="multilevel"/>
    <w:tmpl w:val="70EC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445D1"/>
    <w:multiLevelType w:val="multilevel"/>
    <w:tmpl w:val="4CB6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1A4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F00E23"/>
    <w:multiLevelType w:val="hybridMultilevel"/>
    <w:tmpl w:val="75187506"/>
    <w:lvl w:ilvl="0" w:tplc="75443764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06C04"/>
    <w:multiLevelType w:val="multilevel"/>
    <w:tmpl w:val="654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886097"/>
    <w:multiLevelType w:val="hybridMultilevel"/>
    <w:tmpl w:val="91A014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9186C"/>
    <w:multiLevelType w:val="hybridMultilevel"/>
    <w:tmpl w:val="34C8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F455BE"/>
    <w:multiLevelType w:val="multilevel"/>
    <w:tmpl w:val="2942352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6FB50F9"/>
    <w:multiLevelType w:val="hybridMultilevel"/>
    <w:tmpl w:val="6EC645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35AA9"/>
    <w:multiLevelType w:val="multilevel"/>
    <w:tmpl w:val="77A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4A7BDA"/>
    <w:multiLevelType w:val="hybridMultilevel"/>
    <w:tmpl w:val="41A48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D65472"/>
    <w:multiLevelType w:val="multilevel"/>
    <w:tmpl w:val="B3AE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85235C"/>
    <w:multiLevelType w:val="hybridMultilevel"/>
    <w:tmpl w:val="789C6F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054045"/>
    <w:multiLevelType w:val="multilevel"/>
    <w:tmpl w:val="B114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2C065B"/>
    <w:multiLevelType w:val="multilevel"/>
    <w:tmpl w:val="F8C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5E311F"/>
    <w:multiLevelType w:val="hybridMultilevel"/>
    <w:tmpl w:val="7F2AFB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8D2B55"/>
    <w:multiLevelType w:val="hybridMultilevel"/>
    <w:tmpl w:val="0AB64A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C34E2F"/>
    <w:multiLevelType w:val="hybridMultilevel"/>
    <w:tmpl w:val="3486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F47534"/>
    <w:multiLevelType w:val="multilevel"/>
    <w:tmpl w:val="572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387ADE"/>
    <w:multiLevelType w:val="hybridMultilevel"/>
    <w:tmpl w:val="B7B40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906C91"/>
    <w:multiLevelType w:val="hybridMultilevel"/>
    <w:tmpl w:val="3050C142"/>
    <w:lvl w:ilvl="0" w:tplc="2654C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hadow/>
        <w:emboss w:val="0"/>
        <w:imprint w:val="0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7D2886"/>
    <w:multiLevelType w:val="multilevel"/>
    <w:tmpl w:val="C81E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8F2504"/>
    <w:multiLevelType w:val="multilevel"/>
    <w:tmpl w:val="7E4C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221815"/>
    <w:multiLevelType w:val="hybridMultilevel"/>
    <w:tmpl w:val="15104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18"/>
  </w:num>
  <w:num w:numId="5">
    <w:abstractNumId w:val="24"/>
  </w:num>
  <w:num w:numId="6">
    <w:abstractNumId w:val="26"/>
  </w:num>
  <w:num w:numId="7">
    <w:abstractNumId w:val="21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23"/>
  </w:num>
  <w:num w:numId="13">
    <w:abstractNumId w:val="14"/>
  </w:num>
  <w:num w:numId="14">
    <w:abstractNumId w:val="19"/>
  </w:num>
  <w:num w:numId="15">
    <w:abstractNumId w:val="10"/>
  </w:num>
  <w:num w:numId="16">
    <w:abstractNumId w:val="6"/>
  </w:num>
  <w:num w:numId="17">
    <w:abstractNumId w:val="1"/>
  </w:num>
  <w:num w:numId="18">
    <w:abstractNumId w:val="12"/>
  </w:num>
  <w:num w:numId="19">
    <w:abstractNumId w:val="25"/>
  </w:num>
  <w:num w:numId="20">
    <w:abstractNumId w:val="3"/>
  </w:num>
  <w:num w:numId="21">
    <w:abstractNumId w:val="15"/>
  </w:num>
  <w:num w:numId="22">
    <w:abstractNumId w:val="8"/>
  </w:num>
  <w:num w:numId="23">
    <w:abstractNumId w:val="5"/>
  </w:num>
  <w:num w:numId="24">
    <w:abstractNumId w:val="22"/>
  </w:num>
  <w:num w:numId="25">
    <w:abstractNumId w:val="20"/>
  </w:num>
  <w:num w:numId="26">
    <w:abstractNumId w:val="16"/>
  </w:num>
  <w:num w:numId="27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30"/>
    <w:rsid w:val="0000493E"/>
    <w:rsid w:val="00004D16"/>
    <w:rsid w:val="000278B0"/>
    <w:rsid w:val="00027D8B"/>
    <w:rsid w:val="00044841"/>
    <w:rsid w:val="00063505"/>
    <w:rsid w:val="00065BC5"/>
    <w:rsid w:val="00066FE3"/>
    <w:rsid w:val="00072DB5"/>
    <w:rsid w:val="000D1718"/>
    <w:rsid w:val="000E7122"/>
    <w:rsid w:val="000F493D"/>
    <w:rsid w:val="00105B6F"/>
    <w:rsid w:val="00111D78"/>
    <w:rsid w:val="001479D0"/>
    <w:rsid w:val="001523A7"/>
    <w:rsid w:val="00152E5F"/>
    <w:rsid w:val="001639AA"/>
    <w:rsid w:val="001804B0"/>
    <w:rsid w:val="0019270A"/>
    <w:rsid w:val="00197612"/>
    <w:rsid w:val="001A1F34"/>
    <w:rsid w:val="001A3BD0"/>
    <w:rsid w:val="001A7081"/>
    <w:rsid w:val="001B589C"/>
    <w:rsid w:val="001D71F0"/>
    <w:rsid w:val="001E6CC1"/>
    <w:rsid w:val="001F69E1"/>
    <w:rsid w:val="00200465"/>
    <w:rsid w:val="0020354B"/>
    <w:rsid w:val="00204F42"/>
    <w:rsid w:val="002152CE"/>
    <w:rsid w:val="0024167B"/>
    <w:rsid w:val="002563AA"/>
    <w:rsid w:val="002636B3"/>
    <w:rsid w:val="00271BB6"/>
    <w:rsid w:val="00273446"/>
    <w:rsid w:val="0028061A"/>
    <w:rsid w:val="00291508"/>
    <w:rsid w:val="00294919"/>
    <w:rsid w:val="002B1DCD"/>
    <w:rsid w:val="002B675F"/>
    <w:rsid w:val="002C60F4"/>
    <w:rsid w:val="002D46EB"/>
    <w:rsid w:val="002E10A9"/>
    <w:rsid w:val="002E3C92"/>
    <w:rsid w:val="002F2B8D"/>
    <w:rsid w:val="002F74DE"/>
    <w:rsid w:val="00300413"/>
    <w:rsid w:val="00311F4C"/>
    <w:rsid w:val="00345C5A"/>
    <w:rsid w:val="00346632"/>
    <w:rsid w:val="00351CB4"/>
    <w:rsid w:val="003624C5"/>
    <w:rsid w:val="00366595"/>
    <w:rsid w:val="00370257"/>
    <w:rsid w:val="003765F1"/>
    <w:rsid w:val="003832E9"/>
    <w:rsid w:val="0039103A"/>
    <w:rsid w:val="00393BB0"/>
    <w:rsid w:val="003A622C"/>
    <w:rsid w:val="003B31E9"/>
    <w:rsid w:val="003D00C8"/>
    <w:rsid w:val="003E0749"/>
    <w:rsid w:val="003E2949"/>
    <w:rsid w:val="0040051C"/>
    <w:rsid w:val="004171FB"/>
    <w:rsid w:val="00422C98"/>
    <w:rsid w:val="00434D9D"/>
    <w:rsid w:val="00451B85"/>
    <w:rsid w:val="0047313B"/>
    <w:rsid w:val="00475A6F"/>
    <w:rsid w:val="00477E1F"/>
    <w:rsid w:val="004851F2"/>
    <w:rsid w:val="004959E3"/>
    <w:rsid w:val="004B0C77"/>
    <w:rsid w:val="004B2C63"/>
    <w:rsid w:val="004B56D5"/>
    <w:rsid w:val="004B5936"/>
    <w:rsid w:val="004D2D08"/>
    <w:rsid w:val="004D2E93"/>
    <w:rsid w:val="004D49BB"/>
    <w:rsid w:val="004E1752"/>
    <w:rsid w:val="004E7D82"/>
    <w:rsid w:val="004E7DFE"/>
    <w:rsid w:val="00500B72"/>
    <w:rsid w:val="00536E1C"/>
    <w:rsid w:val="00551F26"/>
    <w:rsid w:val="00557E33"/>
    <w:rsid w:val="00576863"/>
    <w:rsid w:val="00595A91"/>
    <w:rsid w:val="005973D9"/>
    <w:rsid w:val="005D48DC"/>
    <w:rsid w:val="005F1447"/>
    <w:rsid w:val="005F487C"/>
    <w:rsid w:val="00605746"/>
    <w:rsid w:val="006223AC"/>
    <w:rsid w:val="006544E0"/>
    <w:rsid w:val="00663B16"/>
    <w:rsid w:val="00695C22"/>
    <w:rsid w:val="006A5320"/>
    <w:rsid w:val="006B28B4"/>
    <w:rsid w:val="006C376C"/>
    <w:rsid w:val="006C5342"/>
    <w:rsid w:val="006D004E"/>
    <w:rsid w:val="006E630E"/>
    <w:rsid w:val="006E6D33"/>
    <w:rsid w:val="006F5F2E"/>
    <w:rsid w:val="007160BB"/>
    <w:rsid w:val="007163A5"/>
    <w:rsid w:val="00720771"/>
    <w:rsid w:val="00747AA6"/>
    <w:rsid w:val="007603A4"/>
    <w:rsid w:val="007652A8"/>
    <w:rsid w:val="00766801"/>
    <w:rsid w:val="0077227E"/>
    <w:rsid w:val="00787C51"/>
    <w:rsid w:val="0079669B"/>
    <w:rsid w:val="007A2940"/>
    <w:rsid w:val="007A4932"/>
    <w:rsid w:val="007C1B03"/>
    <w:rsid w:val="007C2776"/>
    <w:rsid w:val="007E0E81"/>
    <w:rsid w:val="007E2AF8"/>
    <w:rsid w:val="007F0A06"/>
    <w:rsid w:val="007F1257"/>
    <w:rsid w:val="00815D0B"/>
    <w:rsid w:val="0082160E"/>
    <w:rsid w:val="0082473F"/>
    <w:rsid w:val="00833EDE"/>
    <w:rsid w:val="00836EAB"/>
    <w:rsid w:val="00861769"/>
    <w:rsid w:val="00864F97"/>
    <w:rsid w:val="00865FDE"/>
    <w:rsid w:val="00874B53"/>
    <w:rsid w:val="00882FE6"/>
    <w:rsid w:val="008978C1"/>
    <w:rsid w:val="008D6C60"/>
    <w:rsid w:val="008D7B97"/>
    <w:rsid w:val="008E5E94"/>
    <w:rsid w:val="008F4180"/>
    <w:rsid w:val="00900E92"/>
    <w:rsid w:val="00904425"/>
    <w:rsid w:val="00924ECE"/>
    <w:rsid w:val="00925468"/>
    <w:rsid w:val="00933395"/>
    <w:rsid w:val="00933993"/>
    <w:rsid w:val="0094429E"/>
    <w:rsid w:val="00951040"/>
    <w:rsid w:val="00951E6F"/>
    <w:rsid w:val="009618FF"/>
    <w:rsid w:val="00980926"/>
    <w:rsid w:val="009B6FCF"/>
    <w:rsid w:val="009C63A2"/>
    <w:rsid w:val="009C731D"/>
    <w:rsid w:val="009D4B50"/>
    <w:rsid w:val="009E3612"/>
    <w:rsid w:val="009F5352"/>
    <w:rsid w:val="00A27FF9"/>
    <w:rsid w:val="00A4343B"/>
    <w:rsid w:val="00A61963"/>
    <w:rsid w:val="00A84532"/>
    <w:rsid w:val="00AB1EE0"/>
    <w:rsid w:val="00AB5125"/>
    <w:rsid w:val="00AB6B48"/>
    <w:rsid w:val="00AC3224"/>
    <w:rsid w:val="00AE122C"/>
    <w:rsid w:val="00AE5E72"/>
    <w:rsid w:val="00AE6740"/>
    <w:rsid w:val="00AF265B"/>
    <w:rsid w:val="00AF384A"/>
    <w:rsid w:val="00B05406"/>
    <w:rsid w:val="00B12DC0"/>
    <w:rsid w:val="00B236D4"/>
    <w:rsid w:val="00B52A76"/>
    <w:rsid w:val="00B548C3"/>
    <w:rsid w:val="00B744C0"/>
    <w:rsid w:val="00B956A9"/>
    <w:rsid w:val="00B9626E"/>
    <w:rsid w:val="00B96DFF"/>
    <w:rsid w:val="00BA2E8E"/>
    <w:rsid w:val="00BC53D1"/>
    <w:rsid w:val="00BD1079"/>
    <w:rsid w:val="00BD2029"/>
    <w:rsid w:val="00BE4C59"/>
    <w:rsid w:val="00C0427A"/>
    <w:rsid w:val="00C04DB1"/>
    <w:rsid w:val="00C2628C"/>
    <w:rsid w:val="00C44AE7"/>
    <w:rsid w:val="00C53C91"/>
    <w:rsid w:val="00C6468E"/>
    <w:rsid w:val="00C706D1"/>
    <w:rsid w:val="00C70AFE"/>
    <w:rsid w:val="00C71FDE"/>
    <w:rsid w:val="00C73ECF"/>
    <w:rsid w:val="00C774B6"/>
    <w:rsid w:val="00C775C3"/>
    <w:rsid w:val="00CA246F"/>
    <w:rsid w:val="00CC7073"/>
    <w:rsid w:val="00CE5A88"/>
    <w:rsid w:val="00CF151F"/>
    <w:rsid w:val="00D02FBA"/>
    <w:rsid w:val="00D14E30"/>
    <w:rsid w:val="00D21613"/>
    <w:rsid w:val="00D52008"/>
    <w:rsid w:val="00D621A9"/>
    <w:rsid w:val="00D64387"/>
    <w:rsid w:val="00D67B6A"/>
    <w:rsid w:val="00D82E46"/>
    <w:rsid w:val="00DA587B"/>
    <w:rsid w:val="00DC7FE1"/>
    <w:rsid w:val="00DD7A09"/>
    <w:rsid w:val="00DD7A29"/>
    <w:rsid w:val="00DF1A52"/>
    <w:rsid w:val="00DF459D"/>
    <w:rsid w:val="00E03EBA"/>
    <w:rsid w:val="00E179B5"/>
    <w:rsid w:val="00E23374"/>
    <w:rsid w:val="00E24567"/>
    <w:rsid w:val="00E369B8"/>
    <w:rsid w:val="00E53143"/>
    <w:rsid w:val="00E64452"/>
    <w:rsid w:val="00E65804"/>
    <w:rsid w:val="00E722EF"/>
    <w:rsid w:val="00E73B81"/>
    <w:rsid w:val="00E73E50"/>
    <w:rsid w:val="00E74530"/>
    <w:rsid w:val="00E85A0B"/>
    <w:rsid w:val="00E90A88"/>
    <w:rsid w:val="00E9597D"/>
    <w:rsid w:val="00EB130C"/>
    <w:rsid w:val="00EB3CA4"/>
    <w:rsid w:val="00EC526D"/>
    <w:rsid w:val="00ED3F37"/>
    <w:rsid w:val="00ED6152"/>
    <w:rsid w:val="00EE6DEA"/>
    <w:rsid w:val="00F019B6"/>
    <w:rsid w:val="00F05EB4"/>
    <w:rsid w:val="00F22BB6"/>
    <w:rsid w:val="00F27251"/>
    <w:rsid w:val="00F41633"/>
    <w:rsid w:val="00F47941"/>
    <w:rsid w:val="00F750BB"/>
    <w:rsid w:val="00FA0C9D"/>
    <w:rsid w:val="00FB5F54"/>
    <w:rsid w:val="00FC06F1"/>
    <w:rsid w:val="00FC431F"/>
    <w:rsid w:val="00FD1CD6"/>
    <w:rsid w:val="00FE5F3B"/>
    <w:rsid w:val="00FF0B36"/>
    <w:rsid w:val="00FF517C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  <w:style w:type="paragraph" w:styleId="Header">
    <w:name w:val="header"/>
    <w:basedOn w:val="Normal"/>
    <w:link w:val="HeaderChar"/>
    <w:rsid w:val="00874B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4B53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874B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74B53"/>
    <w:rPr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  <w:style w:type="paragraph" w:styleId="Header">
    <w:name w:val="header"/>
    <w:basedOn w:val="Normal"/>
    <w:link w:val="HeaderChar"/>
    <w:rsid w:val="00874B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4B53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874B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74B53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Patsourakou, Alkistis</dc:creator>
  <cp:lastModifiedBy>a.grispou</cp:lastModifiedBy>
  <cp:revision>4</cp:revision>
  <cp:lastPrinted>2012-07-13T10:53:00Z</cp:lastPrinted>
  <dcterms:created xsi:type="dcterms:W3CDTF">2014-03-26T15:01:00Z</dcterms:created>
  <dcterms:modified xsi:type="dcterms:W3CDTF">2014-03-26T15:08:00Z</dcterms:modified>
</cp:coreProperties>
</file>