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1CC" w:rsidRDefault="003521CC" w:rsidP="003521CC"/>
    <w:p w:rsidR="003521CC" w:rsidRDefault="003521CC" w:rsidP="003521CC">
      <w:pPr>
        <w:pStyle w:val="Default"/>
      </w:pPr>
    </w:p>
    <w:p w:rsidR="003521CC" w:rsidRDefault="003521CC" w:rsidP="003521CC">
      <w:r>
        <w:t xml:space="preserve"> </w:t>
      </w:r>
      <w:r>
        <w:rPr>
          <w:sz w:val="23"/>
          <w:szCs w:val="23"/>
        </w:rPr>
        <w:t>NOT FOR DISTRIBUTION IN OR INTO OR TO ANY PERSON LOCATED OR RESIDENT IN ANY JURISDICTION WHERE THE DISTRIBUTION OF THIS DOCUMENT WOULD BE UNLAWFUL. NOT FOR GENERAL DISTRIBUTION IN THE UNITED STATES.</w:t>
      </w:r>
    </w:p>
    <w:p w:rsidR="003521CC" w:rsidRDefault="003521CC" w:rsidP="003521CC"/>
    <w:p w:rsidR="003521CC" w:rsidRDefault="003521CC" w:rsidP="003521CC">
      <w:r>
        <w:t>** Hellenic Republic – Tap of GGB 1.50% 06/2030 – Guidance at MS+150 bps area ***</w:t>
      </w:r>
    </w:p>
    <w:p w:rsidR="003521CC" w:rsidRDefault="003521CC" w:rsidP="003521CC"/>
    <w:p w:rsidR="003521CC" w:rsidRDefault="003521CC" w:rsidP="003521CC">
      <w:r>
        <w:t>Issuer:                                  The Hellenic Republic</w:t>
      </w:r>
    </w:p>
    <w:p w:rsidR="003521CC" w:rsidRDefault="003521CC" w:rsidP="003521CC">
      <w:r>
        <w:t>Ratings:                               B1 / BB- / BB / BBL (</w:t>
      </w:r>
      <w:proofErr w:type="spellStart"/>
      <w:r>
        <w:t>stb</w:t>
      </w:r>
      <w:proofErr w:type="spellEnd"/>
      <w:r>
        <w:t>/</w:t>
      </w:r>
      <w:proofErr w:type="spellStart"/>
      <w:r>
        <w:t>stb</w:t>
      </w:r>
      <w:proofErr w:type="spellEnd"/>
      <w:r>
        <w:t>/</w:t>
      </w:r>
      <w:proofErr w:type="spellStart"/>
      <w:r>
        <w:t>stb</w:t>
      </w:r>
      <w:proofErr w:type="spellEnd"/>
      <w:r>
        <w:t>/</w:t>
      </w:r>
      <w:proofErr w:type="spellStart"/>
      <w:r>
        <w:t>stb</w:t>
      </w:r>
      <w:proofErr w:type="spellEnd"/>
      <w:r>
        <w:t>)</w:t>
      </w:r>
    </w:p>
    <w:p w:rsidR="003521CC" w:rsidRDefault="003521CC" w:rsidP="003521CC">
      <w:r>
        <w:t xml:space="preserve">Format:                               State Obligation (in </w:t>
      </w:r>
      <w:proofErr w:type="spellStart"/>
      <w:r>
        <w:t>dematerialised</w:t>
      </w:r>
      <w:proofErr w:type="spellEnd"/>
      <w:r>
        <w:t xml:space="preserve"> book entry form), </w:t>
      </w:r>
      <w:proofErr w:type="spellStart"/>
      <w:r>
        <w:t>RegS</w:t>
      </w:r>
      <w:proofErr w:type="spellEnd"/>
      <w:r>
        <w:t xml:space="preserve"> Cat 1, 144A eligible, CACs</w:t>
      </w:r>
    </w:p>
    <w:p w:rsidR="003521CC" w:rsidRDefault="003521CC" w:rsidP="003521CC">
      <w:r>
        <w:t>Tap Size:                             € benchmark</w:t>
      </w:r>
    </w:p>
    <w:p w:rsidR="003521CC" w:rsidRDefault="003521CC" w:rsidP="003521CC">
      <w:r>
        <w:t>Current Outstanding:      € 3bn</w:t>
      </w:r>
    </w:p>
    <w:p w:rsidR="003521CC" w:rsidRDefault="003521CC" w:rsidP="003521CC">
      <w:r>
        <w:t>Maturity:                             18 June 2030</w:t>
      </w:r>
    </w:p>
    <w:p w:rsidR="003521CC" w:rsidRDefault="003521CC" w:rsidP="003521CC">
      <w:r>
        <w:t>Settlement:                        9 September 2020 (T+5)</w:t>
      </w:r>
    </w:p>
    <w:p w:rsidR="003521CC" w:rsidRDefault="003521CC" w:rsidP="003521CC">
      <w:r>
        <w:t>Coupon:                              1.50% Fixed, Annual ACT/ACT, 83 days accrued</w:t>
      </w:r>
    </w:p>
    <w:p w:rsidR="003521CC" w:rsidRDefault="003521CC" w:rsidP="003521CC">
      <w:r>
        <w:t>Guidance:                           MS+150 bps area</w:t>
      </w:r>
    </w:p>
    <w:p w:rsidR="003521CC" w:rsidRDefault="003521CC" w:rsidP="003521CC">
      <w:r>
        <w:t>Listing:                                 Athens, regulated market</w:t>
      </w:r>
    </w:p>
    <w:p w:rsidR="003521CC" w:rsidRDefault="003521CC" w:rsidP="003521CC">
      <w:r>
        <w:t>Law:                                      English Law</w:t>
      </w:r>
    </w:p>
    <w:p w:rsidR="003521CC" w:rsidRDefault="003521CC" w:rsidP="003521CC">
      <w:proofErr w:type="spellStart"/>
      <w:r>
        <w:t>Denoms</w:t>
      </w:r>
      <w:proofErr w:type="spellEnd"/>
      <w:r>
        <w:t>:                             €1k +€1k</w:t>
      </w:r>
    </w:p>
    <w:p w:rsidR="003521CC" w:rsidRDefault="003521CC" w:rsidP="003521CC">
      <w:r>
        <w:t xml:space="preserve">Docs:                                    Exempt from prospectus requirements in Greece. </w:t>
      </w:r>
      <w:proofErr w:type="gramStart"/>
      <w:r>
        <w:t>Greek public Debt tax regime.</w:t>
      </w:r>
      <w:proofErr w:type="gramEnd"/>
      <w:r>
        <w:t xml:space="preserve"> </w:t>
      </w:r>
      <w:proofErr w:type="gramStart"/>
      <w:r>
        <w:t>Events of default.</w:t>
      </w:r>
      <w:proofErr w:type="gramEnd"/>
      <w:r>
        <w:t xml:space="preserve"> Tax gross up</w:t>
      </w:r>
    </w:p>
    <w:p w:rsidR="003521CC" w:rsidRDefault="003521CC" w:rsidP="003521CC">
      <w:proofErr w:type="spellStart"/>
      <w:r>
        <w:t>Bookrunners</w:t>
      </w:r>
      <w:proofErr w:type="spellEnd"/>
      <w:r>
        <w:t>:                     Barclays (B&amp;D/DM) / Citi / IMI-ISP / MS / Nomura / SG</w:t>
      </w:r>
    </w:p>
    <w:p w:rsidR="003521CC" w:rsidRDefault="003521CC" w:rsidP="003521CC">
      <w:r>
        <w:t>Timing:                                Books open, today's business</w:t>
      </w:r>
    </w:p>
    <w:p w:rsidR="003521CC" w:rsidRDefault="003521CC" w:rsidP="003521CC">
      <w:r>
        <w:t>ISIN:                                      GR0124036709, immediately fungible</w:t>
      </w:r>
    </w:p>
    <w:p w:rsidR="003521CC" w:rsidRDefault="003521CC" w:rsidP="003521CC">
      <w:r>
        <w:t>Target Market:                 The manufacturer target market (MiFID II product governance) is eligible counterparties, professional and retail clients (all distribution channels)</w:t>
      </w:r>
    </w:p>
    <w:p w:rsidR="00712652" w:rsidRDefault="00712652"/>
    <w:p w:rsidR="003521CC" w:rsidRDefault="003521CC">
      <w:r w:rsidRPr="003521CC">
        <w:t>This announcement does not constitute or form a part of any offer or solicitation to purchase or subscribe for securities in the United States or any jurisdiction in which such offer or solicitation or sale would be unlawful. Securities may not be offered or sold within the United State</w:t>
      </w:r>
      <w:r>
        <w:t xml:space="preserve">s </w:t>
      </w:r>
      <w:r w:rsidRPr="003521CC">
        <w:t xml:space="preserve"> absent registration or </w:t>
      </w:r>
      <w:bookmarkStart w:id="0" w:name="_GoBack"/>
      <w:bookmarkEnd w:id="0"/>
      <w:r w:rsidRPr="003521CC">
        <w:t>an exemption from registration under the U.S. Securities Act of 1933, as amended, and the rules and regulations thereunder. Any offering of securities to be made outside the United States will be made by means of a Preliminary Offering Circular, and once available, a Final Offering Circular (each of which will be made available on https://www.athexgroup.gr/ ), which will contain detailed information about the securities being offered. The Hellenic Republic does not intend to register any securities in the United States, and no public offering of securities will be made in the United States or in any other jurisdiction where such an offering is restricted or prohibited.</w:t>
      </w:r>
    </w:p>
    <w:sectPr w:rsidR="0035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CC"/>
    <w:rsid w:val="003521CC"/>
    <w:rsid w:val="0071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1C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1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4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 Barounos</dc:creator>
  <cp:lastModifiedBy>Gerasimos Barounos</cp:lastModifiedBy>
  <cp:revision>1</cp:revision>
  <dcterms:created xsi:type="dcterms:W3CDTF">2020-09-02T07:22:00Z</dcterms:created>
  <dcterms:modified xsi:type="dcterms:W3CDTF">2020-09-02T07:24:00Z</dcterms:modified>
</cp:coreProperties>
</file>